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69" w:rsidRDefault="0031286D" w:rsidP="00686601">
      <w:pPr>
        <w:tabs>
          <w:tab w:val="left" w:pos="1315"/>
        </w:tabs>
        <w:bidi/>
        <w:rPr>
          <w:rFonts w:asciiTheme="majorBidi" w:hAnsiTheme="majorBidi" w:cstheme="majorBidi" w:hint="cs"/>
          <w:b w:val="0"/>
          <w:bCs/>
          <w:i w:val="0"/>
          <w:iCs/>
          <w:rtl/>
        </w:rPr>
      </w:pPr>
      <w:r>
        <w:rPr>
          <w:rFonts w:hint="cs"/>
          <w:b w:val="0"/>
          <w:bCs/>
          <w:i w:val="0"/>
          <w:iCs/>
          <w:rtl/>
        </w:rPr>
        <w:t xml:space="preserve">     </w:t>
      </w:r>
      <w:r w:rsidR="00927F69">
        <w:rPr>
          <w:b w:val="0"/>
          <w:bCs/>
          <w:i w:val="0"/>
          <w:iCs/>
          <w:rtl/>
        </w:rPr>
        <w:tab/>
      </w:r>
    </w:p>
    <w:p w:rsidR="00686601" w:rsidRPr="00686601" w:rsidRDefault="00686601" w:rsidP="00686601">
      <w:pPr>
        <w:autoSpaceDE w:val="0"/>
        <w:autoSpaceDN w:val="0"/>
        <w:jc w:val="center"/>
        <w:rPr>
          <w:rFonts w:ascii="Times New Roman" w:hAnsi="Times New Roman"/>
          <w:iCs/>
          <w:sz w:val="28"/>
          <w:szCs w:val="28"/>
        </w:rPr>
      </w:pPr>
      <w:r w:rsidRPr="00686601">
        <w:rPr>
          <w:rFonts w:ascii="Times New Roman" w:hAnsi="Times New Roman"/>
          <w:i w:val="0"/>
          <w:iCs/>
          <w:sz w:val="28"/>
          <w:szCs w:val="28"/>
        </w:rPr>
        <w:t>Palestinian Central Bureau of Statistics (PCBS) and the Palestine</w:t>
      </w:r>
    </w:p>
    <w:p w:rsidR="00686601" w:rsidRPr="00686601" w:rsidRDefault="00686601" w:rsidP="00686601">
      <w:pPr>
        <w:autoSpaceDE w:val="0"/>
        <w:autoSpaceDN w:val="0"/>
        <w:jc w:val="center"/>
        <w:rPr>
          <w:rFonts w:ascii="Times New Roman" w:hAnsi="Times New Roman" w:hint="cs"/>
          <w:i w:val="0"/>
          <w:iCs/>
          <w:sz w:val="28"/>
          <w:szCs w:val="28"/>
          <w:rtl/>
        </w:rPr>
      </w:pPr>
      <w:r w:rsidRPr="00686601">
        <w:rPr>
          <w:rFonts w:ascii="Times New Roman" w:hAnsi="Times New Roman"/>
          <w:i w:val="0"/>
          <w:iCs/>
          <w:sz w:val="28"/>
          <w:szCs w:val="28"/>
        </w:rPr>
        <w:t xml:space="preserve"> Monetary Authority (PMA) </w:t>
      </w:r>
    </w:p>
    <w:p w:rsidR="00686601" w:rsidRPr="00686601" w:rsidRDefault="00686601" w:rsidP="00686601">
      <w:pPr>
        <w:jc w:val="center"/>
        <w:rPr>
          <w:rFonts w:asciiTheme="majorBidi" w:hAnsiTheme="majorBidi" w:cstheme="majorBidi"/>
          <w:i w:val="0"/>
          <w:iCs/>
          <w:sz w:val="16"/>
          <w:szCs w:val="16"/>
        </w:rPr>
      </w:pPr>
    </w:p>
    <w:p w:rsidR="003A1748" w:rsidRPr="00686601" w:rsidRDefault="00DB2CC3" w:rsidP="00686601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686601">
        <w:rPr>
          <w:rFonts w:asciiTheme="majorBidi" w:hAnsiTheme="majorBidi" w:cstheme="majorBidi"/>
          <w:i w:val="0"/>
          <w:iCs/>
          <w:sz w:val="28"/>
          <w:szCs w:val="28"/>
        </w:rPr>
        <w:t xml:space="preserve">The </w:t>
      </w:r>
      <w:r w:rsidR="00917480" w:rsidRPr="00686601">
        <w:rPr>
          <w:rFonts w:asciiTheme="majorBidi" w:hAnsiTheme="majorBidi" w:cstheme="majorBidi"/>
          <w:i w:val="0"/>
          <w:iCs/>
          <w:sz w:val="28"/>
          <w:szCs w:val="28"/>
        </w:rPr>
        <w:t xml:space="preserve">Net Stock </w:t>
      </w:r>
      <w:r w:rsidRPr="00686601">
        <w:rPr>
          <w:rFonts w:asciiTheme="majorBidi" w:hAnsiTheme="majorBidi" w:cstheme="majorBidi"/>
          <w:i w:val="0"/>
          <w:iCs/>
          <w:sz w:val="28"/>
          <w:szCs w:val="28"/>
        </w:rPr>
        <w:t>of the Internat</w:t>
      </w:r>
      <w:r w:rsidR="00070A46" w:rsidRPr="00686601">
        <w:rPr>
          <w:rFonts w:asciiTheme="majorBidi" w:hAnsiTheme="majorBidi" w:cstheme="majorBidi"/>
          <w:i w:val="0"/>
          <w:iCs/>
          <w:sz w:val="28"/>
          <w:szCs w:val="28"/>
        </w:rPr>
        <w:t>ional Investment Position (IIP)</w:t>
      </w:r>
      <w:r w:rsidR="00070A46" w:rsidRPr="00686601">
        <w:rPr>
          <w:rFonts w:asciiTheme="majorBidi" w:hAnsiTheme="majorBidi" w:cstheme="majorBidi"/>
          <w:b w:val="0"/>
          <w:bCs/>
          <w:i w:val="0"/>
          <w:iCs/>
          <w:sz w:val="28"/>
          <w:szCs w:val="28"/>
        </w:rPr>
        <w:t xml:space="preserve"> </w:t>
      </w:r>
      <w:r w:rsidR="00070A46" w:rsidRPr="00686601">
        <w:rPr>
          <w:rFonts w:asciiTheme="majorBidi" w:hAnsiTheme="majorBidi" w:cstheme="majorBidi"/>
          <w:i w:val="0"/>
          <w:iCs/>
          <w:sz w:val="28"/>
          <w:szCs w:val="28"/>
        </w:rPr>
        <w:t xml:space="preserve">amounted to USD 1,921 million </w:t>
      </w:r>
      <w:r w:rsidR="00CF323B" w:rsidRPr="00686601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805979" w:rsidRPr="00686601">
        <w:rPr>
          <w:rFonts w:asciiTheme="majorBidi" w:hAnsiTheme="majorBidi" w:cstheme="majorBidi"/>
          <w:i w:val="0"/>
          <w:iCs/>
          <w:sz w:val="28"/>
          <w:szCs w:val="28"/>
        </w:rPr>
        <w:t xml:space="preserve">at the </w:t>
      </w:r>
      <w:r w:rsidR="00917480" w:rsidRPr="00686601">
        <w:rPr>
          <w:rFonts w:asciiTheme="majorBidi" w:hAnsiTheme="majorBidi" w:cstheme="majorBidi"/>
          <w:i w:val="0"/>
          <w:iCs/>
          <w:sz w:val="28"/>
          <w:szCs w:val="28"/>
        </w:rPr>
        <w:t xml:space="preserve">End </w:t>
      </w:r>
      <w:r w:rsidR="00805979" w:rsidRPr="00686601">
        <w:rPr>
          <w:rFonts w:asciiTheme="majorBidi" w:hAnsiTheme="majorBidi" w:cstheme="majorBidi"/>
          <w:i w:val="0"/>
          <w:iCs/>
          <w:sz w:val="28"/>
          <w:szCs w:val="28"/>
        </w:rPr>
        <w:t xml:space="preserve">of </w:t>
      </w:r>
      <w:r w:rsidR="00421004" w:rsidRPr="00686601">
        <w:rPr>
          <w:rFonts w:asciiTheme="majorBidi" w:hAnsiTheme="majorBidi" w:cstheme="majorBidi"/>
          <w:i w:val="0"/>
          <w:iCs/>
          <w:sz w:val="28"/>
          <w:szCs w:val="28"/>
        </w:rPr>
        <w:t xml:space="preserve">the </w:t>
      </w:r>
      <w:r w:rsidR="00C95AD7" w:rsidRPr="00686601">
        <w:rPr>
          <w:rFonts w:asciiTheme="majorBidi" w:hAnsiTheme="majorBidi" w:cstheme="majorBidi"/>
          <w:i w:val="0"/>
          <w:iCs/>
          <w:sz w:val="28"/>
          <w:szCs w:val="28"/>
        </w:rPr>
        <w:t>Second</w:t>
      </w:r>
      <w:r w:rsidR="00917480" w:rsidRPr="00686601">
        <w:rPr>
          <w:rFonts w:asciiTheme="majorBidi" w:hAnsiTheme="majorBidi" w:cstheme="majorBidi"/>
          <w:i w:val="0"/>
          <w:iCs/>
          <w:sz w:val="28"/>
          <w:szCs w:val="28"/>
        </w:rPr>
        <w:t xml:space="preserve"> Quarter</w:t>
      </w:r>
      <w:r w:rsidRPr="00686601">
        <w:rPr>
          <w:rFonts w:asciiTheme="majorBidi" w:hAnsiTheme="majorBidi" w:cstheme="majorBidi"/>
          <w:i w:val="0"/>
          <w:iCs/>
          <w:sz w:val="28"/>
          <w:szCs w:val="28"/>
        </w:rPr>
        <w:t xml:space="preserve"> 201</w:t>
      </w:r>
      <w:r w:rsidR="006D4F2F" w:rsidRPr="00686601">
        <w:rPr>
          <w:rFonts w:asciiTheme="majorBidi" w:hAnsiTheme="majorBidi" w:cstheme="majorBidi"/>
          <w:i w:val="0"/>
          <w:iCs/>
          <w:sz w:val="28"/>
          <w:szCs w:val="28"/>
        </w:rPr>
        <w:t>9</w:t>
      </w:r>
      <w:r w:rsidR="008D5AF3" w:rsidRPr="00686601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</w:p>
    <w:p w:rsidR="00DB5004" w:rsidRPr="00E23D7F" w:rsidRDefault="00DB5004" w:rsidP="00DB5004">
      <w:pPr>
        <w:pStyle w:val="BodyText3"/>
        <w:ind w:right="70"/>
        <w:rPr>
          <w:rFonts w:asciiTheme="majorBidi" w:hAnsiTheme="majorBidi" w:cstheme="majorBidi"/>
          <w:i w:val="0"/>
          <w:iCs/>
          <w:sz w:val="24"/>
          <w:szCs w:val="24"/>
        </w:rPr>
      </w:pPr>
    </w:p>
    <w:p w:rsidR="00DB5004" w:rsidRPr="00E23D7F" w:rsidRDefault="00DB5004" w:rsidP="00C95AD7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Palestinian Central Bureau of Statistics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(PCBS)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the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Monetary Authority (PMA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announced the preliminary results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0E58D6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(IIP), and External Debt statistics for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end of</w:t>
      </w:r>
      <w:r w:rsidR="00E85A9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C95AD7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second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quarter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</w:t>
      </w:r>
      <w:r w:rsidR="006D4F2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9</w:t>
      </w:r>
      <w:r w:rsidR="00C30540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end of year 2018</w:t>
      </w:r>
      <w:r w:rsidR="008D5AF3">
        <w:rPr>
          <w:rStyle w:val="FootnoteReference"/>
          <w:rFonts w:asciiTheme="majorBidi" w:hAnsiTheme="majorBidi" w:cstheme="majorBidi"/>
          <w:b w:val="0"/>
          <w:bCs/>
          <w:i w:val="0"/>
          <w:iCs/>
          <w:sz w:val="24"/>
          <w:szCs w:val="24"/>
        </w:rPr>
        <w:footnoteReference w:id="1"/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Default="00DB5004" w:rsidP="00EA72B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primary results of the IIP (external assets – foreign liabilities) for Palestine at the end of </w:t>
      </w:r>
      <w:r w:rsidR="0042100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="00C95AD7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second</w:t>
      </w:r>
      <w:r w:rsidR="000110B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quarter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</w:t>
      </w:r>
      <w:r w:rsidR="006D4F2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9</w:t>
      </w:r>
      <w:r w:rsidR="00F7796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revealed that the net IIP amounted to USD </w:t>
      </w:r>
      <w:r w:rsidR="003143C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1,</w:t>
      </w:r>
      <w:r w:rsidR="00C95AD7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9</w:t>
      </w:r>
      <w:r w:rsidR="007B1CC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21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</w:t>
      </w:r>
      <w:r w:rsidR="004636B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increased by </w:t>
      </w:r>
      <w:r w:rsidR="0009345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11</w:t>
      </w:r>
      <w:r w:rsidR="004636B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 compared with previous quarter,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which means that the Palestinian economy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’s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</w:t>
      </w:r>
      <w:r w:rsidR="00E909E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outside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outweighs investmen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="00E909E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 Palestine from abroad. </w:t>
      </w:r>
    </w:p>
    <w:p w:rsidR="00D12348" w:rsidRPr="00686601" w:rsidRDefault="00D12348" w:rsidP="00C30540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34603E" w:rsidRDefault="00DB5004" w:rsidP="00070A46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External Assets for Palestin</w:t>
      </w:r>
      <w:r w:rsidR="00E85A9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ian economy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amounted to USD </w:t>
      </w:r>
      <w:r w:rsidR="000C387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0C387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255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</w:t>
      </w:r>
      <w:r w:rsidR="00C3054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C30540"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at the end of </w:t>
      </w:r>
      <w:r w:rsidR="00C3054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second </w:t>
      </w:r>
      <w:r w:rsidR="00C30540"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quarter </w:t>
      </w:r>
      <w:r w:rsidR="00C3054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2019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 w:rsidR="004B7C0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contributed to </w:t>
      </w:r>
      <w:r w:rsidR="003916E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abroad reached </w:t>
      </w:r>
      <w:r w:rsidR="000C387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19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while Other Foreign Investments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currency </w:t>
      </w:r>
      <w:r w:rsidR="00070A46" w:rsidRPr="00070A46">
        <w:rPr>
          <w:rFonts w:asciiTheme="majorBidi" w:hAnsiTheme="majorBidi" w:cstheme="majorBidi" w:hint="cs"/>
          <w:sz w:val="24"/>
          <w:szCs w:val="24"/>
          <w:rtl/>
        </w:rPr>
        <w:t>&amp;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deposits</w:t>
      </w:r>
      <w:r w:rsidR="00E900B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 clearance revenue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 reached </w:t>
      </w:r>
      <w:r w:rsidR="003916E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0C387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8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 and Reserve Assets amounted to </w:t>
      </w:r>
      <w:r w:rsidR="000C387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8</w:t>
      </w:r>
      <w:r w:rsidR="00EC5050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="00EC505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="00DD6071">
        <w:rPr>
          <w:rFonts w:asciiTheme="majorBidi" w:hAnsiTheme="majorBidi" w:cstheme="majorBidi" w:hint="cs"/>
          <w:b w:val="0"/>
          <w:bCs/>
          <w:i w:val="0"/>
          <w:iCs/>
          <w:sz w:val="24"/>
          <w:szCs w:val="24"/>
          <w:rtl/>
        </w:rPr>
        <w:t xml:space="preserve">  </w:t>
      </w:r>
      <w:r w:rsidR="00064A5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At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sectoral lev</w:t>
      </w:r>
      <w:r w:rsidR="006251C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el, the external investments of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banks sector represented a large share of the external assets, standing at </w:t>
      </w:r>
      <w:r w:rsidR="00D1234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0C387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0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external assets</w:t>
      </w:r>
      <w:r w:rsid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for</w:t>
      </w:r>
      <w:r w:rsidR="00CD132E" w:rsidRP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Palestinian economy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="00C3054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</w:p>
    <w:p w:rsidR="00DB5004" w:rsidRPr="00686601" w:rsidRDefault="00DB5004" w:rsidP="00C30540">
      <w:pPr>
        <w:pStyle w:val="BodyText3"/>
        <w:spacing w:after="0"/>
        <w:rPr>
          <w:rFonts w:asciiTheme="majorBidi" w:hAnsiTheme="majorBidi" w:cstheme="majorBidi"/>
          <w:b w:val="0"/>
          <w:bCs/>
          <w:i w:val="0"/>
          <w:iCs/>
        </w:rPr>
      </w:pPr>
    </w:p>
    <w:p w:rsidR="00064A5C" w:rsidRDefault="00DB5004" w:rsidP="00EA72B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For</w:t>
      </w:r>
      <w:r w:rsidR="00B902A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eign Liabilities in Palestine (s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tocks of non-residents invested in Palestine) amounted to USD </w:t>
      </w:r>
      <w:r w:rsidR="00A83B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3B332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0C387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7B1CC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34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</w:t>
      </w:r>
      <w:r w:rsidR="00450FE1" w:rsidRPr="00450FE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450FE1"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at the end of </w:t>
      </w:r>
      <w:r w:rsidR="00450FE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second </w:t>
      </w:r>
      <w:r w:rsidR="00450FE1"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quarter </w:t>
      </w:r>
      <w:r w:rsidR="00450FE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2019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 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in Palestine contributed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 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="005C7E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in Palestine reached </w:t>
      </w:r>
      <w:r w:rsidR="00D24B7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="007B1CC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="003265D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Other Investments in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loans and deposits from abroad)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amounted to </w:t>
      </w:r>
      <w:r w:rsidR="000C387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7B1CC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="00DD607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%.</w:t>
      </w:r>
      <w:r w:rsidR="00DD6071">
        <w:rPr>
          <w:rFonts w:asciiTheme="majorBidi" w:hAnsiTheme="majorBidi" w:cstheme="majorBidi" w:hint="cs"/>
          <w:b w:val="0"/>
          <w:bCs/>
          <w:i w:val="0"/>
          <w:iCs/>
          <w:sz w:val="24"/>
          <w:szCs w:val="24"/>
          <w:rtl/>
        </w:rPr>
        <w:t xml:space="preserve">  </w:t>
      </w:r>
      <w:r w:rsidR="00064A5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0E5A0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sectoral level, the foreign investments in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contributed a major value in the foreign liabilities, represented by </w:t>
      </w:r>
      <w:r w:rsidR="002219A2" w:rsidRP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7B1CC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9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foreign liabilities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on Palestinian economy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="00EA72B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</w:p>
    <w:p w:rsidR="00285269" w:rsidRPr="00686601" w:rsidRDefault="00285269" w:rsidP="00C30540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DB5004" w:rsidRPr="00686601" w:rsidRDefault="00805979" w:rsidP="00EA72B1">
      <w:pPr>
        <w:pStyle w:val="HTMLPreformatted"/>
        <w:shd w:val="clear" w:color="auto" w:fill="FFFFFF"/>
        <w:spacing w:after="120"/>
        <w:rPr>
          <w:rFonts w:asciiTheme="majorBidi" w:hAnsiTheme="majorBidi" w:cstheme="majorBidi"/>
          <w:b/>
          <w:iCs/>
          <w:sz w:val="26"/>
          <w:szCs w:val="26"/>
        </w:rPr>
      </w:pPr>
      <w:r w:rsidRPr="00686601">
        <w:rPr>
          <w:rFonts w:asciiTheme="majorBidi" w:hAnsiTheme="majorBidi" w:cstheme="majorBidi"/>
          <w:b/>
          <w:iCs/>
          <w:sz w:val="26"/>
          <w:szCs w:val="26"/>
        </w:rPr>
        <w:t xml:space="preserve">Stock of </w:t>
      </w:r>
      <w:r w:rsidR="00041F63" w:rsidRPr="00686601">
        <w:rPr>
          <w:rFonts w:asciiTheme="majorBidi" w:hAnsiTheme="majorBidi" w:cstheme="majorBidi"/>
          <w:b/>
          <w:iCs/>
          <w:sz w:val="26"/>
          <w:szCs w:val="26"/>
        </w:rPr>
        <w:t xml:space="preserve"> </w:t>
      </w:r>
      <w:r w:rsidR="00DD103D" w:rsidRPr="00686601">
        <w:rPr>
          <w:rFonts w:asciiTheme="majorBidi" w:hAnsiTheme="majorBidi" w:cstheme="majorBidi"/>
          <w:b/>
          <w:iCs/>
          <w:sz w:val="26"/>
          <w:szCs w:val="26"/>
        </w:rPr>
        <w:t>e</w:t>
      </w:r>
      <w:r w:rsidR="00041F63" w:rsidRPr="00686601">
        <w:rPr>
          <w:rFonts w:asciiTheme="majorBidi" w:hAnsiTheme="majorBidi" w:cstheme="majorBidi"/>
          <w:b/>
          <w:iCs/>
          <w:sz w:val="26"/>
          <w:szCs w:val="26"/>
        </w:rPr>
        <w:t xml:space="preserve">xternal government </w:t>
      </w:r>
      <w:r w:rsidRPr="00686601">
        <w:rPr>
          <w:rFonts w:asciiTheme="majorBidi" w:hAnsiTheme="majorBidi" w:cstheme="majorBidi"/>
          <w:b/>
          <w:iCs/>
          <w:sz w:val="26"/>
          <w:szCs w:val="26"/>
        </w:rPr>
        <w:t>d</w:t>
      </w:r>
      <w:r w:rsidR="00064A5C" w:rsidRPr="00686601">
        <w:rPr>
          <w:rFonts w:asciiTheme="majorBidi" w:hAnsiTheme="majorBidi" w:cstheme="majorBidi"/>
          <w:b/>
          <w:iCs/>
          <w:sz w:val="26"/>
          <w:szCs w:val="26"/>
        </w:rPr>
        <w:t xml:space="preserve">ebt </w:t>
      </w:r>
      <w:r w:rsidR="00EC5050" w:rsidRPr="00686601">
        <w:rPr>
          <w:rFonts w:asciiTheme="majorBidi" w:hAnsiTheme="majorBidi" w:cstheme="majorBidi"/>
          <w:b/>
          <w:iCs/>
          <w:sz w:val="26"/>
          <w:szCs w:val="26"/>
        </w:rPr>
        <w:t xml:space="preserve">amounted to </w:t>
      </w:r>
      <w:r w:rsidR="00041F63" w:rsidRPr="00686601">
        <w:rPr>
          <w:rFonts w:asciiTheme="majorBidi" w:hAnsiTheme="majorBidi" w:cstheme="majorBidi"/>
          <w:b/>
          <w:iCs/>
          <w:sz w:val="26"/>
          <w:szCs w:val="26"/>
        </w:rPr>
        <w:t xml:space="preserve">about </w:t>
      </w:r>
      <w:r w:rsidR="003E3D66" w:rsidRPr="00686601">
        <w:rPr>
          <w:rFonts w:asciiTheme="majorBidi" w:hAnsiTheme="majorBidi" w:cstheme="majorBidi"/>
          <w:b/>
          <w:iCs/>
          <w:sz w:val="26"/>
          <w:szCs w:val="26"/>
        </w:rPr>
        <w:t>USD 1</w:t>
      </w:r>
      <w:r w:rsidR="00041F63" w:rsidRPr="00686601">
        <w:rPr>
          <w:rFonts w:asciiTheme="majorBidi" w:hAnsiTheme="majorBidi" w:cstheme="majorBidi"/>
          <w:b/>
          <w:iCs/>
          <w:sz w:val="26"/>
          <w:szCs w:val="26"/>
        </w:rPr>
        <w:t xml:space="preserve"> billion at the end of the </w:t>
      </w:r>
      <w:r w:rsidR="00E05460" w:rsidRPr="00686601">
        <w:rPr>
          <w:rFonts w:asciiTheme="majorBidi" w:hAnsiTheme="majorBidi" w:cstheme="majorBidi"/>
          <w:b/>
          <w:iCs/>
          <w:sz w:val="26"/>
          <w:szCs w:val="26"/>
        </w:rPr>
        <w:t>Second</w:t>
      </w:r>
      <w:r w:rsidR="00041F63" w:rsidRPr="00686601">
        <w:rPr>
          <w:rFonts w:asciiTheme="majorBidi" w:hAnsiTheme="majorBidi" w:cstheme="majorBidi"/>
          <w:b/>
          <w:iCs/>
          <w:sz w:val="26"/>
          <w:szCs w:val="26"/>
        </w:rPr>
        <w:t xml:space="preserve"> quarter 201</w:t>
      </w:r>
      <w:r w:rsidR="00F77963" w:rsidRPr="00686601">
        <w:rPr>
          <w:rFonts w:asciiTheme="majorBidi" w:hAnsiTheme="majorBidi" w:cstheme="majorBidi"/>
          <w:b/>
          <w:iCs/>
          <w:sz w:val="26"/>
          <w:szCs w:val="26"/>
        </w:rPr>
        <w:t>9</w:t>
      </w:r>
      <w:r w:rsidR="00450FE1" w:rsidRPr="00686601">
        <w:rPr>
          <w:rFonts w:asciiTheme="majorBidi" w:hAnsiTheme="majorBidi" w:cstheme="majorBidi"/>
          <w:b/>
          <w:iCs/>
          <w:sz w:val="26"/>
          <w:szCs w:val="26"/>
        </w:rPr>
        <w:t>.</w:t>
      </w:r>
    </w:p>
    <w:p w:rsidR="00686601" w:rsidRDefault="00DB5004" w:rsidP="00686601">
      <w:pPr>
        <w:pStyle w:val="BodyText3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Gross External Debt on the Palestinian econom</w:t>
      </w:r>
      <w:r w:rsidR="00F3301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ic sectors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reached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USD 1,</w:t>
      </w:r>
      <w:r w:rsidR="00E0546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729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million</w:t>
      </w:r>
      <w:r w:rsidR="00CE604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at the end of the second quarter 2019</w:t>
      </w:r>
      <w:r w:rsidR="002E060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increased by </w:t>
      </w:r>
      <w:r w:rsidR="003C596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2E060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compared with previous quarter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6251C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debt on government sector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represented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A83B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P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 while debt on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reached </w:t>
      </w:r>
      <w:r w:rsidR="00A83B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E0546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and debt on other sectors (</w:t>
      </w:r>
      <w:r w:rsidR="00B902A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n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onbank financial corporations, non-financial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corporations,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NGOs and household</w:t>
      </w:r>
      <w:r w:rsidR="00AF576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sector) amounted to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5C7E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</w:t>
      </w:r>
      <w:r w:rsidRPr="00F1203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8C393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</w:t>
      </w:r>
      <w:r w:rsidRPr="003916E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lending between affiliated companies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reached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="005D32C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less than </w:t>
      </w:r>
      <w:r w:rsidR="00E05460">
        <w:rPr>
          <w:rFonts w:ascii="Times New Roman" w:hAnsi="Times New Roman"/>
          <w:b w:val="0"/>
          <w:bCs/>
          <w:i w:val="0"/>
          <w:iCs/>
          <w:sz w:val="24"/>
          <w:szCs w:val="24"/>
        </w:rPr>
        <w:t>1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>%.</w:t>
      </w:r>
      <w:r w:rsidR="00450FE1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</w:p>
    <w:p w:rsidR="00686601" w:rsidRPr="00686601" w:rsidRDefault="00686601" w:rsidP="00686601">
      <w:pPr>
        <w:pStyle w:val="BodyText3"/>
        <w:spacing w:after="0"/>
        <w:jc w:val="both"/>
        <w:rPr>
          <w:rFonts w:ascii="Times New Roman" w:hAnsi="Times New Roman"/>
          <w:b w:val="0"/>
          <w:bCs/>
          <w:i w:val="0"/>
          <w:iCs/>
        </w:rPr>
      </w:pPr>
    </w:p>
    <w:p w:rsidR="00DB5004" w:rsidRDefault="00DB5004" w:rsidP="00686601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(IIP) is a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accounting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sheet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that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record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 the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investments stocks for the residents in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rest of the world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(abroad)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 the name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(assets)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compares them to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investments stocks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owned by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residents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outside 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Palestine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name of (liabilities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686601" w:rsidRDefault="00686601" w:rsidP="00686601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686601" w:rsidRDefault="00686601" w:rsidP="00686601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686601" w:rsidRDefault="00686601" w:rsidP="00686601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686601" w:rsidRDefault="00686601" w:rsidP="00686601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686601" w:rsidRDefault="00686601" w:rsidP="00686601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686601" w:rsidRDefault="00686601" w:rsidP="00686601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686601" w:rsidRDefault="00686601" w:rsidP="00686601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686601" w:rsidRDefault="00686601" w:rsidP="00686601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686601" w:rsidRDefault="00686601" w:rsidP="00686601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686601" w:rsidRDefault="00686601" w:rsidP="00686601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686601" w:rsidRDefault="00686601" w:rsidP="00686601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Default="00DB5004" w:rsidP="00686601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 xml:space="preserve">The Balance of Payments Manual - fifth edition, issued by the International Monetary Fund in 1993, divides the assets and liabilities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in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to direct investment (investment by 10% and more in the non-resident capital), and portfolio investment (investment less than 10% in the non-resident capital as well as investment in bonds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other investments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DC1F9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 divides these other investments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into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 trade credit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loans, currency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deposits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any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other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assets or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liabilities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in addition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Reserve Assets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i.e.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held by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Central </w:t>
      </w:r>
      <w:r w:rsidR="00DC1F9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B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anks/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Monetary Authorit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address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imbalances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balance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payments,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it is worth mentioning that the reserve assets are only included in the asset side. </w:t>
      </w:r>
    </w:p>
    <w:p w:rsidR="00686601" w:rsidRPr="00686601" w:rsidRDefault="00686601" w:rsidP="00686601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</w:rPr>
      </w:pPr>
    </w:p>
    <w:p w:rsidR="00DB5004" w:rsidRDefault="00DB5004" w:rsidP="00AF576D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  <w:r w:rsidRPr="00E23D7F">
        <w:rPr>
          <w:rStyle w:val="hps"/>
          <w:rFonts w:asciiTheme="majorBidi" w:hAnsiTheme="majorBidi" w:cstheme="majorBidi"/>
          <w:bCs/>
          <w:iCs/>
          <w:szCs w:val="24"/>
        </w:rPr>
        <w:t>The External Debt is a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n accounting sheet </w:t>
      </w:r>
      <w:r>
        <w:rPr>
          <w:rFonts w:asciiTheme="majorBidi" w:hAnsiTheme="majorBidi" w:cstheme="majorBidi"/>
          <w:bCs/>
          <w:iCs/>
          <w:szCs w:val="24"/>
        </w:rPr>
        <w:t xml:space="preserve">that </w:t>
      </w:r>
      <w:r w:rsidRPr="00E23D7F">
        <w:rPr>
          <w:rFonts w:asciiTheme="majorBidi" w:hAnsiTheme="majorBidi" w:cstheme="majorBidi"/>
          <w:bCs/>
          <w:iCs/>
          <w:szCs w:val="24"/>
        </w:rPr>
        <w:t>records the debt stocks on Palestinian econom</w:t>
      </w:r>
      <w:r>
        <w:rPr>
          <w:rFonts w:asciiTheme="majorBidi" w:hAnsiTheme="majorBidi" w:cstheme="majorBidi"/>
          <w:bCs/>
          <w:iCs/>
          <w:szCs w:val="24"/>
        </w:rPr>
        <w:t>ic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sectors due to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</w:t>
      </w:r>
      <w:r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Cs w:val="24"/>
        </w:rPr>
        <w:t>These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include (loans from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</w:t>
      </w:r>
      <w:r>
        <w:rPr>
          <w:rFonts w:asciiTheme="majorBidi" w:hAnsiTheme="majorBidi" w:cstheme="majorBidi"/>
          <w:bCs/>
          <w:iCs/>
          <w:szCs w:val="24"/>
        </w:rPr>
        <w:t xml:space="preserve">s, </w:t>
      </w:r>
      <w:r w:rsidRPr="00E23D7F">
        <w:rPr>
          <w:rFonts w:asciiTheme="majorBidi" w:hAnsiTheme="majorBidi" w:cstheme="majorBidi"/>
          <w:bCs/>
          <w:iCs/>
          <w:szCs w:val="24"/>
        </w:rPr>
        <w:t>the</w:t>
      </w:r>
      <w:r w:rsidR="00DC1F91">
        <w:rPr>
          <w:rFonts w:asciiTheme="majorBidi" w:hAnsiTheme="majorBidi" w:cstheme="majorBidi"/>
          <w:bCs/>
          <w:iCs/>
          <w:szCs w:val="24"/>
        </w:rPr>
        <w:t xml:space="preserve"> deposit</w:t>
      </w:r>
      <w:r w:rsidR="00260883">
        <w:rPr>
          <w:rFonts w:asciiTheme="majorBidi" w:hAnsiTheme="majorBidi" w:cstheme="majorBidi"/>
          <w:bCs/>
          <w:iCs/>
          <w:szCs w:val="24"/>
        </w:rPr>
        <w:t>s</w:t>
      </w:r>
      <w:r w:rsidR="00DC1F91">
        <w:rPr>
          <w:rFonts w:asciiTheme="majorBidi" w:hAnsiTheme="majorBidi" w:cstheme="majorBidi"/>
          <w:bCs/>
          <w:iCs/>
          <w:szCs w:val="24"/>
        </w:rPr>
        <w:t xml:space="preserve"> of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 w:rsidR="000C0673">
        <w:rPr>
          <w:rFonts w:asciiTheme="majorBidi" w:hAnsiTheme="majorBidi" w:cstheme="majorBidi"/>
          <w:bCs/>
          <w:iCs/>
          <w:szCs w:val="24"/>
        </w:rPr>
        <w:t xml:space="preserve">the </w:t>
      </w:r>
      <w:r w:rsidRPr="00E23D7F">
        <w:rPr>
          <w:rFonts w:asciiTheme="majorBidi" w:hAnsiTheme="majorBidi" w:cstheme="majorBidi"/>
          <w:bCs/>
          <w:iCs/>
          <w:szCs w:val="24"/>
        </w:rPr>
        <w:t>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 deposited in the banks sector in Palestine, the Palestinian bonds purchased by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residents, debt transactions between the non-resident enterprises and fellow enterprises in </w:t>
      </w:r>
      <w:r>
        <w:rPr>
          <w:rFonts w:asciiTheme="majorBidi" w:hAnsiTheme="majorBidi" w:cstheme="majorBidi"/>
          <w:bCs/>
          <w:iCs/>
          <w:szCs w:val="24"/>
        </w:rPr>
        <w:t>Palestine. They encompass as well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any other liabilities on Palestinian economy) the data of external debt have been extracted from the liabilities side in the international investment </w:t>
      </w:r>
      <w:r>
        <w:rPr>
          <w:rFonts w:asciiTheme="majorBidi" w:hAnsiTheme="majorBidi" w:cstheme="majorBidi"/>
          <w:bCs/>
          <w:iCs/>
          <w:szCs w:val="24"/>
        </w:rPr>
        <w:t xml:space="preserve">position matrix (debt items). 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Preparing, classifying and publishing of the data </w:t>
      </w:r>
      <w:r w:rsidR="00770755">
        <w:rPr>
          <w:rFonts w:asciiTheme="majorBidi" w:hAnsiTheme="majorBidi" w:cstheme="majorBidi"/>
          <w:bCs/>
          <w:iCs/>
          <w:szCs w:val="24"/>
        </w:rPr>
        <w:t xml:space="preserve">are 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based on (External Debt Statistics Manual) issued by IMF in 2003, this manual is harmonized with </w:t>
      </w:r>
      <w:r w:rsidR="00E85A96">
        <w:rPr>
          <w:rFonts w:asciiTheme="majorBidi" w:hAnsiTheme="majorBidi" w:cstheme="majorBidi"/>
          <w:bCs/>
          <w:iCs/>
          <w:szCs w:val="24"/>
        </w:rPr>
        <w:t xml:space="preserve">the </w:t>
      </w:r>
      <w:r w:rsidR="00AF576D">
        <w:rPr>
          <w:rFonts w:asciiTheme="majorBidi" w:hAnsiTheme="majorBidi" w:cstheme="majorBidi"/>
          <w:bCs/>
          <w:iCs/>
          <w:szCs w:val="24"/>
        </w:rPr>
        <w:t>fifth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edition of Balance of Payments Man</w:t>
      </w:r>
      <w:bookmarkStart w:id="0" w:name="_GoBack"/>
      <w:bookmarkEnd w:id="0"/>
      <w:r w:rsidRPr="00E23D7F">
        <w:rPr>
          <w:rFonts w:asciiTheme="majorBidi" w:hAnsiTheme="majorBidi" w:cstheme="majorBidi"/>
          <w:bCs/>
          <w:iCs/>
          <w:szCs w:val="24"/>
        </w:rPr>
        <w:t>ual</w:t>
      </w:r>
      <w:r w:rsidR="00E85A96"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 </w:t>
      </w:r>
    </w:p>
    <w:p w:rsidR="00686601" w:rsidRDefault="00686601" w:rsidP="00DB5004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686601" w:rsidRDefault="00686601" w:rsidP="00686601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686601" w:rsidRDefault="00686601" w:rsidP="00686601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686601" w:rsidRDefault="00686601" w:rsidP="00686601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Default="00686601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F634B8" w:rsidRDefault="00F634B8" w:rsidP="007B438C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686601" w:rsidRPr="00686601" w:rsidRDefault="00DB5004" w:rsidP="007B438C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lastRenderedPageBreak/>
        <w:t xml:space="preserve">Table 1: International Investment Position (IIP) </w:t>
      </w:r>
      <w:r w:rsidR="006D61E4"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Stock </w:t>
      </w: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by Economic Sectors </w:t>
      </w:r>
      <w:r w:rsidR="006D61E4"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for </w:t>
      </w: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Palestine, </w:t>
      </w:r>
    </w:p>
    <w:p w:rsidR="00DB5004" w:rsidRPr="00686601" w:rsidRDefault="00DB5004" w:rsidP="007B438C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at the </w:t>
      </w:r>
      <w:r w:rsidR="00112F30" w:rsidRPr="00686601">
        <w:rPr>
          <w:rFonts w:asciiTheme="majorBidi" w:hAnsiTheme="majorBidi" w:cstheme="majorBidi"/>
          <w:i w:val="0"/>
          <w:iCs/>
          <w:sz w:val="26"/>
          <w:szCs w:val="26"/>
        </w:rPr>
        <w:t>e</w:t>
      </w:r>
      <w:r w:rsidR="006D61E4"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nd </w:t>
      </w: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of the </w:t>
      </w:r>
      <w:r w:rsidR="007B438C" w:rsidRPr="00686601">
        <w:rPr>
          <w:rFonts w:asciiTheme="majorBidi" w:hAnsiTheme="majorBidi" w:cstheme="majorBidi"/>
          <w:i w:val="0"/>
          <w:iCs/>
          <w:sz w:val="26"/>
          <w:szCs w:val="26"/>
        </w:rPr>
        <w:t>Second</w:t>
      </w:r>
      <w:r w:rsidR="004B5431"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 </w:t>
      </w: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t>Quarter</w:t>
      </w:r>
      <w:r w:rsidR="00E85A96" w:rsidRPr="00686601">
        <w:rPr>
          <w:rFonts w:asciiTheme="majorBidi" w:hAnsiTheme="majorBidi" w:cstheme="majorBidi"/>
          <w:i w:val="0"/>
          <w:iCs/>
          <w:sz w:val="26"/>
          <w:szCs w:val="26"/>
        </w:rPr>
        <w:t>,</w:t>
      </w: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 201</w:t>
      </w:r>
      <w:r w:rsidR="00F77963" w:rsidRPr="00686601">
        <w:rPr>
          <w:rFonts w:asciiTheme="majorBidi" w:hAnsiTheme="majorBidi" w:cstheme="majorBidi"/>
          <w:i w:val="0"/>
          <w:iCs/>
          <w:sz w:val="26"/>
          <w:szCs w:val="26"/>
        </w:rPr>
        <w:t>9</w:t>
      </w:r>
    </w:p>
    <w:p w:rsidR="00DB5004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DB5004" w:rsidRPr="00686601" w:rsidRDefault="00F00306" w:rsidP="00686601">
      <w:pPr>
        <w:ind w:right="3631"/>
        <w:contextualSpacing/>
        <w:rPr>
          <w:rFonts w:asciiTheme="majorBidi" w:hAnsiTheme="majorBidi" w:cstheme="majorBidi"/>
          <w:b w:val="0"/>
          <w:bCs/>
          <w:i w:val="0"/>
          <w:iCs/>
        </w:rPr>
      </w:pPr>
      <w:r w:rsidRPr="00686601">
        <w:rPr>
          <w:rFonts w:asciiTheme="majorBidi" w:hAnsiTheme="majorBidi" w:cstheme="majorBidi"/>
          <w:b w:val="0"/>
          <w:bCs/>
          <w:i w:val="0"/>
          <w:iCs/>
        </w:rPr>
        <w:t xml:space="preserve">  </w:t>
      </w:r>
      <w:r w:rsidR="00DB5004" w:rsidRPr="00686601">
        <w:rPr>
          <w:rFonts w:asciiTheme="majorBidi" w:hAnsiTheme="majorBidi" w:cstheme="majorBidi"/>
          <w:b w:val="0"/>
          <w:bCs/>
          <w:i w:val="0"/>
          <w:iCs/>
        </w:rPr>
        <w:t xml:space="preserve"> Value in million USD</w:t>
      </w:r>
    </w:p>
    <w:p w:rsidR="00686601" w:rsidRPr="00F26832" w:rsidRDefault="00686601" w:rsidP="00686601">
      <w:pPr>
        <w:ind w:right="3631"/>
        <w:contextualSpacing/>
        <w:rPr>
          <w:rFonts w:ascii="Arial" w:hAnsi="Arial"/>
          <w:b w:val="0"/>
          <w:bCs/>
          <w:i w:val="0"/>
          <w:iCs/>
          <w:sz w:val="18"/>
          <w:szCs w:val="18"/>
        </w:rPr>
      </w:pPr>
    </w:p>
    <w:tbl>
      <w:tblPr>
        <w:bidiVisual/>
        <w:tblW w:w="10929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1106"/>
        <w:gridCol w:w="1729"/>
        <w:gridCol w:w="977"/>
        <w:gridCol w:w="1261"/>
        <w:gridCol w:w="1309"/>
        <w:gridCol w:w="3489"/>
      </w:tblGrid>
      <w:tr w:rsidR="00686601" w:rsidRPr="00686601" w:rsidTr="00686601">
        <w:trPr>
          <w:trHeight w:val="284"/>
          <w:jc w:val="center"/>
        </w:trPr>
        <w:tc>
          <w:tcPr>
            <w:tcW w:w="484" w:type="pct"/>
            <w:vMerge w:val="restart"/>
            <w:vAlign w:val="center"/>
          </w:tcPr>
          <w:p w:rsidR="00DB5004" w:rsidRPr="00686601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TOTAL</w:t>
            </w:r>
          </w:p>
        </w:tc>
        <w:tc>
          <w:tcPr>
            <w:tcW w:w="1297" w:type="pct"/>
            <w:gridSpan w:val="2"/>
            <w:vAlign w:val="center"/>
          </w:tcPr>
          <w:p w:rsidR="00DB5004" w:rsidRPr="00686601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Other Sectors</w:t>
            </w:r>
          </w:p>
        </w:tc>
        <w:tc>
          <w:tcPr>
            <w:tcW w:w="447" w:type="pct"/>
            <w:vMerge w:val="restart"/>
            <w:vAlign w:val="center"/>
          </w:tcPr>
          <w:p w:rsidR="00DB5004" w:rsidRPr="00686601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Banks Sector</w:t>
            </w:r>
          </w:p>
        </w:tc>
        <w:tc>
          <w:tcPr>
            <w:tcW w:w="577" w:type="pct"/>
            <w:vMerge w:val="restart"/>
            <w:vAlign w:val="center"/>
          </w:tcPr>
          <w:p w:rsidR="00DB5004" w:rsidRPr="00686601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Government Sector</w:t>
            </w:r>
          </w:p>
        </w:tc>
        <w:tc>
          <w:tcPr>
            <w:tcW w:w="599" w:type="pct"/>
            <w:vMerge w:val="restart"/>
            <w:vAlign w:val="center"/>
          </w:tcPr>
          <w:p w:rsidR="00DB5004" w:rsidRPr="00686601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Monetary Authorities (PMA)</w:t>
            </w:r>
          </w:p>
        </w:tc>
        <w:tc>
          <w:tcPr>
            <w:tcW w:w="1596" w:type="pct"/>
            <w:vMerge w:val="restart"/>
          </w:tcPr>
          <w:p w:rsidR="00DB5004" w:rsidRPr="00686601" w:rsidRDefault="005C7310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05pt;margin-top:2.05pt;width:170.55pt;height:98.6pt;z-index:251663360;mso-position-horizontal-relative:text;mso-position-vertical-relative:text" o:connectortype="straight">
                  <w10:wrap anchorx="page"/>
                </v:shape>
              </w:pict>
            </w:r>
            <w:r w:rsidR="00DB5004"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           Economic Sector</w:t>
            </w:r>
            <w:r w:rsidR="00DB5004"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  <w:t xml:space="preserve">   </w:t>
            </w:r>
          </w:p>
          <w:p w:rsidR="00DB5004" w:rsidRPr="00686601" w:rsidRDefault="00DB5004" w:rsidP="002D40C1">
            <w:pPr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</w:p>
          <w:p w:rsidR="00DB5004" w:rsidRPr="00686601" w:rsidRDefault="00DB5004" w:rsidP="002D40C1">
            <w:pPr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</w:p>
          <w:p w:rsidR="00DB5004" w:rsidRPr="00686601" w:rsidRDefault="00DB5004" w:rsidP="002D40C1">
            <w:pPr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</w:p>
          <w:p w:rsidR="00DB5004" w:rsidRPr="00686601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              </w:t>
            </w:r>
          </w:p>
          <w:p w:rsidR="00DB5004" w:rsidRPr="00686601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</w:p>
          <w:p w:rsidR="00DB5004" w:rsidRPr="00686601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Investments Stocks by </w:t>
            </w:r>
          </w:p>
          <w:p w:rsidR="00DB5004" w:rsidRPr="00686601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Type of Investment</w:t>
            </w:r>
          </w:p>
        </w:tc>
      </w:tr>
      <w:tr w:rsidR="00686601" w:rsidRPr="00686601" w:rsidTr="00686601">
        <w:trPr>
          <w:trHeight w:val="1492"/>
          <w:jc w:val="center"/>
        </w:trPr>
        <w:tc>
          <w:tcPr>
            <w:tcW w:w="484" w:type="pct"/>
            <w:vMerge/>
            <w:vAlign w:val="center"/>
          </w:tcPr>
          <w:p w:rsidR="00DB5004" w:rsidRPr="00686601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</w:p>
        </w:tc>
        <w:tc>
          <w:tcPr>
            <w:tcW w:w="506" w:type="pct"/>
            <w:vAlign w:val="center"/>
          </w:tcPr>
          <w:p w:rsidR="00DB5004" w:rsidRPr="00686601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House- Holds Sector</w:t>
            </w:r>
          </w:p>
        </w:tc>
        <w:tc>
          <w:tcPr>
            <w:tcW w:w="791" w:type="pct"/>
            <w:vAlign w:val="center"/>
          </w:tcPr>
          <w:p w:rsidR="00DB5004" w:rsidRPr="00686601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Nonbank Financial Corporations, Non-Financial Corporations, and NGOs Sector</w:t>
            </w:r>
          </w:p>
        </w:tc>
        <w:tc>
          <w:tcPr>
            <w:tcW w:w="447" w:type="pct"/>
            <w:vMerge/>
          </w:tcPr>
          <w:p w:rsidR="00DB5004" w:rsidRPr="00686601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  <w:rtl/>
              </w:rPr>
            </w:pPr>
          </w:p>
        </w:tc>
        <w:tc>
          <w:tcPr>
            <w:tcW w:w="577" w:type="pct"/>
            <w:vMerge/>
          </w:tcPr>
          <w:p w:rsidR="00DB5004" w:rsidRPr="00686601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  <w:rtl/>
              </w:rPr>
            </w:pPr>
          </w:p>
        </w:tc>
        <w:tc>
          <w:tcPr>
            <w:tcW w:w="599" w:type="pct"/>
            <w:vMerge/>
            <w:vAlign w:val="center"/>
          </w:tcPr>
          <w:p w:rsidR="00DB5004" w:rsidRPr="00686601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  <w:rtl/>
              </w:rPr>
            </w:pPr>
          </w:p>
        </w:tc>
        <w:tc>
          <w:tcPr>
            <w:tcW w:w="1596" w:type="pct"/>
            <w:vMerge/>
          </w:tcPr>
          <w:p w:rsidR="00DB5004" w:rsidRPr="00686601" w:rsidRDefault="00DB5004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  <w:rtl/>
              </w:rPr>
            </w:pPr>
          </w:p>
        </w:tc>
      </w:tr>
      <w:tr w:rsidR="00686601" w:rsidRPr="00686601" w:rsidTr="00686601">
        <w:trPr>
          <w:trHeight w:val="284"/>
          <w:jc w:val="center"/>
        </w:trPr>
        <w:tc>
          <w:tcPr>
            <w:tcW w:w="484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1,9</w:t>
            </w:r>
            <w:r w:rsidR="00CE3CDD"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6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-972</w:t>
            </w:r>
          </w:p>
        </w:tc>
        <w:tc>
          <w:tcPr>
            <w:tcW w:w="791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-26</w:t>
            </w:r>
            <w:r w:rsidR="004B46C3"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2,</w:t>
            </w:r>
            <w:r w:rsidR="007B1CC5"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297</w:t>
            </w:r>
          </w:p>
        </w:tc>
        <w:tc>
          <w:tcPr>
            <w:tcW w:w="57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-102</w:t>
            </w:r>
          </w:p>
        </w:tc>
        <w:tc>
          <w:tcPr>
            <w:tcW w:w="599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  <w:rtl/>
              </w:rPr>
              <w:t>963</w:t>
            </w:r>
          </w:p>
        </w:tc>
        <w:tc>
          <w:tcPr>
            <w:tcW w:w="1596" w:type="pct"/>
            <w:vAlign w:val="center"/>
          </w:tcPr>
          <w:p w:rsidR="005643D1" w:rsidRPr="00686601" w:rsidRDefault="005643D1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International Investment Position (net)*</w:t>
            </w:r>
          </w:p>
        </w:tc>
      </w:tr>
      <w:tr w:rsidR="00686601" w:rsidRPr="00686601" w:rsidTr="00686601">
        <w:trPr>
          <w:trHeight w:val="284"/>
          <w:jc w:val="center"/>
        </w:trPr>
        <w:tc>
          <w:tcPr>
            <w:tcW w:w="484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7,255</w:t>
            </w:r>
          </w:p>
        </w:tc>
        <w:tc>
          <w:tcPr>
            <w:tcW w:w="506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791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939</w:t>
            </w:r>
          </w:p>
        </w:tc>
        <w:tc>
          <w:tcPr>
            <w:tcW w:w="44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4,359</w:t>
            </w:r>
          </w:p>
        </w:tc>
        <w:tc>
          <w:tcPr>
            <w:tcW w:w="57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958</w:t>
            </w:r>
          </w:p>
        </w:tc>
        <w:tc>
          <w:tcPr>
            <w:tcW w:w="599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  <w:rtl/>
              </w:rPr>
              <w:t>963</w:t>
            </w:r>
          </w:p>
        </w:tc>
        <w:tc>
          <w:tcPr>
            <w:tcW w:w="1596" w:type="pct"/>
            <w:vAlign w:val="center"/>
          </w:tcPr>
          <w:p w:rsidR="005643D1" w:rsidRPr="00686601" w:rsidRDefault="005643D1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Total External Assets </w:t>
            </w:r>
          </w:p>
        </w:tc>
      </w:tr>
      <w:tr w:rsidR="00686601" w:rsidRPr="00686601" w:rsidTr="00686601">
        <w:trPr>
          <w:trHeight w:val="284"/>
          <w:jc w:val="center"/>
        </w:trPr>
        <w:tc>
          <w:tcPr>
            <w:tcW w:w="484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326</w:t>
            </w:r>
          </w:p>
        </w:tc>
        <w:tc>
          <w:tcPr>
            <w:tcW w:w="506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1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316</w:t>
            </w:r>
          </w:p>
        </w:tc>
        <w:tc>
          <w:tcPr>
            <w:tcW w:w="44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99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pct"/>
            <w:vAlign w:val="center"/>
          </w:tcPr>
          <w:p w:rsidR="005643D1" w:rsidRPr="00686601" w:rsidRDefault="005643D1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Direct Investment Abroad</w:t>
            </w:r>
          </w:p>
        </w:tc>
      </w:tr>
      <w:tr w:rsidR="00686601" w:rsidRPr="00686601" w:rsidTr="00686601">
        <w:trPr>
          <w:trHeight w:val="284"/>
          <w:jc w:val="center"/>
        </w:trPr>
        <w:tc>
          <w:tcPr>
            <w:tcW w:w="484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1,396</w:t>
            </w:r>
          </w:p>
        </w:tc>
        <w:tc>
          <w:tcPr>
            <w:tcW w:w="506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44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7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99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  <w:rtl/>
              </w:rPr>
              <w:t>71</w:t>
            </w:r>
          </w:p>
        </w:tc>
        <w:tc>
          <w:tcPr>
            <w:tcW w:w="1596" w:type="pct"/>
            <w:vAlign w:val="center"/>
          </w:tcPr>
          <w:p w:rsidR="005643D1" w:rsidRPr="00686601" w:rsidRDefault="005643D1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Portfolio Investments Abroad</w:t>
            </w:r>
          </w:p>
        </w:tc>
      </w:tr>
      <w:tr w:rsidR="00686601" w:rsidRPr="00686601" w:rsidTr="00686601">
        <w:trPr>
          <w:trHeight w:val="284"/>
          <w:jc w:val="center"/>
        </w:trPr>
        <w:tc>
          <w:tcPr>
            <w:tcW w:w="484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4,934</w:t>
            </w:r>
          </w:p>
        </w:tc>
        <w:tc>
          <w:tcPr>
            <w:tcW w:w="506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91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44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3,451</w:t>
            </w:r>
          </w:p>
        </w:tc>
        <w:tc>
          <w:tcPr>
            <w:tcW w:w="57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958</w:t>
            </w:r>
          </w:p>
        </w:tc>
        <w:tc>
          <w:tcPr>
            <w:tcW w:w="599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  <w:rtl/>
              </w:rPr>
              <w:t>293</w:t>
            </w:r>
          </w:p>
        </w:tc>
        <w:tc>
          <w:tcPr>
            <w:tcW w:w="1596" w:type="pct"/>
            <w:vAlign w:val="center"/>
          </w:tcPr>
          <w:p w:rsidR="005643D1" w:rsidRPr="00686601" w:rsidRDefault="005643D1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Other Investments Abroad</w:t>
            </w:r>
          </w:p>
        </w:tc>
      </w:tr>
      <w:tr w:rsidR="00686601" w:rsidRPr="00686601" w:rsidTr="00686601">
        <w:trPr>
          <w:trHeight w:val="284"/>
          <w:jc w:val="center"/>
        </w:trPr>
        <w:tc>
          <w:tcPr>
            <w:tcW w:w="484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3,721</w:t>
            </w:r>
          </w:p>
        </w:tc>
        <w:tc>
          <w:tcPr>
            <w:tcW w:w="506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91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3,367</w:t>
            </w:r>
          </w:p>
        </w:tc>
        <w:tc>
          <w:tcPr>
            <w:tcW w:w="57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99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  <w:rtl/>
              </w:rPr>
              <w:t>293</w:t>
            </w:r>
          </w:p>
        </w:tc>
        <w:tc>
          <w:tcPr>
            <w:tcW w:w="1596" w:type="pct"/>
            <w:vAlign w:val="center"/>
          </w:tcPr>
          <w:p w:rsidR="005643D1" w:rsidRPr="00686601" w:rsidRDefault="005643D1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     Of which: currency and deposits**</w:t>
            </w:r>
          </w:p>
        </w:tc>
      </w:tr>
      <w:tr w:rsidR="00686601" w:rsidRPr="00686601" w:rsidTr="00686601">
        <w:trPr>
          <w:trHeight w:val="284"/>
          <w:jc w:val="center"/>
        </w:trPr>
        <w:tc>
          <w:tcPr>
            <w:tcW w:w="484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599</w:t>
            </w:r>
          </w:p>
        </w:tc>
        <w:tc>
          <w:tcPr>
            <w:tcW w:w="506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99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  <w:rtl/>
              </w:rPr>
              <w:t>599</w:t>
            </w:r>
          </w:p>
        </w:tc>
        <w:tc>
          <w:tcPr>
            <w:tcW w:w="1596" w:type="pct"/>
            <w:vAlign w:val="center"/>
          </w:tcPr>
          <w:p w:rsidR="005643D1" w:rsidRPr="00686601" w:rsidRDefault="005643D1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Reserve Assets</w:t>
            </w:r>
          </w:p>
        </w:tc>
      </w:tr>
      <w:tr w:rsidR="00686601" w:rsidRPr="00686601" w:rsidTr="00686601">
        <w:trPr>
          <w:trHeight w:val="284"/>
          <w:jc w:val="center"/>
        </w:trPr>
        <w:tc>
          <w:tcPr>
            <w:tcW w:w="484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rPr>
                <w:rFonts w:asciiTheme="majorBidi" w:hAnsiTheme="majorBidi" w:cstheme="majorBidi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5,3</w:t>
            </w:r>
            <w:r w:rsidR="00CE3CDD"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6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1,008</w:t>
            </w:r>
          </w:p>
        </w:tc>
        <w:tc>
          <w:tcPr>
            <w:tcW w:w="791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1,20</w:t>
            </w:r>
            <w:r w:rsidR="004B46C3"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2,0</w:t>
            </w:r>
            <w:r w:rsidR="007B1CC5"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7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1,060</w:t>
            </w:r>
          </w:p>
        </w:tc>
        <w:tc>
          <w:tcPr>
            <w:tcW w:w="599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pct"/>
            <w:vAlign w:val="center"/>
          </w:tcPr>
          <w:p w:rsidR="005643D1" w:rsidRPr="00686601" w:rsidRDefault="005643D1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Total Foreign Liabilities </w:t>
            </w:r>
          </w:p>
        </w:tc>
      </w:tr>
      <w:tr w:rsidR="00686601" w:rsidRPr="00686601" w:rsidTr="00686601">
        <w:trPr>
          <w:trHeight w:val="284"/>
          <w:jc w:val="center"/>
        </w:trPr>
        <w:tc>
          <w:tcPr>
            <w:tcW w:w="484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2,83</w:t>
            </w:r>
            <w:r w:rsidR="00CE3CDD"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1,008</w:t>
            </w:r>
          </w:p>
        </w:tc>
        <w:tc>
          <w:tcPr>
            <w:tcW w:w="791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77</w:t>
            </w:r>
            <w:r w:rsidR="004B46C3"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1,053</w:t>
            </w:r>
          </w:p>
        </w:tc>
        <w:tc>
          <w:tcPr>
            <w:tcW w:w="57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99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pct"/>
            <w:vAlign w:val="center"/>
          </w:tcPr>
          <w:p w:rsidR="005643D1" w:rsidRPr="00686601" w:rsidRDefault="005643D1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Direct Investment in Palestine</w:t>
            </w:r>
          </w:p>
        </w:tc>
      </w:tr>
      <w:tr w:rsidR="00686601" w:rsidRPr="00686601" w:rsidTr="00686601">
        <w:trPr>
          <w:trHeight w:val="284"/>
          <w:jc w:val="center"/>
        </w:trPr>
        <w:tc>
          <w:tcPr>
            <w:tcW w:w="484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</w:t>
            </w:r>
            <w:r w:rsidR="00CE3CDD"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06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44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</w:t>
            </w:r>
            <w:r w:rsidR="007B1CC5"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7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99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pct"/>
            <w:vAlign w:val="center"/>
          </w:tcPr>
          <w:p w:rsidR="005643D1" w:rsidRPr="00686601" w:rsidRDefault="005643D1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Portfolio Investments in Palestine</w:t>
            </w:r>
          </w:p>
        </w:tc>
      </w:tr>
      <w:tr w:rsidR="00686601" w:rsidRPr="00686601" w:rsidTr="00686601">
        <w:trPr>
          <w:trHeight w:val="284"/>
          <w:jc w:val="center"/>
        </w:trPr>
        <w:tc>
          <w:tcPr>
            <w:tcW w:w="484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1,723</w:t>
            </w:r>
          </w:p>
        </w:tc>
        <w:tc>
          <w:tcPr>
            <w:tcW w:w="506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627</w:t>
            </w:r>
          </w:p>
        </w:tc>
        <w:tc>
          <w:tcPr>
            <w:tcW w:w="57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1,060</w:t>
            </w:r>
          </w:p>
        </w:tc>
        <w:tc>
          <w:tcPr>
            <w:tcW w:w="599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pct"/>
            <w:vAlign w:val="center"/>
          </w:tcPr>
          <w:p w:rsidR="005643D1" w:rsidRPr="00686601" w:rsidRDefault="005643D1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Other Investments in Palestine:</w:t>
            </w:r>
          </w:p>
        </w:tc>
      </w:tr>
      <w:tr w:rsidR="00686601" w:rsidRPr="00686601" w:rsidTr="00686601">
        <w:trPr>
          <w:trHeight w:val="284"/>
          <w:jc w:val="center"/>
        </w:trPr>
        <w:tc>
          <w:tcPr>
            <w:tcW w:w="484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1,074</w:t>
            </w:r>
          </w:p>
        </w:tc>
        <w:tc>
          <w:tcPr>
            <w:tcW w:w="506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7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1,060</w:t>
            </w:r>
          </w:p>
        </w:tc>
        <w:tc>
          <w:tcPr>
            <w:tcW w:w="599" w:type="pct"/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pct"/>
            <w:vAlign w:val="center"/>
          </w:tcPr>
          <w:p w:rsidR="005643D1" w:rsidRPr="00686601" w:rsidRDefault="005643D1" w:rsidP="00B6004F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     Of which: loans from abroad</w:t>
            </w:r>
          </w:p>
        </w:tc>
      </w:tr>
      <w:tr w:rsidR="00686601" w:rsidRPr="00686601" w:rsidTr="00686601">
        <w:trPr>
          <w:trHeight w:val="284"/>
          <w:jc w:val="center"/>
        </w:trPr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627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627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bottom"/>
          </w:tcPr>
          <w:p w:rsidR="005643D1" w:rsidRPr="00686601" w:rsidRDefault="005643D1" w:rsidP="00686601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pct"/>
            <w:tcBorders>
              <w:bottom w:val="single" w:sz="4" w:space="0" w:color="auto"/>
            </w:tcBorders>
            <w:vAlign w:val="center"/>
          </w:tcPr>
          <w:p w:rsidR="005643D1" w:rsidRPr="00686601" w:rsidRDefault="005643D1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    Of which: currency and deposits***</w:t>
            </w:r>
          </w:p>
        </w:tc>
      </w:tr>
    </w:tbl>
    <w:p w:rsidR="00DB5004" w:rsidRPr="003F4147" w:rsidRDefault="00DB5004" w:rsidP="00686601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DB5004" w:rsidRPr="000D1317" w:rsidRDefault="00DB5004" w:rsidP="00686601">
      <w:pPr>
        <w:spacing w:line="0" w:lineRule="atLeast"/>
        <w:ind w:right="142"/>
        <w:rPr>
          <w:rFonts w:ascii="Arial" w:hAnsi="Arial"/>
          <w:b w:val="0"/>
          <w:bCs/>
          <w:sz w:val="17"/>
          <w:szCs w:val="17"/>
        </w:rPr>
      </w:pPr>
      <w:r w:rsidRPr="0041774E">
        <w:rPr>
          <w:rFonts w:ascii="Arial" w:hAnsi="Arial"/>
          <w:sz w:val="17"/>
          <w:szCs w:val="17"/>
        </w:rPr>
        <w:t>Notes</w:t>
      </w:r>
      <w:r w:rsidRPr="000D1317">
        <w:rPr>
          <w:rFonts w:ascii="Arial" w:hAnsi="Arial"/>
          <w:b w:val="0"/>
          <w:bCs/>
          <w:sz w:val="17"/>
          <w:szCs w:val="17"/>
        </w:rPr>
        <w:t xml:space="preserve">: </w:t>
      </w:r>
    </w:p>
    <w:p w:rsidR="00DB5004" w:rsidRPr="0041774E" w:rsidRDefault="00DB5004" w:rsidP="00686601">
      <w:pPr>
        <w:pStyle w:val="ListParagraph"/>
        <w:spacing w:line="0" w:lineRule="atLeast"/>
        <w:ind w:left="0"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>
        <w:rPr>
          <w:rFonts w:ascii="Arial" w:hAnsi="Arial"/>
          <w:b w:val="0"/>
          <w:bCs/>
          <w:i w:val="0"/>
          <w:iCs/>
          <w:sz w:val="17"/>
          <w:szCs w:val="17"/>
        </w:rPr>
        <w:t xml:space="preserve">- </w:t>
      </w:r>
      <w:r w:rsidRPr="0041774E">
        <w:rPr>
          <w:rFonts w:ascii="Arial" w:hAnsi="Arial"/>
          <w:b w:val="0"/>
          <w:bCs/>
          <w:i w:val="0"/>
          <w:iCs/>
          <w:sz w:val="17"/>
          <w:szCs w:val="17"/>
        </w:rPr>
        <w:t>The data in the above table are close to the nearest integer.</w:t>
      </w:r>
    </w:p>
    <w:p w:rsidR="00DB5004" w:rsidRPr="0041774E" w:rsidRDefault="00DB5004" w:rsidP="00686601">
      <w:pPr>
        <w:pStyle w:val="ListParagraph"/>
        <w:spacing w:line="0" w:lineRule="atLeast"/>
        <w:ind w:left="0"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>
        <w:rPr>
          <w:rFonts w:ascii="Arial" w:hAnsi="Arial"/>
          <w:b w:val="0"/>
          <w:bCs/>
          <w:i w:val="0"/>
          <w:iCs/>
          <w:sz w:val="17"/>
          <w:szCs w:val="17"/>
        </w:rPr>
        <w:t xml:space="preserve">- </w:t>
      </w:r>
      <w:r w:rsidRPr="0041774E">
        <w:rPr>
          <w:rFonts w:ascii="Arial" w:hAnsi="Arial"/>
          <w:b w:val="0"/>
          <w:bCs/>
          <w:i w:val="0"/>
          <w:iCs/>
          <w:sz w:val="17"/>
          <w:szCs w:val="17"/>
        </w:rPr>
        <w:t>The data does not include the value of land owned by non-residents.</w:t>
      </w:r>
    </w:p>
    <w:p w:rsidR="00DB5004" w:rsidRPr="00DD063E" w:rsidRDefault="00DB5004" w:rsidP="00686601">
      <w:pPr>
        <w:spacing w:line="0" w:lineRule="atLeast"/>
        <w:ind w:right="142"/>
        <w:jc w:val="both"/>
        <w:rPr>
          <w:rFonts w:ascii="Arial" w:hAnsi="Arial"/>
          <w:b w:val="0"/>
          <w:bCs/>
          <w:i w:val="0"/>
          <w:iCs/>
          <w:sz w:val="17"/>
          <w:szCs w:val="17"/>
          <w:rtl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* International investment position (net): equals total external assets minus total foreign liabilities.</w:t>
      </w:r>
    </w:p>
    <w:p w:rsidR="00DB5004" w:rsidRPr="00DD063E" w:rsidRDefault="00DB5004" w:rsidP="00686601">
      <w:pPr>
        <w:spacing w:line="0" w:lineRule="atLeast"/>
        <w:ind w:right="-45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** Currency and deposits: Includ</w:t>
      </w:r>
      <w:r w:rsidR="00840C31">
        <w:rPr>
          <w:rFonts w:ascii="Arial" w:hAnsi="Arial"/>
          <w:b w:val="0"/>
          <w:bCs/>
          <w:i w:val="0"/>
          <w:iCs/>
          <w:sz w:val="17"/>
          <w:szCs w:val="17"/>
        </w:rPr>
        <w:t>e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 </w:t>
      </w:r>
      <w:r w:rsidR="00112F30">
        <w:rPr>
          <w:rFonts w:ascii="Arial" w:hAnsi="Arial"/>
          <w:b w:val="0"/>
          <w:bCs/>
          <w:i w:val="0"/>
          <w:iCs/>
          <w:sz w:val="17"/>
          <w:szCs w:val="17"/>
        </w:rPr>
        <w:t xml:space="preserve">the 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residents deposits in banks abroad, </w:t>
      </w:r>
      <w:r>
        <w:rPr>
          <w:rFonts w:ascii="Arial" w:hAnsi="Arial"/>
          <w:b w:val="0"/>
          <w:bCs/>
          <w:i w:val="0"/>
          <w:iCs/>
          <w:sz w:val="17"/>
          <w:szCs w:val="17"/>
        </w:rPr>
        <w:t>i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n addition to foreign </w:t>
      </w:r>
      <w:r w:rsidR="00AF576D">
        <w:rPr>
          <w:rFonts w:ascii="Arial" w:hAnsi="Arial"/>
          <w:b w:val="0"/>
          <w:bCs/>
          <w:i w:val="0"/>
          <w:iCs/>
          <w:sz w:val="17"/>
          <w:szCs w:val="17"/>
        </w:rPr>
        <w:t>exchange</w:t>
      </w:r>
      <w:r w:rsidR="00112F30">
        <w:rPr>
          <w:rFonts w:ascii="Arial" w:hAnsi="Arial"/>
          <w:b w:val="0"/>
          <w:bCs/>
          <w:i w:val="0"/>
          <w:iCs/>
          <w:sz w:val="17"/>
          <w:szCs w:val="17"/>
        </w:rPr>
        <w:t xml:space="preserve"> in Palestinian 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economy.</w:t>
      </w:r>
    </w:p>
    <w:p w:rsidR="00DB5004" w:rsidRPr="00DD063E" w:rsidRDefault="00DB5004" w:rsidP="00686601">
      <w:pPr>
        <w:spacing w:line="0" w:lineRule="atLeast"/>
        <w:ind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*** Currency and deposits: Include the deposits of non-residents deposited in </w:t>
      </w:r>
      <w:r>
        <w:rPr>
          <w:rFonts w:ascii="Arial" w:hAnsi="Arial"/>
          <w:b w:val="0"/>
          <w:bCs/>
          <w:i w:val="0"/>
          <w:iCs/>
          <w:sz w:val="17"/>
          <w:szCs w:val="17"/>
        </w:rPr>
        <w:t>resident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 banks.</w:t>
      </w:r>
    </w:p>
    <w:p w:rsidR="00A17742" w:rsidRDefault="00A17742" w:rsidP="00DB5004">
      <w:pPr>
        <w:spacing w:before="120" w:after="120" w:line="276" w:lineRule="auto"/>
        <w:jc w:val="right"/>
        <w:rPr>
          <w:rFonts w:asciiTheme="majorBidi" w:hAnsiTheme="majorBidi" w:cstheme="majorBidi"/>
          <w:bCs/>
          <w:iCs/>
          <w:rtl/>
        </w:rPr>
      </w:pPr>
    </w:p>
    <w:p w:rsidR="00A17742" w:rsidRDefault="00A17742" w:rsidP="00DB5004">
      <w:pPr>
        <w:spacing w:before="120" w:after="120" w:line="276" w:lineRule="auto"/>
        <w:jc w:val="right"/>
        <w:rPr>
          <w:rFonts w:asciiTheme="majorBidi" w:hAnsiTheme="majorBidi" w:cstheme="majorBidi"/>
          <w:bCs/>
          <w:iCs/>
          <w:rtl/>
        </w:rPr>
      </w:pPr>
    </w:p>
    <w:p w:rsidR="00A17742" w:rsidRDefault="00A17742" w:rsidP="00DB5004">
      <w:pPr>
        <w:spacing w:before="120" w:after="120" w:line="276" w:lineRule="auto"/>
        <w:jc w:val="right"/>
        <w:rPr>
          <w:rFonts w:asciiTheme="majorBidi" w:hAnsiTheme="majorBidi" w:cstheme="majorBidi"/>
          <w:bCs/>
          <w:iCs/>
          <w:rtl/>
        </w:rPr>
      </w:pPr>
    </w:p>
    <w:p w:rsidR="00A17742" w:rsidRDefault="00A17742" w:rsidP="00DB5004">
      <w:pPr>
        <w:spacing w:before="120" w:after="120" w:line="276" w:lineRule="auto"/>
        <w:jc w:val="right"/>
        <w:rPr>
          <w:rFonts w:asciiTheme="majorBidi" w:hAnsiTheme="majorBidi" w:cstheme="majorBidi"/>
          <w:bCs/>
          <w:iCs/>
          <w:rtl/>
        </w:rPr>
      </w:pPr>
    </w:p>
    <w:p w:rsidR="00A17742" w:rsidRDefault="00A17742" w:rsidP="00DB5004">
      <w:pPr>
        <w:spacing w:before="120" w:after="120" w:line="276" w:lineRule="auto"/>
        <w:jc w:val="right"/>
        <w:rPr>
          <w:rFonts w:asciiTheme="majorBidi" w:hAnsiTheme="majorBidi" w:cstheme="majorBidi"/>
          <w:bCs/>
          <w:iCs/>
          <w:rtl/>
        </w:rPr>
      </w:pPr>
    </w:p>
    <w:p w:rsidR="00A17742" w:rsidRDefault="00A17742" w:rsidP="00DB5004">
      <w:pPr>
        <w:spacing w:before="120" w:after="120" w:line="276" w:lineRule="auto"/>
        <w:jc w:val="right"/>
        <w:rPr>
          <w:rFonts w:asciiTheme="majorBidi" w:hAnsiTheme="majorBidi" w:cstheme="majorBidi"/>
          <w:bCs/>
          <w:iCs/>
          <w:rtl/>
        </w:rPr>
      </w:pPr>
    </w:p>
    <w:p w:rsidR="00A17742" w:rsidRDefault="00A17742" w:rsidP="00DB5004">
      <w:pPr>
        <w:spacing w:before="120" w:after="120" w:line="276" w:lineRule="auto"/>
        <w:jc w:val="right"/>
        <w:rPr>
          <w:rFonts w:asciiTheme="majorBidi" w:hAnsiTheme="majorBidi" w:cstheme="majorBidi"/>
          <w:bCs/>
          <w:iCs/>
          <w:rtl/>
        </w:rPr>
      </w:pPr>
    </w:p>
    <w:p w:rsidR="00A17742" w:rsidRDefault="00A17742" w:rsidP="00DB5004">
      <w:pPr>
        <w:spacing w:before="120" w:after="120" w:line="276" w:lineRule="auto"/>
        <w:jc w:val="right"/>
        <w:rPr>
          <w:rFonts w:asciiTheme="majorBidi" w:hAnsiTheme="majorBidi" w:cstheme="majorBidi"/>
          <w:bCs/>
          <w:iCs/>
        </w:rPr>
      </w:pPr>
    </w:p>
    <w:p w:rsidR="00686601" w:rsidRDefault="00686601" w:rsidP="00DB5004">
      <w:pPr>
        <w:spacing w:before="120" w:after="120" w:line="276" w:lineRule="auto"/>
        <w:jc w:val="right"/>
        <w:rPr>
          <w:rFonts w:asciiTheme="majorBidi" w:hAnsiTheme="majorBidi" w:cstheme="majorBidi"/>
          <w:bCs/>
          <w:iCs/>
          <w:rtl/>
        </w:rPr>
      </w:pPr>
    </w:p>
    <w:p w:rsidR="00A17742" w:rsidRDefault="00A17742" w:rsidP="00686601">
      <w:pPr>
        <w:spacing w:before="120" w:after="120" w:line="276" w:lineRule="auto"/>
        <w:rPr>
          <w:rFonts w:asciiTheme="majorBidi" w:hAnsiTheme="majorBidi" w:cstheme="majorBidi"/>
          <w:bCs/>
          <w:iCs/>
          <w:rtl/>
        </w:rPr>
      </w:pPr>
    </w:p>
    <w:p w:rsidR="00686601" w:rsidRDefault="00A17742" w:rsidP="00A17742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lastRenderedPageBreak/>
        <w:t xml:space="preserve">Table </w:t>
      </w:r>
      <w:r w:rsidRPr="00686601">
        <w:rPr>
          <w:rFonts w:asciiTheme="majorBidi" w:hAnsiTheme="majorBidi" w:cstheme="majorBidi"/>
          <w:b w:val="0"/>
          <w:bCs/>
          <w:sz w:val="26"/>
          <w:szCs w:val="26"/>
          <w:rtl/>
        </w:rPr>
        <w:t>2</w:t>
      </w: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t>: International Investment Position (IIP) Stock by Economic Sectors for Palestine,</w:t>
      </w:r>
    </w:p>
    <w:p w:rsidR="00A17742" w:rsidRPr="00686601" w:rsidRDefault="00A17742" w:rsidP="00A17742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 at the end of 2018</w:t>
      </w:r>
    </w:p>
    <w:p w:rsidR="00A17742" w:rsidRDefault="00A17742" w:rsidP="00A17742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A17742" w:rsidRPr="00686601" w:rsidRDefault="00A17742" w:rsidP="00686601">
      <w:pPr>
        <w:ind w:right="3631"/>
        <w:contextualSpacing/>
        <w:rPr>
          <w:rFonts w:asciiTheme="majorBidi" w:hAnsiTheme="majorBidi" w:cstheme="majorBidi"/>
          <w:b w:val="0"/>
          <w:bCs/>
          <w:i w:val="0"/>
          <w:iCs/>
        </w:rPr>
      </w:pPr>
      <w:r w:rsidRPr="00686601">
        <w:rPr>
          <w:rFonts w:asciiTheme="majorBidi" w:hAnsiTheme="majorBidi" w:cstheme="majorBidi"/>
          <w:b w:val="0"/>
          <w:bCs/>
          <w:i w:val="0"/>
          <w:iCs/>
        </w:rPr>
        <w:t xml:space="preserve">   Value in million USD</w:t>
      </w:r>
    </w:p>
    <w:tbl>
      <w:tblPr>
        <w:bidiVisual/>
        <w:tblW w:w="1082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1081"/>
        <w:gridCol w:w="1533"/>
        <w:gridCol w:w="1171"/>
        <w:gridCol w:w="1262"/>
        <w:gridCol w:w="1398"/>
        <w:gridCol w:w="3296"/>
      </w:tblGrid>
      <w:tr w:rsidR="00A17742" w:rsidRPr="00686601" w:rsidTr="00686601">
        <w:trPr>
          <w:trHeight w:val="284"/>
          <w:jc w:val="center"/>
        </w:trPr>
        <w:tc>
          <w:tcPr>
            <w:tcW w:w="499" w:type="pct"/>
            <w:vMerge w:val="restart"/>
            <w:vAlign w:val="center"/>
          </w:tcPr>
          <w:p w:rsidR="00A17742" w:rsidRPr="00686601" w:rsidRDefault="00A17742" w:rsidP="0075798C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TOTAL</w:t>
            </w:r>
          </w:p>
        </w:tc>
        <w:tc>
          <w:tcPr>
            <w:tcW w:w="1207" w:type="pct"/>
            <w:gridSpan w:val="2"/>
            <w:vAlign w:val="center"/>
          </w:tcPr>
          <w:p w:rsidR="00A17742" w:rsidRPr="00686601" w:rsidRDefault="00A17742" w:rsidP="0075798C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Other Sectors</w:t>
            </w:r>
          </w:p>
        </w:tc>
        <w:tc>
          <w:tcPr>
            <w:tcW w:w="541" w:type="pct"/>
            <w:vMerge w:val="restart"/>
            <w:vAlign w:val="center"/>
          </w:tcPr>
          <w:p w:rsidR="00A17742" w:rsidRPr="00686601" w:rsidRDefault="00A17742" w:rsidP="0075798C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Banks Sector</w:t>
            </w:r>
          </w:p>
        </w:tc>
        <w:tc>
          <w:tcPr>
            <w:tcW w:w="583" w:type="pct"/>
            <w:vMerge w:val="restart"/>
            <w:vAlign w:val="center"/>
          </w:tcPr>
          <w:p w:rsidR="00A17742" w:rsidRPr="00686601" w:rsidRDefault="00A17742" w:rsidP="0075798C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Government Sector</w:t>
            </w:r>
          </w:p>
        </w:tc>
        <w:tc>
          <w:tcPr>
            <w:tcW w:w="646" w:type="pct"/>
            <w:vMerge w:val="restart"/>
            <w:vAlign w:val="center"/>
          </w:tcPr>
          <w:p w:rsidR="00A17742" w:rsidRPr="00686601" w:rsidRDefault="00A17742" w:rsidP="0075798C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Monetary Authorities (PMA)</w:t>
            </w:r>
          </w:p>
        </w:tc>
        <w:tc>
          <w:tcPr>
            <w:tcW w:w="1523" w:type="pct"/>
            <w:vMerge w:val="restart"/>
          </w:tcPr>
          <w:p w:rsidR="00A17742" w:rsidRPr="00686601" w:rsidRDefault="005C7310" w:rsidP="0075798C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pict>
                <v:shape id="_x0000_s1028" type="#_x0000_t32" style="position:absolute;margin-left:-.4pt;margin-top:2.05pt;width:166.9pt;height:86.25pt;z-index:251671552;mso-position-horizontal-relative:text;mso-position-vertical-relative:text" o:connectortype="straight">
                  <w10:wrap anchorx="page"/>
                </v:shape>
              </w:pict>
            </w:r>
            <w:r w:rsidR="00A17742"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           Economic Sector</w:t>
            </w:r>
            <w:r w:rsidR="00A17742"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  <w:t xml:space="preserve">   </w:t>
            </w:r>
          </w:p>
          <w:p w:rsidR="00A17742" w:rsidRPr="00686601" w:rsidRDefault="00A17742" w:rsidP="0075798C">
            <w:pPr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</w:p>
          <w:p w:rsidR="00A17742" w:rsidRPr="00686601" w:rsidRDefault="00A17742" w:rsidP="0075798C">
            <w:pPr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</w:p>
          <w:p w:rsidR="00A17742" w:rsidRPr="00686601" w:rsidRDefault="00A17742" w:rsidP="0075798C">
            <w:pPr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</w:p>
          <w:p w:rsidR="00A17742" w:rsidRPr="00686601" w:rsidRDefault="00A17742" w:rsidP="0075798C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              </w:t>
            </w:r>
          </w:p>
          <w:p w:rsidR="00A17742" w:rsidRPr="00686601" w:rsidRDefault="00A17742" w:rsidP="0075798C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</w:p>
          <w:p w:rsidR="00A17742" w:rsidRPr="00686601" w:rsidRDefault="00A17742" w:rsidP="0075798C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Investments Stocks by </w:t>
            </w:r>
          </w:p>
          <w:p w:rsidR="00A17742" w:rsidRPr="00686601" w:rsidRDefault="00A17742" w:rsidP="0075798C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Type of Investment</w:t>
            </w:r>
          </w:p>
        </w:tc>
      </w:tr>
      <w:tr w:rsidR="00A17742" w:rsidRPr="00686601" w:rsidTr="00686601">
        <w:trPr>
          <w:trHeight w:val="1492"/>
          <w:jc w:val="center"/>
        </w:trPr>
        <w:tc>
          <w:tcPr>
            <w:tcW w:w="499" w:type="pct"/>
            <w:vMerge/>
            <w:vAlign w:val="center"/>
          </w:tcPr>
          <w:p w:rsidR="00A17742" w:rsidRPr="00686601" w:rsidRDefault="00A17742" w:rsidP="0075798C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</w:p>
        </w:tc>
        <w:tc>
          <w:tcPr>
            <w:tcW w:w="499" w:type="pct"/>
            <w:vAlign w:val="center"/>
          </w:tcPr>
          <w:p w:rsidR="00A17742" w:rsidRPr="00686601" w:rsidRDefault="00A17742" w:rsidP="0075798C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House- Holds Sector</w:t>
            </w:r>
          </w:p>
        </w:tc>
        <w:tc>
          <w:tcPr>
            <w:tcW w:w="708" w:type="pct"/>
            <w:vAlign w:val="center"/>
          </w:tcPr>
          <w:p w:rsidR="00A17742" w:rsidRPr="00686601" w:rsidRDefault="00A17742" w:rsidP="0075798C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Nonbank Financial Corporations, Non-Financial Corporations, and NGOs Sector</w:t>
            </w:r>
          </w:p>
        </w:tc>
        <w:tc>
          <w:tcPr>
            <w:tcW w:w="541" w:type="pct"/>
            <w:vMerge/>
          </w:tcPr>
          <w:p w:rsidR="00A17742" w:rsidRPr="00686601" w:rsidRDefault="00A17742" w:rsidP="0075798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583" w:type="pct"/>
            <w:vMerge/>
          </w:tcPr>
          <w:p w:rsidR="00A17742" w:rsidRPr="00686601" w:rsidRDefault="00A17742" w:rsidP="0075798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646" w:type="pct"/>
            <w:vMerge/>
            <w:vAlign w:val="center"/>
          </w:tcPr>
          <w:p w:rsidR="00A17742" w:rsidRPr="00686601" w:rsidRDefault="00A17742" w:rsidP="0075798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1523" w:type="pct"/>
            <w:vMerge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</w:tr>
      <w:tr w:rsidR="00A17742" w:rsidRPr="00686601" w:rsidTr="00686601">
        <w:trPr>
          <w:trHeight w:val="284"/>
          <w:jc w:val="center"/>
        </w:trPr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1,588</w:t>
            </w:r>
          </w:p>
        </w:tc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959</w:t>
            </w: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  <w:rtl/>
              </w:rPr>
              <w:t>-</w:t>
            </w:r>
          </w:p>
        </w:tc>
        <w:tc>
          <w:tcPr>
            <w:tcW w:w="708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264</w:t>
            </w: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  <w:rtl/>
              </w:rPr>
              <w:t>-</w:t>
            </w:r>
          </w:p>
        </w:tc>
        <w:tc>
          <w:tcPr>
            <w:tcW w:w="541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2,838</w:t>
            </w:r>
          </w:p>
        </w:tc>
        <w:tc>
          <w:tcPr>
            <w:tcW w:w="583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906-</w:t>
            </w:r>
          </w:p>
        </w:tc>
        <w:tc>
          <w:tcPr>
            <w:tcW w:w="646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879</w:t>
            </w:r>
          </w:p>
        </w:tc>
        <w:tc>
          <w:tcPr>
            <w:tcW w:w="1523" w:type="pct"/>
            <w:vAlign w:val="center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International Investment Position (net)*</w:t>
            </w:r>
          </w:p>
        </w:tc>
      </w:tr>
      <w:tr w:rsidR="00A17742" w:rsidRPr="00686601" w:rsidTr="00686601">
        <w:trPr>
          <w:trHeight w:val="284"/>
          <w:jc w:val="center"/>
        </w:trPr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6,557</w:t>
            </w:r>
          </w:p>
        </w:tc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8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41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4,581</w:t>
            </w:r>
          </w:p>
        </w:tc>
        <w:tc>
          <w:tcPr>
            <w:tcW w:w="583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126</w:t>
            </w:r>
          </w:p>
        </w:tc>
        <w:tc>
          <w:tcPr>
            <w:tcW w:w="646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879</w:t>
            </w:r>
          </w:p>
        </w:tc>
        <w:tc>
          <w:tcPr>
            <w:tcW w:w="1523" w:type="pct"/>
            <w:vAlign w:val="center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Total External Assets </w:t>
            </w:r>
          </w:p>
        </w:tc>
      </w:tr>
      <w:tr w:rsidR="00A17742" w:rsidRPr="00686601" w:rsidTr="00686601">
        <w:trPr>
          <w:trHeight w:val="284"/>
          <w:jc w:val="center"/>
        </w:trPr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41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6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3" w:type="pct"/>
            <w:vAlign w:val="center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Direct Investment Abroad</w:t>
            </w:r>
          </w:p>
        </w:tc>
      </w:tr>
      <w:tr w:rsidR="00A17742" w:rsidRPr="00686601" w:rsidTr="00686601">
        <w:trPr>
          <w:trHeight w:val="284"/>
          <w:jc w:val="center"/>
        </w:trPr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1,425</w:t>
            </w:r>
          </w:p>
        </w:tc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1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942</w:t>
            </w:r>
          </w:p>
        </w:tc>
        <w:tc>
          <w:tcPr>
            <w:tcW w:w="583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6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71</w:t>
            </w:r>
          </w:p>
        </w:tc>
        <w:tc>
          <w:tcPr>
            <w:tcW w:w="1523" w:type="pct"/>
            <w:vAlign w:val="center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Portfolio Investments Abroad</w:t>
            </w:r>
          </w:p>
        </w:tc>
      </w:tr>
      <w:tr w:rsidR="00A17742" w:rsidRPr="00686601" w:rsidTr="00686601">
        <w:trPr>
          <w:trHeight w:val="284"/>
          <w:jc w:val="center"/>
        </w:trPr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4,269</w:t>
            </w:r>
          </w:p>
        </w:tc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41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3,639</w:t>
            </w:r>
          </w:p>
        </w:tc>
        <w:tc>
          <w:tcPr>
            <w:tcW w:w="583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126</w:t>
            </w:r>
          </w:p>
        </w:tc>
        <w:tc>
          <w:tcPr>
            <w:tcW w:w="646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270</w:t>
            </w:r>
          </w:p>
        </w:tc>
        <w:tc>
          <w:tcPr>
            <w:tcW w:w="1523" w:type="pct"/>
            <w:vAlign w:val="center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Other Investments Abroad</w:t>
            </w:r>
          </w:p>
        </w:tc>
      </w:tr>
      <w:tr w:rsidR="00A17742" w:rsidRPr="00686601" w:rsidTr="00686601">
        <w:trPr>
          <w:trHeight w:val="284"/>
          <w:jc w:val="center"/>
        </w:trPr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3,885</w:t>
            </w:r>
          </w:p>
        </w:tc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41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3,552</w:t>
            </w:r>
          </w:p>
        </w:tc>
        <w:tc>
          <w:tcPr>
            <w:tcW w:w="583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6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270</w:t>
            </w:r>
          </w:p>
        </w:tc>
        <w:tc>
          <w:tcPr>
            <w:tcW w:w="1523" w:type="pct"/>
            <w:vAlign w:val="center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 xml:space="preserve">     Of which: currency and deposits**</w:t>
            </w:r>
          </w:p>
        </w:tc>
      </w:tr>
      <w:tr w:rsidR="00A17742" w:rsidRPr="00686601" w:rsidTr="00686601">
        <w:trPr>
          <w:trHeight w:val="284"/>
          <w:jc w:val="center"/>
        </w:trPr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538</w:t>
            </w:r>
          </w:p>
        </w:tc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1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6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538</w:t>
            </w:r>
          </w:p>
        </w:tc>
        <w:tc>
          <w:tcPr>
            <w:tcW w:w="1523" w:type="pct"/>
            <w:vAlign w:val="center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Reserve Assets</w:t>
            </w:r>
          </w:p>
        </w:tc>
      </w:tr>
      <w:tr w:rsidR="00A17742" w:rsidRPr="00686601" w:rsidTr="00686601">
        <w:trPr>
          <w:trHeight w:val="284"/>
          <w:jc w:val="center"/>
        </w:trPr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4,969</w:t>
            </w:r>
          </w:p>
        </w:tc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998</w:t>
            </w:r>
          </w:p>
        </w:tc>
        <w:tc>
          <w:tcPr>
            <w:tcW w:w="708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1,196</w:t>
            </w:r>
          </w:p>
        </w:tc>
        <w:tc>
          <w:tcPr>
            <w:tcW w:w="541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1,743</w:t>
            </w:r>
          </w:p>
        </w:tc>
        <w:tc>
          <w:tcPr>
            <w:tcW w:w="583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1,032</w:t>
            </w:r>
          </w:p>
        </w:tc>
        <w:tc>
          <w:tcPr>
            <w:tcW w:w="646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3" w:type="pct"/>
            <w:vAlign w:val="center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Total Foreign Liabilities </w:t>
            </w:r>
          </w:p>
        </w:tc>
      </w:tr>
      <w:tr w:rsidR="00A17742" w:rsidRPr="00686601" w:rsidTr="00686601">
        <w:trPr>
          <w:trHeight w:val="284"/>
          <w:jc w:val="center"/>
        </w:trPr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2,756</w:t>
            </w:r>
          </w:p>
        </w:tc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998</w:t>
            </w:r>
          </w:p>
        </w:tc>
        <w:tc>
          <w:tcPr>
            <w:tcW w:w="708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41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583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6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3" w:type="pct"/>
            <w:vAlign w:val="center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Direct Investment in Palestine</w:t>
            </w:r>
          </w:p>
        </w:tc>
      </w:tr>
      <w:tr w:rsidR="00A17742" w:rsidRPr="00686601" w:rsidTr="00686601">
        <w:trPr>
          <w:trHeight w:val="284"/>
          <w:jc w:val="center"/>
        </w:trPr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728</w:t>
            </w:r>
          </w:p>
        </w:tc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405</w:t>
            </w:r>
          </w:p>
        </w:tc>
        <w:tc>
          <w:tcPr>
            <w:tcW w:w="541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83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6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3" w:type="pct"/>
            <w:vAlign w:val="center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Portfolio Investments in Palestine</w:t>
            </w:r>
          </w:p>
        </w:tc>
      </w:tr>
      <w:tr w:rsidR="00A17742" w:rsidRPr="00686601" w:rsidTr="00686601">
        <w:trPr>
          <w:trHeight w:val="284"/>
          <w:jc w:val="center"/>
        </w:trPr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1,485</w:t>
            </w:r>
          </w:p>
        </w:tc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41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583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1,032</w:t>
            </w:r>
          </w:p>
        </w:tc>
        <w:tc>
          <w:tcPr>
            <w:tcW w:w="646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3" w:type="pct"/>
            <w:vAlign w:val="center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Other Investments in Palestine:</w:t>
            </w:r>
          </w:p>
        </w:tc>
      </w:tr>
      <w:tr w:rsidR="00A17742" w:rsidRPr="00686601" w:rsidTr="00686601">
        <w:trPr>
          <w:trHeight w:val="284"/>
          <w:jc w:val="center"/>
        </w:trPr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1,046</w:t>
            </w:r>
          </w:p>
        </w:tc>
        <w:tc>
          <w:tcPr>
            <w:tcW w:w="499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1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1,032</w:t>
            </w:r>
          </w:p>
        </w:tc>
        <w:tc>
          <w:tcPr>
            <w:tcW w:w="646" w:type="pct"/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3" w:type="pct"/>
            <w:vAlign w:val="center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 xml:space="preserve">     Of which: loans from abroad</w:t>
            </w:r>
          </w:p>
        </w:tc>
      </w:tr>
      <w:tr w:rsidR="00A17742" w:rsidRPr="00686601" w:rsidTr="00686601">
        <w:trPr>
          <w:trHeight w:val="284"/>
          <w:jc w:val="center"/>
        </w:trPr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bottom"/>
          </w:tcPr>
          <w:p w:rsidR="00A17742" w:rsidRPr="00686601" w:rsidRDefault="00A17742" w:rsidP="00686601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3" w:type="pct"/>
            <w:tcBorders>
              <w:bottom w:val="single" w:sz="4" w:space="0" w:color="auto"/>
            </w:tcBorders>
            <w:vAlign w:val="center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 xml:space="preserve">    Of which: currency and deposits***</w:t>
            </w:r>
          </w:p>
        </w:tc>
      </w:tr>
    </w:tbl>
    <w:p w:rsidR="00A17742" w:rsidRPr="003F4147" w:rsidRDefault="00A17742" w:rsidP="00686601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A17742" w:rsidRPr="000D1317" w:rsidRDefault="00A17742" w:rsidP="00686601">
      <w:pPr>
        <w:spacing w:line="0" w:lineRule="atLeast"/>
        <w:ind w:right="142"/>
        <w:rPr>
          <w:rFonts w:ascii="Arial" w:hAnsi="Arial"/>
          <w:b w:val="0"/>
          <w:bCs/>
          <w:sz w:val="17"/>
          <w:szCs w:val="17"/>
        </w:rPr>
      </w:pPr>
      <w:r w:rsidRPr="0041774E">
        <w:rPr>
          <w:rFonts w:ascii="Arial" w:hAnsi="Arial"/>
          <w:sz w:val="17"/>
          <w:szCs w:val="17"/>
        </w:rPr>
        <w:t>Notes</w:t>
      </w:r>
      <w:r w:rsidRPr="000D1317">
        <w:rPr>
          <w:rFonts w:ascii="Arial" w:hAnsi="Arial"/>
          <w:b w:val="0"/>
          <w:bCs/>
          <w:sz w:val="17"/>
          <w:szCs w:val="17"/>
        </w:rPr>
        <w:t xml:space="preserve">: </w:t>
      </w:r>
    </w:p>
    <w:p w:rsidR="00A17742" w:rsidRPr="0041774E" w:rsidRDefault="00A17742" w:rsidP="00686601">
      <w:pPr>
        <w:pStyle w:val="ListParagraph"/>
        <w:spacing w:line="0" w:lineRule="atLeast"/>
        <w:ind w:left="0"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>
        <w:rPr>
          <w:rFonts w:ascii="Arial" w:hAnsi="Arial"/>
          <w:b w:val="0"/>
          <w:bCs/>
          <w:i w:val="0"/>
          <w:iCs/>
          <w:sz w:val="17"/>
          <w:szCs w:val="17"/>
        </w:rPr>
        <w:t xml:space="preserve">- </w:t>
      </w:r>
      <w:r w:rsidRPr="0041774E">
        <w:rPr>
          <w:rFonts w:ascii="Arial" w:hAnsi="Arial"/>
          <w:b w:val="0"/>
          <w:bCs/>
          <w:i w:val="0"/>
          <w:iCs/>
          <w:sz w:val="17"/>
          <w:szCs w:val="17"/>
        </w:rPr>
        <w:t>The data in the above table are close to the nearest integer.</w:t>
      </w:r>
    </w:p>
    <w:p w:rsidR="00A17742" w:rsidRPr="0041774E" w:rsidRDefault="00A17742" w:rsidP="00686601">
      <w:pPr>
        <w:pStyle w:val="ListParagraph"/>
        <w:spacing w:line="0" w:lineRule="atLeast"/>
        <w:ind w:left="0"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>
        <w:rPr>
          <w:rFonts w:ascii="Arial" w:hAnsi="Arial"/>
          <w:b w:val="0"/>
          <w:bCs/>
          <w:i w:val="0"/>
          <w:iCs/>
          <w:sz w:val="17"/>
          <w:szCs w:val="17"/>
        </w:rPr>
        <w:t xml:space="preserve">- </w:t>
      </w:r>
      <w:r w:rsidRPr="0041774E">
        <w:rPr>
          <w:rFonts w:ascii="Arial" w:hAnsi="Arial"/>
          <w:b w:val="0"/>
          <w:bCs/>
          <w:i w:val="0"/>
          <w:iCs/>
          <w:sz w:val="17"/>
          <w:szCs w:val="17"/>
        </w:rPr>
        <w:t>The data does not include the value of land owned by non-residents.</w:t>
      </w:r>
    </w:p>
    <w:p w:rsidR="00A17742" w:rsidRPr="00DD063E" w:rsidRDefault="00A17742" w:rsidP="00686601">
      <w:pPr>
        <w:spacing w:line="0" w:lineRule="atLeast"/>
        <w:ind w:right="142"/>
        <w:jc w:val="both"/>
        <w:rPr>
          <w:rFonts w:ascii="Arial" w:hAnsi="Arial"/>
          <w:b w:val="0"/>
          <w:bCs/>
          <w:i w:val="0"/>
          <w:iCs/>
          <w:sz w:val="17"/>
          <w:szCs w:val="17"/>
          <w:rtl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* International investment position (net): equals total external assets minus total foreign liabilities.</w:t>
      </w:r>
    </w:p>
    <w:p w:rsidR="00A17742" w:rsidRPr="00DD063E" w:rsidRDefault="00A17742" w:rsidP="00686601">
      <w:pPr>
        <w:spacing w:line="0" w:lineRule="atLeast"/>
        <w:ind w:right="-45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** Currency and deposits: Includ</w:t>
      </w:r>
      <w:r>
        <w:rPr>
          <w:rFonts w:ascii="Arial" w:hAnsi="Arial"/>
          <w:b w:val="0"/>
          <w:bCs/>
          <w:i w:val="0"/>
          <w:iCs/>
          <w:sz w:val="17"/>
          <w:szCs w:val="17"/>
        </w:rPr>
        <w:t>e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 </w:t>
      </w:r>
      <w:r>
        <w:rPr>
          <w:rFonts w:ascii="Arial" w:hAnsi="Arial"/>
          <w:b w:val="0"/>
          <w:bCs/>
          <w:i w:val="0"/>
          <w:iCs/>
          <w:sz w:val="17"/>
          <w:szCs w:val="17"/>
        </w:rPr>
        <w:t xml:space="preserve">the 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residents deposits in banks abroad, </w:t>
      </w:r>
      <w:r>
        <w:rPr>
          <w:rFonts w:ascii="Arial" w:hAnsi="Arial"/>
          <w:b w:val="0"/>
          <w:bCs/>
          <w:i w:val="0"/>
          <w:iCs/>
          <w:sz w:val="17"/>
          <w:szCs w:val="17"/>
        </w:rPr>
        <w:t>i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n addition to foreign </w:t>
      </w:r>
      <w:r>
        <w:rPr>
          <w:rFonts w:ascii="Arial" w:hAnsi="Arial"/>
          <w:b w:val="0"/>
          <w:bCs/>
          <w:i w:val="0"/>
          <w:iCs/>
          <w:sz w:val="17"/>
          <w:szCs w:val="17"/>
        </w:rPr>
        <w:t xml:space="preserve">exchange in Palestinian 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>economy.</w:t>
      </w:r>
    </w:p>
    <w:p w:rsidR="00A17742" w:rsidRPr="00DD063E" w:rsidRDefault="00A17742" w:rsidP="00686601">
      <w:pPr>
        <w:spacing w:line="0" w:lineRule="atLeast"/>
        <w:ind w:right="142"/>
        <w:jc w:val="both"/>
        <w:rPr>
          <w:rFonts w:ascii="Arial" w:hAnsi="Arial"/>
          <w:b w:val="0"/>
          <w:bCs/>
          <w:i w:val="0"/>
          <w:iCs/>
          <w:sz w:val="17"/>
          <w:szCs w:val="17"/>
        </w:rPr>
      </w:pP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*** Currency and deposits: Include the deposits of non-residents deposited in </w:t>
      </w:r>
      <w:r>
        <w:rPr>
          <w:rFonts w:ascii="Arial" w:hAnsi="Arial"/>
          <w:b w:val="0"/>
          <w:bCs/>
          <w:i w:val="0"/>
          <w:iCs/>
          <w:sz w:val="17"/>
          <w:szCs w:val="17"/>
        </w:rPr>
        <w:t>resident</w:t>
      </w:r>
      <w:r w:rsidRPr="00DD063E">
        <w:rPr>
          <w:rFonts w:ascii="Arial" w:hAnsi="Arial"/>
          <w:b w:val="0"/>
          <w:bCs/>
          <w:i w:val="0"/>
          <w:iCs/>
          <w:sz w:val="17"/>
          <w:szCs w:val="17"/>
        </w:rPr>
        <w:t xml:space="preserve"> banks.</w:t>
      </w:r>
    </w:p>
    <w:p w:rsidR="00DB5004" w:rsidRDefault="00DB5004" w:rsidP="00DB5004">
      <w:pPr>
        <w:spacing w:before="120" w:after="120" w:line="276" w:lineRule="auto"/>
        <w:jc w:val="right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Cs/>
          <w:iCs/>
        </w:rPr>
        <w:br w:type="page"/>
      </w:r>
    </w:p>
    <w:p w:rsidR="00DB5004" w:rsidRPr="00686601" w:rsidRDefault="00DB5004" w:rsidP="00A17742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lastRenderedPageBreak/>
        <w:t xml:space="preserve">Table </w:t>
      </w:r>
      <w:r w:rsidR="00A17742" w:rsidRPr="00686601">
        <w:rPr>
          <w:rFonts w:asciiTheme="majorBidi" w:hAnsiTheme="majorBidi" w:cstheme="majorBidi"/>
          <w:b w:val="0"/>
          <w:bCs/>
          <w:sz w:val="26"/>
          <w:szCs w:val="26"/>
          <w:rtl/>
        </w:rPr>
        <w:t>3</w:t>
      </w: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: Gross External Debt </w:t>
      </w:r>
      <w:r w:rsidR="00B6004F"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Position </w:t>
      </w: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on Palestine, at the </w:t>
      </w:r>
      <w:r w:rsidR="00B6004F"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End </w:t>
      </w: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of the </w:t>
      </w:r>
    </w:p>
    <w:p w:rsidR="00DB5004" w:rsidRPr="00686601" w:rsidRDefault="00F77963" w:rsidP="00151C3B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t>F</w:t>
      </w:r>
      <w:r w:rsidR="00151C3B" w:rsidRPr="00686601">
        <w:rPr>
          <w:rFonts w:asciiTheme="majorBidi" w:hAnsiTheme="majorBidi" w:cstheme="majorBidi"/>
          <w:i w:val="0"/>
          <w:iCs/>
          <w:sz w:val="26"/>
          <w:szCs w:val="26"/>
        </w:rPr>
        <w:t>irst</w:t>
      </w:r>
      <w:r w:rsidR="00B92512"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 and </w:t>
      </w:r>
      <w:r w:rsidR="00151C3B" w:rsidRPr="00686601">
        <w:rPr>
          <w:rFonts w:asciiTheme="majorBidi" w:hAnsiTheme="majorBidi" w:cstheme="majorBidi"/>
          <w:i w:val="0"/>
          <w:iCs/>
          <w:sz w:val="26"/>
          <w:szCs w:val="26"/>
        </w:rPr>
        <w:t>Second</w:t>
      </w:r>
      <w:r w:rsidR="001570B7"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 </w:t>
      </w:r>
      <w:r w:rsidR="00B92512" w:rsidRPr="00686601">
        <w:rPr>
          <w:rFonts w:asciiTheme="majorBidi" w:hAnsiTheme="majorBidi" w:cstheme="majorBidi"/>
          <w:i w:val="0"/>
          <w:iCs/>
          <w:sz w:val="26"/>
          <w:szCs w:val="26"/>
        </w:rPr>
        <w:t>Quarter</w:t>
      </w:r>
      <w:r w:rsidR="00250FBE" w:rsidRPr="00686601">
        <w:rPr>
          <w:rFonts w:asciiTheme="majorBidi" w:hAnsiTheme="majorBidi" w:cstheme="majorBidi"/>
          <w:i w:val="0"/>
          <w:iCs/>
          <w:sz w:val="26"/>
          <w:szCs w:val="26"/>
        </w:rPr>
        <w:t>s</w:t>
      </w:r>
      <w:r w:rsidR="00D34D3F" w:rsidRPr="00686601">
        <w:rPr>
          <w:rFonts w:asciiTheme="majorBidi" w:hAnsiTheme="majorBidi" w:cstheme="majorBidi"/>
          <w:i w:val="0"/>
          <w:iCs/>
          <w:sz w:val="26"/>
          <w:szCs w:val="26"/>
        </w:rPr>
        <w:t>, 201</w:t>
      </w: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t>9</w:t>
      </w:r>
    </w:p>
    <w:p w:rsidR="00DB5004" w:rsidRDefault="00DB5004" w:rsidP="00DB5004">
      <w:pPr>
        <w:contextualSpacing/>
        <w:rPr>
          <w:rFonts w:ascii="Arial" w:hAnsi="Arial"/>
          <w:i w:val="0"/>
          <w:iCs/>
          <w:sz w:val="22"/>
          <w:szCs w:val="22"/>
        </w:rPr>
      </w:pPr>
    </w:p>
    <w:p w:rsidR="00686601" w:rsidRDefault="00DB5004" w:rsidP="00DB5004">
      <w:pPr>
        <w:ind w:left="-284" w:right="3967" w:firstLine="284"/>
        <w:contextualSpacing/>
        <w:rPr>
          <w:rFonts w:asciiTheme="majorBidi" w:hAnsiTheme="majorBidi" w:cstheme="majorBidi"/>
          <w:b w:val="0"/>
          <w:bCs/>
          <w:i w:val="0"/>
          <w:iCs/>
        </w:rPr>
      </w:pPr>
      <w:r w:rsidRPr="00686601">
        <w:rPr>
          <w:rFonts w:asciiTheme="majorBidi" w:hAnsiTheme="majorBidi" w:cstheme="majorBidi"/>
          <w:b w:val="0"/>
          <w:bCs/>
          <w:i w:val="0"/>
          <w:iCs/>
        </w:rPr>
        <w:t>Value in million USD</w:t>
      </w:r>
    </w:p>
    <w:p w:rsidR="00DB5004" w:rsidRPr="00686601" w:rsidRDefault="00DB5004" w:rsidP="00DB5004">
      <w:pPr>
        <w:ind w:left="-284" w:right="3967" w:firstLine="284"/>
        <w:contextualSpacing/>
        <w:rPr>
          <w:rFonts w:asciiTheme="majorBidi" w:hAnsiTheme="majorBidi" w:cstheme="majorBidi"/>
          <w:b w:val="0"/>
          <w:bCs/>
          <w:i w:val="0"/>
          <w:iCs/>
        </w:rPr>
      </w:pPr>
      <w:r w:rsidRPr="00686601">
        <w:rPr>
          <w:rFonts w:asciiTheme="majorBidi" w:hAnsiTheme="majorBidi" w:cstheme="majorBidi"/>
          <w:b w:val="0"/>
          <w:bCs/>
          <w:i w:val="0"/>
          <w:iCs/>
        </w:rPr>
        <w:t xml:space="preserve">   </w:t>
      </w:r>
    </w:p>
    <w:tbl>
      <w:tblPr>
        <w:tblpPr w:leftFromText="180" w:rightFromText="180" w:vertAnchor="text" w:tblpXSpec="center" w:tblpY="1"/>
        <w:tblOverlap w:val="never"/>
        <w:bidiVisual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3"/>
        <w:gridCol w:w="2533"/>
        <w:gridCol w:w="4178"/>
      </w:tblGrid>
      <w:tr w:rsidR="00A7421B" w:rsidRPr="00686601" w:rsidTr="00A7421B">
        <w:trPr>
          <w:trHeight w:val="284"/>
        </w:trPr>
        <w:tc>
          <w:tcPr>
            <w:tcW w:w="1370" w:type="pct"/>
            <w:vAlign w:val="center"/>
          </w:tcPr>
          <w:p w:rsidR="00A7421B" w:rsidRPr="00686601" w:rsidRDefault="00A7421B" w:rsidP="00151C3B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Stock at the end of the </w:t>
            </w:r>
            <w:r w:rsidR="00151C3B"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Second </w:t>
            </w: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Quarter 201</w:t>
            </w:r>
            <w:r w:rsidR="00F77963"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9</w:t>
            </w:r>
          </w:p>
        </w:tc>
        <w:tc>
          <w:tcPr>
            <w:tcW w:w="1370" w:type="pct"/>
            <w:vAlign w:val="center"/>
          </w:tcPr>
          <w:p w:rsidR="00A7421B" w:rsidRPr="00686601" w:rsidRDefault="00D34D3F" w:rsidP="00151C3B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Stock at the end of the </w:t>
            </w:r>
            <w:r w:rsidR="001570B7"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</w:t>
            </w:r>
            <w:r w:rsidR="003857CD"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</w:t>
            </w:r>
            <w:r w:rsidR="00F77963"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F</w:t>
            </w:r>
            <w:r w:rsidR="00151C3B"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irst </w:t>
            </w: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Quarter 201</w:t>
            </w:r>
            <w:r w:rsidR="00151C3B"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9</w:t>
            </w:r>
          </w:p>
        </w:tc>
        <w:tc>
          <w:tcPr>
            <w:tcW w:w="2260" w:type="pct"/>
            <w:vAlign w:val="center"/>
          </w:tcPr>
          <w:p w:rsidR="00A7421B" w:rsidRPr="00686601" w:rsidRDefault="00A7421B" w:rsidP="00A7421B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Economic Sector</w:t>
            </w:r>
          </w:p>
        </w:tc>
      </w:tr>
      <w:tr w:rsidR="00491538" w:rsidRPr="00686601" w:rsidTr="00450FE1">
        <w:trPr>
          <w:trHeight w:val="284"/>
        </w:trPr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1,060</w:t>
            </w:r>
          </w:p>
        </w:tc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1,031</w:t>
            </w:r>
          </w:p>
        </w:tc>
        <w:tc>
          <w:tcPr>
            <w:tcW w:w="2260" w:type="pct"/>
            <w:vAlign w:val="bottom"/>
          </w:tcPr>
          <w:p w:rsidR="00491538" w:rsidRPr="00686601" w:rsidRDefault="00491538" w:rsidP="00491538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General Government</w:t>
            </w:r>
          </w:p>
        </w:tc>
      </w:tr>
      <w:tr w:rsidR="00491538" w:rsidRPr="00686601" w:rsidTr="00450FE1">
        <w:trPr>
          <w:trHeight w:val="284"/>
        </w:trPr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137</w:t>
            </w:r>
          </w:p>
        </w:tc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123</w:t>
            </w:r>
          </w:p>
        </w:tc>
        <w:tc>
          <w:tcPr>
            <w:tcW w:w="2260" w:type="pct"/>
            <w:vAlign w:val="bottom"/>
          </w:tcPr>
          <w:p w:rsidR="00491538" w:rsidRPr="00686601" w:rsidRDefault="00491538" w:rsidP="00491538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Short-term</w:t>
            </w:r>
          </w:p>
        </w:tc>
      </w:tr>
      <w:tr w:rsidR="00491538" w:rsidRPr="00686601" w:rsidTr="00450FE1">
        <w:trPr>
          <w:trHeight w:val="284"/>
        </w:trPr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923</w:t>
            </w:r>
          </w:p>
        </w:tc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908</w:t>
            </w:r>
          </w:p>
        </w:tc>
        <w:tc>
          <w:tcPr>
            <w:tcW w:w="2260" w:type="pct"/>
            <w:vAlign w:val="bottom"/>
          </w:tcPr>
          <w:p w:rsidR="00491538" w:rsidRPr="00686601" w:rsidRDefault="00491538" w:rsidP="00491538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Long-term</w:t>
            </w:r>
          </w:p>
        </w:tc>
      </w:tr>
      <w:tr w:rsidR="00491538" w:rsidRPr="00686601" w:rsidTr="00450FE1">
        <w:trPr>
          <w:trHeight w:val="284"/>
        </w:trPr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491538" w:rsidRPr="00686601" w:rsidRDefault="00491538" w:rsidP="00491538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Monetary Authorities</w:t>
            </w:r>
          </w:p>
        </w:tc>
      </w:tr>
      <w:tr w:rsidR="00491538" w:rsidRPr="00686601" w:rsidTr="00450FE1">
        <w:trPr>
          <w:trHeight w:val="284"/>
        </w:trPr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491538" w:rsidRPr="00686601" w:rsidRDefault="00491538" w:rsidP="00491538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Short-term</w:t>
            </w:r>
          </w:p>
        </w:tc>
      </w:tr>
      <w:tr w:rsidR="00491538" w:rsidRPr="00686601" w:rsidTr="00450FE1">
        <w:trPr>
          <w:trHeight w:val="284"/>
        </w:trPr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491538" w:rsidRPr="00686601" w:rsidRDefault="00491538" w:rsidP="00491538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Long-term</w:t>
            </w:r>
          </w:p>
        </w:tc>
      </w:tr>
      <w:tr w:rsidR="00491538" w:rsidRPr="00686601" w:rsidTr="00450FE1">
        <w:trPr>
          <w:trHeight w:val="284"/>
        </w:trPr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627</w:t>
            </w:r>
          </w:p>
        </w:tc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563</w:t>
            </w:r>
          </w:p>
        </w:tc>
        <w:tc>
          <w:tcPr>
            <w:tcW w:w="2260" w:type="pct"/>
            <w:vAlign w:val="bottom"/>
          </w:tcPr>
          <w:p w:rsidR="00491538" w:rsidRPr="00686601" w:rsidRDefault="00491538" w:rsidP="00491538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Banks</w:t>
            </w:r>
          </w:p>
        </w:tc>
      </w:tr>
      <w:tr w:rsidR="00491538" w:rsidRPr="00686601" w:rsidTr="00450FE1">
        <w:trPr>
          <w:trHeight w:val="284"/>
        </w:trPr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319</w:t>
            </w:r>
          </w:p>
        </w:tc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276</w:t>
            </w:r>
          </w:p>
        </w:tc>
        <w:tc>
          <w:tcPr>
            <w:tcW w:w="2260" w:type="pct"/>
            <w:vAlign w:val="bottom"/>
          </w:tcPr>
          <w:p w:rsidR="00491538" w:rsidRPr="00686601" w:rsidRDefault="00491538" w:rsidP="00491538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Short-term</w:t>
            </w:r>
          </w:p>
        </w:tc>
      </w:tr>
      <w:tr w:rsidR="00491538" w:rsidRPr="00686601" w:rsidTr="00450FE1">
        <w:trPr>
          <w:trHeight w:val="284"/>
        </w:trPr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308</w:t>
            </w:r>
          </w:p>
        </w:tc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287</w:t>
            </w:r>
          </w:p>
        </w:tc>
        <w:tc>
          <w:tcPr>
            <w:tcW w:w="2260" w:type="pct"/>
            <w:vAlign w:val="bottom"/>
          </w:tcPr>
          <w:p w:rsidR="00491538" w:rsidRPr="00686601" w:rsidRDefault="00491538" w:rsidP="00491538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Long-term</w:t>
            </w:r>
          </w:p>
        </w:tc>
      </w:tr>
      <w:tr w:rsidR="00491538" w:rsidRPr="00686601" w:rsidTr="00450FE1">
        <w:trPr>
          <w:trHeight w:val="284"/>
        </w:trPr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36</w:t>
            </w:r>
          </w:p>
        </w:tc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42</w:t>
            </w:r>
          </w:p>
        </w:tc>
        <w:tc>
          <w:tcPr>
            <w:tcW w:w="2260" w:type="pct"/>
            <w:vAlign w:val="bottom"/>
          </w:tcPr>
          <w:p w:rsidR="00491538" w:rsidRPr="00686601" w:rsidRDefault="00491538" w:rsidP="00491538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Other Sectors</w:t>
            </w:r>
          </w:p>
        </w:tc>
      </w:tr>
      <w:tr w:rsidR="00491538" w:rsidRPr="00686601" w:rsidTr="00450FE1">
        <w:trPr>
          <w:trHeight w:val="284"/>
        </w:trPr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</w:t>
            </w:r>
          </w:p>
        </w:tc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2260" w:type="pct"/>
            <w:vAlign w:val="bottom"/>
          </w:tcPr>
          <w:p w:rsidR="00491538" w:rsidRPr="00686601" w:rsidRDefault="00491538" w:rsidP="00491538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Short-term</w:t>
            </w:r>
          </w:p>
        </w:tc>
      </w:tr>
      <w:tr w:rsidR="00491538" w:rsidRPr="00686601" w:rsidTr="00450FE1">
        <w:trPr>
          <w:trHeight w:val="284"/>
        </w:trPr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14</w:t>
            </w:r>
          </w:p>
        </w:tc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38</w:t>
            </w:r>
          </w:p>
        </w:tc>
        <w:tc>
          <w:tcPr>
            <w:tcW w:w="2260" w:type="pct"/>
            <w:vAlign w:val="bottom"/>
          </w:tcPr>
          <w:p w:rsidR="00491538" w:rsidRPr="00686601" w:rsidRDefault="00491538" w:rsidP="00491538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Long-term</w:t>
            </w:r>
          </w:p>
        </w:tc>
      </w:tr>
      <w:tr w:rsidR="00491538" w:rsidRPr="00686601" w:rsidTr="00450FE1">
        <w:trPr>
          <w:trHeight w:val="284"/>
        </w:trPr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44</w:t>
            </w:r>
          </w:p>
        </w:tc>
        <w:tc>
          <w:tcPr>
            <w:tcW w:w="2260" w:type="pct"/>
            <w:vAlign w:val="bottom"/>
          </w:tcPr>
          <w:p w:rsidR="00491538" w:rsidRPr="00686601" w:rsidRDefault="00491538" w:rsidP="00491538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Direct Investment: lending between affiliated companies</w:t>
            </w:r>
          </w:p>
        </w:tc>
      </w:tr>
      <w:tr w:rsidR="00491538" w:rsidRPr="00686601" w:rsidTr="00450FE1">
        <w:trPr>
          <w:trHeight w:val="284"/>
        </w:trPr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41</w:t>
            </w:r>
          </w:p>
        </w:tc>
        <w:tc>
          <w:tcPr>
            <w:tcW w:w="2260" w:type="pct"/>
            <w:vAlign w:val="bottom"/>
          </w:tcPr>
          <w:p w:rsidR="00491538" w:rsidRPr="00686601" w:rsidRDefault="00491538" w:rsidP="00491538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Debt liabilities to affiliated enterprises</w:t>
            </w:r>
          </w:p>
        </w:tc>
      </w:tr>
      <w:tr w:rsidR="00491538" w:rsidRPr="00686601" w:rsidTr="00450FE1">
        <w:trPr>
          <w:trHeight w:val="284"/>
        </w:trPr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2260" w:type="pct"/>
            <w:vAlign w:val="bottom"/>
          </w:tcPr>
          <w:p w:rsidR="00491538" w:rsidRPr="00686601" w:rsidRDefault="00491538" w:rsidP="00491538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Debt liabilities to direct investors</w:t>
            </w:r>
          </w:p>
        </w:tc>
      </w:tr>
      <w:tr w:rsidR="00491538" w:rsidRPr="00686601" w:rsidTr="00450FE1">
        <w:trPr>
          <w:trHeight w:val="284"/>
        </w:trPr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1,729</w:t>
            </w:r>
          </w:p>
        </w:tc>
        <w:tc>
          <w:tcPr>
            <w:tcW w:w="1370" w:type="pct"/>
            <w:vAlign w:val="bottom"/>
          </w:tcPr>
          <w:p w:rsidR="00491538" w:rsidRPr="00686601" w:rsidRDefault="00491538" w:rsidP="00491538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1,680</w:t>
            </w:r>
          </w:p>
        </w:tc>
        <w:tc>
          <w:tcPr>
            <w:tcW w:w="2260" w:type="pct"/>
            <w:vAlign w:val="bottom"/>
          </w:tcPr>
          <w:p w:rsidR="00491538" w:rsidRPr="00686601" w:rsidRDefault="00491538" w:rsidP="00491538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Gross External Debt Position</w:t>
            </w:r>
          </w:p>
        </w:tc>
      </w:tr>
    </w:tbl>
    <w:p w:rsidR="00DB5004" w:rsidRPr="0053342F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  <w:rtl/>
        </w:rPr>
      </w:pPr>
    </w:p>
    <w:p w:rsidR="00DB5004" w:rsidRPr="00C305B9" w:rsidRDefault="00DB5004" w:rsidP="00DB5004">
      <w:pPr>
        <w:pStyle w:val="BodyText"/>
        <w:bidi w:val="0"/>
        <w:ind w:left="-851"/>
        <w:jc w:val="both"/>
        <w:rPr>
          <w:rFonts w:asciiTheme="majorBidi" w:hAnsiTheme="majorBidi" w:cstheme="majorBidi"/>
          <w:bCs/>
          <w:iCs/>
          <w:szCs w:val="24"/>
          <w:rtl/>
        </w:rPr>
      </w:pPr>
    </w:p>
    <w:p w:rsidR="00DB5004" w:rsidRPr="00B94B95" w:rsidRDefault="00DB5004" w:rsidP="00DB5004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F2693C" w:rsidRDefault="00F2693C" w:rsidP="00760B80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A17742" w:rsidRDefault="00A17742" w:rsidP="00A17742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A17742" w:rsidRDefault="00A17742" w:rsidP="00A17742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A17742" w:rsidRDefault="00A17742" w:rsidP="00A17742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A17742" w:rsidRDefault="00A17742" w:rsidP="00A17742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A17742" w:rsidRDefault="00A17742" w:rsidP="00A17742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A17742" w:rsidRDefault="00A17742" w:rsidP="00A17742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A17742" w:rsidRDefault="00A17742" w:rsidP="00A17742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A17742" w:rsidRDefault="00A17742" w:rsidP="00686601">
      <w:pPr>
        <w:bidi/>
        <w:jc w:val="center"/>
        <w:rPr>
          <w:rFonts w:asciiTheme="majorBidi" w:hAnsiTheme="majorBidi" w:cstheme="majorBidi" w:hint="cs"/>
          <w:rtl/>
        </w:rPr>
      </w:pPr>
    </w:p>
    <w:p w:rsidR="00686601" w:rsidRPr="00686601" w:rsidRDefault="00686601" w:rsidP="00A17742">
      <w:pPr>
        <w:contextualSpacing/>
        <w:jc w:val="center"/>
        <w:rPr>
          <w:rFonts w:asciiTheme="majorBidi" w:hAnsiTheme="majorBidi" w:cstheme="majorBidi"/>
          <w:i w:val="0"/>
          <w:iCs/>
          <w:sz w:val="16"/>
          <w:szCs w:val="16"/>
        </w:rPr>
      </w:pPr>
    </w:p>
    <w:p w:rsidR="00686601" w:rsidRDefault="00A17742" w:rsidP="00A17742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Table </w:t>
      </w:r>
      <w:r w:rsidRPr="00686601">
        <w:rPr>
          <w:rFonts w:asciiTheme="majorBidi" w:hAnsiTheme="majorBidi" w:cstheme="majorBidi"/>
          <w:b w:val="0"/>
          <w:bCs/>
          <w:sz w:val="26"/>
          <w:szCs w:val="26"/>
          <w:rtl/>
        </w:rPr>
        <w:t>4</w:t>
      </w: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t>: Gross External Debt Position on Palestine, at the end of</w:t>
      </w:r>
    </w:p>
    <w:p w:rsidR="00A17742" w:rsidRPr="00686601" w:rsidRDefault="00A17742" w:rsidP="00686601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686601">
        <w:rPr>
          <w:rFonts w:asciiTheme="majorBidi" w:hAnsiTheme="majorBidi" w:cstheme="majorBidi"/>
          <w:i w:val="0"/>
          <w:iCs/>
          <w:sz w:val="26"/>
          <w:szCs w:val="26"/>
        </w:rPr>
        <w:t xml:space="preserve"> years 2017,2018</w:t>
      </w:r>
    </w:p>
    <w:p w:rsidR="00A17742" w:rsidRDefault="00A17742" w:rsidP="00A17742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A17742" w:rsidRPr="00686601" w:rsidRDefault="00A17742" w:rsidP="00A17742">
      <w:pPr>
        <w:ind w:left="-284" w:right="3967" w:firstLine="284"/>
        <w:contextualSpacing/>
        <w:rPr>
          <w:rFonts w:asciiTheme="majorBidi" w:hAnsiTheme="majorBidi" w:cstheme="majorBidi"/>
          <w:b w:val="0"/>
          <w:bCs/>
          <w:i w:val="0"/>
          <w:iCs/>
        </w:rPr>
      </w:pPr>
      <w:r w:rsidRPr="00686601">
        <w:rPr>
          <w:rFonts w:asciiTheme="majorBidi" w:hAnsiTheme="majorBidi" w:cstheme="majorBidi"/>
          <w:b w:val="0"/>
          <w:bCs/>
          <w:i w:val="0"/>
          <w:iCs/>
        </w:rPr>
        <w:t xml:space="preserve">Value in million USD   </w:t>
      </w:r>
    </w:p>
    <w:tbl>
      <w:tblPr>
        <w:tblpPr w:leftFromText="180" w:rightFromText="180" w:vertAnchor="text" w:tblpXSpec="center" w:tblpY="1"/>
        <w:tblOverlap w:val="never"/>
        <w:bidiVisual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3"/>
        <w:gridCol w:w="2533"/>
        <w:gridCol w:w="4178"/>
      </w:tblGrid>
      <w:tr w:rsidR="00A17742" w:rsidRPr="00686601" w:rsidTr="0075798C">
        <w:trPr>
          <w:trHeight w:val="284"/>
        </w:trPr>
        <w:tc>
          <w:tcPr>
            <w:tcW w:w="1370" w:type="pct"/>
            <w:vAlign w:val="center"/>
          </w:tcPr>
          <w:p w:rsidR="00A17742" w:rsidRPr="00686601" w:rsidRDefault="00A17742" w:rsidP="0075798C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Stock at the end of 2018</w:t>
            </w:r>
          </w:p>
        </w:tc>
        <w:tc>
          <w:tcPr>
            <w:tcW w:w="1370" w:type="pct"/>
            <w:vAlign w:val="center"/>
          </w:tcPr>
          <w:p w:rsidR="00A17742" w:rsidRPr="00686601" w:rsidRDefault="00A17742" w:rsidP="0075798C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Stock at the end of 2017</w:t>
            </w:r>
          </w:p>
        </w:tc>
        <w:tc>
          <w:tcPr>
            <w:tcW w:w="2260" w:type="pct"/>
            <w:vAlign w:val="center"/>
          </w:tcPr>
          <w:p w:rsidR="00A17742" w:rsidRPr="00686601" w:rsidRDefault="00A17742" w:rsidP="0075798C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Economic Sector</w:t>
            </w:r>
          </w:p>
        </w:tc>
      </w:tr>
      <w:tr w:rsidR="00A17742" w:rsidRPr="00686601" w:rsidTr="0075798C">
        <w:trPr>
          <w:trHeight w:val="284"/>
        </w:trPr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1,032</w:t>
            </w:r>
          </w:p>
        </w:tc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1,042</w:t>
            </w:r>
          </w:p>
        </w:tc>
        <w:tc>
          <w:tcPr>
            <w:tcW w:w="2260" w:type="pct"/>
            <w:vAlign w:val="bottom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General Government</w:t>
            </w:r>
          </w:p>
        </w:tc>
      </w:tr>
      <w:tr w:rsidR="00A17742" w:rsidRPr="00686601" w:rsidTr="0075798C">
        <w:trPr>
          <w:trHeight w:val="284"/>
        </w:trPr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117</w:t>
            </w:r>
          </w:p>
        </w:tc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77</w:t>
            </w:r>
          </w:p>
        </w:tc>
        <w:tc>
          <w:tcPr>
            <w:tcW w:w="2260" w:type="pct"/>
            <w:vAlign w:val="bottom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Short-term</w:t>
            </w:r>
          </w:p>
        </w:tc>
      </w:tr>
      <w:tr w:rsidR="00A17742" w:rsidRPr="00686601" w:rsidTr="0075798C">
        <w:trPr>
          <w:trHeight w:val="284"/>
        </w:trPr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915</w:t>
            </w:r>
          </w:p>
        </w:tc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965</w:t>
            </w:r>
          </w:p>
        </w:tc>
        <w:tc>
          <w:tcPr>
            <w:tcW w:w="2260" w:type="pct"/>
            <w:vAlign w:val="bottom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Long-term</w:t>
            </w:r>
          </w:p>
        </w:tc>
      </w:tr>
      <w:tr w:rsidR="00A17742" w:rsidRPr="00686601" w:rsidTr="0075798C">
        <w:trPr>
          <w:trHeight w:val="284"/>
        </w:trPr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Monetary Authorities</w:t>
            </w:r>
          </w:p>
        </w:tc>
      </w:tr>
      <w:tr w:rsidR="00A17742" w:rsidRPr="00686601" w:rsidTr="0075798C">
        <w:trPr>
          <w:trHeight w:val="284"/>
        </w:trPr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Short-term</w:t>
            </w:r>
          </w:p>
        </w:tc>
      </w:tr>
      <w:tr w:rsidR="00A17742" w:rsidRPr="00686601" w:rsidTr="0075798C">
        <w:trPr>
          <w:trHeight w:val="284"/>
        </w:trPr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Long-term</w:t>
            </w:r>
          </w:p>
        </w:tc>
      </w:tr>
      <w:tr w:rsidR="00A17742" w:rsidRPr="00686601" w:rsidTr="0075798C">
        <w:trPr>
          <w:trHeight w:val="284"/>
        </w:trPr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417</w:t>
            </w:r>
          </w:p>
        </w:tc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603</w:t>
            </w:r>
          </w:p>
        </w:tc>
        <w:tc>
          <w:tcPr>
            <w:tcW w:w="2260" w:type="pct"/>
            <w:vAlign w:val="bottom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Banks</w:t>
            </w:r>
          </w:p>
        </w:tc>
      </w:tr>
      <w:tr w:rsidR="00A17742" w:rsidRPr="00686601" w:rsidTr="0075798C">
        <w:trPr>
          <w:trHeight w:val="284"/>
        </w:trPr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196</w:t>
            </w:r>
          </w:p>
        </w:tc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368</w:t>
            </w:r>
          </w:p>
        </w:tc>
        <w:tc>
          <w:tcPr>
            <w:tcW w:w="2260" w:type="pct"/>
            <w:vAlign w:val="bottom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Short-term</w:t>
            </w:r>
          </w:p>
        </w:tc>
      </w:tr>
      <w:tr w:rsidR="00A17742" w:rsidRPr="00686601" w:rsidTr="0075798C">
        <w:trPr>
          <w:trHeight w:val="284"/>
        </w:trPr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221</w:t>
            </w:r>
          </w:p>
        </w:tc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235</w:t>
            </w:r>
          </w:p>
        </w:tc>
        <w:tc>
          <w:tcPr>
            <w:tcW w:w="2260" w:type="pct"/>
            <w:vAlign w:val="bottom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Long-term</w:t>
            </w:r>
          </w:p>
        </w:tc>
      </w:tr>
      <w:tr w:rsidR="00A17742" w:rsidRPr="00686601" w:rsidTr="0075798C">
        <w:trPr>
          <w:trHeight w:val="284"/>
        </w:trPr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36</w:t>
            </w:r>
          </w:p>
        </w:tc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42</w:t>
            </w:r>
          </w:p>
        </w:tc>
        <w:tc>
          <w:tcPr>
            <w:tcW w:w="2260" w:type="pct"/>
            <w:vAlign w:val="bottom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Other Sectors</w:t>
            </w:r>
          </w:p>
        </w:tc>
      </w:tr>
      <w:tr w:rsidR="00A17742" w:rsidRPr="00686601" w:rsidTr="0075798C">
        <w:trPr>
          <w:trHeight w:val="284"/>
        </w:trPr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</w:t>
            </w:r>
          </w:p>
        </w:tc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2260" w:type="pct"/>
            <w:vAlign w:val="bottom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Short-term</w:t>
            </w:r>
          </w:p>
        </w:tc>
      </w:tr>
      <w:tr w:rsidR="00A17742" w:rsidRPr="00686601" w:rsidTr="0075798C">
        <w:trPr>
          <w:trHeight w:val="284"/>
        </w:trPr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14</w:t>
            </w:r>
          </w:p>
        </w:tc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38</w:t>
            </w:r>
          </w:p>
        </w:tc>
        <w:tc>
          <w:tcPr>
            <w:tcW w:w="2260" w:type="pct"/>
            <w:vAlign w:val="bottom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Long-term</w:t>
            </w:r>
          </w:p>
        </w:tc>
      </w:tr>
      <w:tr w:rsidR="00A17742" w:rsidRPr="00686601" w:rsidTr="0075798C">
        <w:trPr>
          <w:trHeight w:val="284"/>
        </w:trPr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44</w:t>
            </w:r>
          </w:p>
        </w:tc>
        <w:tc>
          <w:tcPr>
            <w:tcW w:w="2260" w:type="pct"/>
            <w:vAlign w:val="bottom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Direct Investment: lending between affiliated companies</w:t>
            </w:r>
          </w:p>
        </w:tc>
      </w:tr>
      <w:tr w:rsidR="00A17742" w:rsidRPr="00686601" w:rsidTr="0075798C">
        <w:trPr>
          <w:trHeight w:val="284"/>
        </w:trPr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41</w:t>
            </w:r>
          </w:p>
        </w:tc>
        <w:tc>
          <w:tcPr>
            <w:tcW w:w="2260" w:type="pct"/>
            <w:vAlign w:val="bottom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Debt liabilities to affiliated enterprises</w:t>
            </w:r>
          </w:p>
        </w:tc>
      </w:tr>
      <w:tr w:rsidR="00A17742" w:rsidRPr="00686601" w:rsidTr="0075798C">
        <w:trPr>
          <w:trHeight w:val="284"/>
        </w:trPr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2260" w:type="pct"/>
            <w:vAlign w:val="bottom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Debt liabilities to direct investors</w:t>
            </w:r>
          </w:p>
        </w:tc>
      </w:tr>
      <w:tr w:rsidR="00A17742" w:rsidRPr="00686601" w:rsidTr="0075798C">
        <w:trPr>
          <w:trHeight w:val="284"/>
        </w:trPr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1,491</w:t>
            </w:r>
          </w:p>
        </w:tc>
        <w:tc>
          <w:tcPr>
            <w:tcW w:w="1370" w:type="pct"/>
            <w:vAlign w:val="bottom"/>
          </w:tcPr>
          <w:p w:rsidR="00A17742" w:rsidRPr="00686601" w:rsidRDefault="00A17742" w:rsidP="0075798C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1,731</w:t>
            </w:r>
          </w:p>
        </w:tc>
        <w:tc>
          <w:tcPr>
            <w:tcW w:w="2260" w:type="pct"/>
            <w:vAlign w:val="bottom"/>
          </w:tcPr>
          <w:p w:rsidR="00A17742" w:rsidRPr="00686601" w:rsidRDefault="00A17742" w:rsidP="0075798C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86601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Gross External Debt Position</w:t>
            </w:r>
          </w:p>
        </w:tc>
      </w:tr>
    </w:tbl>
    <w:p w:rsidR="00A17742" w:rsidRPr="0053342F" w:rsidRDefault="00A17742" w:rsidP="00A17742">
      <w:pPr>
        <w:contextualSpacing/>
        <w:jc w:val="center"/>
        <w:rPr>
          <w:rFonts w:ascii="Arial" w:hAnsi="Arial"/>
          <w:i w:val="0"/>
          <w:iCs/>
          <w:sz w:val="22"/>
          <w:szCs w:val="22"/>
          <w:rtl/>
        </w:rPr>
      </w:pPr>
    </w:p>
    <w:p w:rsidR="00A17742" w:rsidRPr="00C305B9" w:rsidRDefault="00A17742" w:rsidP="00A17742">
      <w:pPr>
        <w:pStyle w:val="BodyText"/>
        <w:bidi w:val="0"/>
        <w:ind w:left="-851"/>
        <w:jc w:val="both"/>
        <w:rPr>
          <w:rFonts w:asciiTheme="majorBidi" w:hAnsiTheme="majorBidi" w:cstheme="majorBidi"/>
          <w:bCs/>
          <w:iCs/>
          <w:szCs w:val="24"/>
          <w:rtl/>
        </w:rPr>
      </w:pPr>
    </w:p>
    <w:p w:rsidR="00A17742" w:rsidRDefault="00A17742" w:rsidP="00A17742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A17742" w:rsidRDefault="00A17742" w:rsidP="00A17742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A17742" w:rsidRDefault="00A17742" w:rsidP="00A17742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A17742" w:rsidRDefault="00A17742" w:rsidP="00A17742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A17742" w:rsidRDefault="00A17742" w:rsidP="00A17742">
      <w:pPr>
        <w:bidi/>
        <w:spacing w:line="480" w:lineRule="exact"/>
        <w:jc w:val="center"/>
        <w:rPr>
          <w:rFonts w:asciiTheme="majorBidi" w:hAnsiTheme="majorBidi" w:cstheme="majorBidi"/>
        </w:rPr>
      </w:pPr>
    </w:p>
    <w:p w:rsidR="00A17742" w:rsidRPr="00F91DCF" w:rsidRDefault="00A17742" w:rsidP="00A17742">
      <w:pPr>
        <w:bidi/>
        <w:spacing w:line="480" w:lineRule="exact"/>
        <w:jc w:val="center"/>
        <w:rPr>
          <w:rFonts w:asciiTheme="majorBidi" w:hAnsiTheme="majorBidi" w:cstheme="majorBidi" w:hint="cs"/>
          <w:rtl/>
        </w:rPr>
      </w:pPr>
    </w:p>
    <w:sectPr w:rsidR="00A17742" w:rsidRPr="00F91DCF" w:rsidSect="00686601">
      <w:headerReference w:type="default" r:id="rId8"/>
      <w:footerReference w:type="default" r:id="rId9"/>
      <w:pgSz w:w="11907" w:h="16839" w:code="9"/>
      <w:pgMar w:top="720" w:right="720" w:bottom="720" w:left="720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E0" w:rsidRDefault="004C1AE0" w:rsidP="00885BEC">
      <w:r>
        <w:separator/>
      </w:r>
    </w:p>
  </w:endnote>
  <w:endnote w:type="continuationSeparator" w:id="0">
    <w:p w:rsidR="004C1AE0" w:rsidRDefault="004C1AE0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46" w:rsidRDefault="005C7310" w:rsidP="00146AE4">
    <w:pPr>
      <w:pStyle w:val="Footer"/>
      <w:tabs>
        <w:tab w:val="clear" w:pos="9360"/>
      </w:tabs>
      <w:jc w:val="center"/>
      <w:rPr>
        <w:rFonts w:asciiTheme="majorBidi" w:hAnsiTheme="majorBidi" w:cstheme="majorBidi"/>
        <w:bCs/>
        <w:i w:val="0"/>
        <w:sz w:val="20"/>
        <w:szCs w:val="20"/>
      </w:rPr>
    </w:pPr>
    <w:sdt>
      <w:sdtPr>
        <w:id w:val="11285779"/>
        <w:docPartObj>
          <w:docPartGallery w:val="Page Numbers (Bottom of Page)"/>
          <w:docPartUnique/>
        </w:docPartObj>
      </w:sdtPr>
      <w:sdtContent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070A46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686601">
          <w:rPr>
            <w:b w:val="0"/>
            <w:bCs/>
            <w:i w:val="0"/>
            <w:iCs/>
            <w:noProof/>
            <w:sz w:val="20"/>
            <w:szCs w:val="20"/>
          </w:rPr>
          <w:t>5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E0" w:rsidRDefault="004C1AE0" w:rsidP="00885BEC">
      <w:r>
        <w:separator/>
      </w:r>
    </w:p>
  </w:footnote>
  <w:footnote w:type="continuationSeparator" w:id="0">
    <w:p w:rsidR="004C1AE0" w:rsidRDefault="004C1AE0" w:rsidP="00885BEC">
      <w:r>
        <w:continuationSeparator/>
      </w:r>
    </w:p>
  </w:footnote>
  <w:footnote w:id="1">
    <w:p w:rsidR="00070A46" w:rsidRDefault="00070A46" w:rsidP="008D5A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5AF3">
        <w:rPr>
          <w:rFonts w:asciiTheme="majorBidi" w:hAnsiTheme="majorBidi" w:cstheme="majorBidi"/>
          <w:b w:val="0"/>
          <w:bCs/>
          <w:i w:val="0"/>
          <w:iCs/>
        </w:rPr>
        <w:t>The</w:t>
      </w:r>
      <w:r>
        <w:rPr>
          <w:rFonts w:asciiTheme="majorBidi" w:hAnsiTheme="majorBidi" w:cstheme="majorBidi"/>
          <w:b w:val="0"/>
          <w:bCs/>
          <w:i w:val="0"/>
          <w:iCs/>
        </w:rPr>
        <w:t xml:space="preserve"> data related to the end of year 2018 are attached</w:t>
      </w:r>
      <w: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</w:rPr>
        <w:t xml:space="preserve">in the tables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46" w:rsidRPr="000726B5" w:rsidRDefault="00686601" w:rsidP="00686601">
    <w:pPr>
      <w:pStyle w:val="Header"/>
      <w:tabs>
        <w:tab w:val="left" w:pos="7947"/>
      </w:tabs>
      <w:rPr>
        <w:b w:val="0"/>
        <w:bCs/>
        <w:i w:val="0"/>
        <w:iCs/>
      </w:rPr>
    </w:pPr>
    <w:r>
      <w:rPr>
        <w:b w:val="0"/>
        <w:bCs/>
        <w:i w:val="0"/>
        <w:i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59B9"/>
    <w:rsid w:val="00006227"/>
    <w:rsid w:val="000072F1"/>
    <w:rsid w:val="000110B2"/>
    <w:rsid w:val="000115CC"/>
    <w:rsid w:val="0001231A"/>
    <w:rsid w:val="000124A7"/>
    <w:rsid w:val="00013A84"/>
    <w:rsid w:val="00014C69"/>
    <w:rsid w:val="00022F55"/>
    <w:rsid w:val="00023916"/>
    <w:rsid w:val="00023F63"/>
    <w:rsid w:val="0002627D"/>
    <w:rsid w:val="000271AF"/>
    <w:rsid w:val="00030C2F"/>
    <w:rsid w:val="00032DB0"/>
    <w:rsid w:val="00032E32"/>
    <w:rsid w:val="00035642"/>
    <w:rsid w:val="00037C5E"/>
    <w:rsid w:val="00040BCA"/>
    <w:rsid w:val="00041F63"/>
    <w:rsid w:val="00047BC1"/>
    <w:rsid w:val="00050DB2"/>
    <w:rsid w:val="000541C3"/>
    <w:rsid w:val="00056CE8"/>
    <w:rsid w:val="00056EBF"/>
    <w:rsid w:val="000621F0"/>
    <w:rsid w:val="00064A5C"/>
    <w:rsid w:val="00066F06"/>
    <w:rsid w:val="000673F1"/>
    <w:rsid w:val="00067DB7"/>
    <w:rsid w:val="00070A46"/>
    <w:rsid w:val="00072644"/>
    <w:rsid w:val="000726B5"/>
    <w:rsid w:val="00077AA7"/>
    <w:rsid w:val="00080709"/>
    <w:rsid w:val="00080765"/>
    <w:rsid w:val="00081BE1"/>
    <w:rsid w:val="00085209"/>
    <w:rsid w:val="00090534"/>
    <w:rsid w:val="00090697"/>
    <w:rsid w:val="00090A98"/>
    <w:rsid w:val="00091661"/>
    <w:rsid w:val="00092663"/>
    <w:rsid w:val="00093458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2406"/>
    <w:rsid w:val="000B4B6A"/>
    <w:rsid w:val="000B638F"/>
    <w:rsid w:val="000B66F2"/>
    <w:rsid w:val="000C0673"/>
    <w:rsid w:val="000C0F4B"/>
    <w:rsid w:val="000C156F"/>
    <w:rsid w:val="000C2CD8"/>
    <w:rsid w:val="000C30EC"/>
    <w:rsid w:val="000C3870"/>
    <w:rsid w:val="000D0B86"/>
    <w:rsid w:val="000D134F"/>
    <w:rsid w:val="000D36E9"/>
    <w:rsid w:val="000D4C84"/>
    <w:rsid w:val="000E57DB"/>
    <w:rsid w:val="000E5A08"/>
    <w:rsid w:val="000E6DC2"/>
    <w:rsid w:val="000E76D1"/>
    <w:rsid w:val="000E77D9"/>
    <w:rsid w:val="000F2F95"/>
    <w:rsid w:val="000F449F"/>
    <w:rsid w:val="000F4C18"/>
    <w:rsid w:val="000F6AD3"/>
    <w:rsid w:val="000F6F0F"/>
    <w:rsid w:val="000F7730"/>
    <w:rsid w:val="00100B52"/>
    <w:rsid w:val="001031D6"/>
    <w:rsid w:val="0011238A"/>
    <w:rsid w:val="00112F30"/>
    <w:rsid w:val="00122B0F"/>
    <w:rsid w:val="001243F4"/>
    <w:rsid w:val="001253D2"/>
    <w:rsid w:val="00126E34"/>
    <w:rsid w:val="00130495"/>
    <w:rsid w:val="00131018"/>
    <w:rsid w:val="00132B71"/>
    <w:rsid w:val="0013600F"/>
    <w:rsid w:val="00136634"/>
    <w:rsid w:val="00136FD5"/>
    <w:rsid w:val="001371FD"/>
    <w:rsid w:val="00137DE2"/>
    <w:rsid w:val="00140A8A"/>
    <w:rsid w:val="00141030"/>
    <w:rsid w:val="00141DE1"/>
    <w:rsid w:val="001420A0"/>
    <w:rsid w:val="00143718"/>
    <w:rsid w:val="00146AE4"/>
    <w:rsid w:val="0014725E"/>
    <w:rsid w:val="0014777A"/>
    <w:rsid w:val="00151B5B"/>
    <w:rsid w:val="00151C3B"/>
    <w:rsid w:val="001570B7"/>
    <w:rsid w:val="001573C2"/>
    <w:rsid w:val="00157479"/>
    <w:rsid w:val="001609E2"/>
    <w:rsid w:val="00161954"/>
    <w:rsid w:val="00162E38"/>
    <w:rsid w:val="001646F7"/>
    <w:rsid w:val="00170276"/>
    <w:rsid w:val="00181A2B"/>
    <w:rsid w:val="001823A8"/>
    <w:rsid w:val="001844CA"/>
    <w:rsid w:val="0018465B"/>
    <w:rsid w:val="001861B2"/>
    <w:rsid w:val="001862D7"/>
    <w:rsid w:val="00190B3C"/>
    <w:rsid w:val="001933C3"/>
    <w:rsid w:val="001951A5"/>
    <w:rsid w:val="0019579D"/>
    <w:rsid w:val="00196708"/>
    <w:rsid w:val="001A0774"/>
    <w:rsid w:val="001A3990"/>
    <w:rsid w:val="001A75AC"/>
    <w:rsid w:val="001B0FB0"/>
    <w:rsid w:val="001B1110"/>
    <w:rsid w:val="001B2151"/>
    <w:rsid w:val="001B2404"/>
    <w:rsid w:val="001B35EB"/>
    <w:rsid w:val="001B4D6A"/>
    <w:rsid w:val="001B7265"/>
    <w:rsid w:val="001C1307"/>
    <w:rsid w:val="001C161B"/>
    <w:rsid w:val="001C2180"/>
    <w:rsid w:val="001C6697"/>
    <w:rsid w:val="001C7022"/>
    <w:rsid w:val="001C7347"/>
    <w:rsid w:val="001D3642"/>
    <w:rsid w:val="001D43EA"/>
    <w:rsid w:val="001D5ADB"/>
    <w:rsid w:val="001D5D12"/>
    <w:rsid w:val="001D7ADF"/>
    <w:rsid w:val="001D7C9B"/>
    <w:rsid w:val="001E1616"/>
    <w:rsid w:val="001E2FD6"/>
    <w:rsid w:val="001E4E8A"/>
    <w:rsid w:val="001F14B4"/>
    <w:rsid w:val="001F37D2"/>
    <w:rsid w:val="001F3FC7"/>
    <w:rsid w:val="001F4820"/>
    <w:rsid w:val="001F5051"/>
    <w:rsid w:val="001F6290"/>
    <w:rsid w:val="001F67A4"/>
    <w:rsid w:val="002058E4"/>
    <w:rsid w:val="00205A26"/>
    <w:rsid w:val="002078E3"/>
    <w:rsid w:val="00211E0E"/>
    <w:rsid w:val="002214FB"/>
    <w:rsid w:val="002219A2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4E71"/>
    <w:rsid w:val="00246BC1"/>
    <w:rsid w:val="00250FBE"/>
    <w:rsid w:val="00251A59"/>
    <w:rsid w:val="0025216F"/>
    <w:rsid w:val="002523D4"/>
    <w:rsid w:val="00254E95"/>
    <w:rsid w:val="00254FB5"/>
    <w:rsid w:val="00260883"/>
    <w:rsid w:val="0026165F"/>
    <w:rsid w:val="00262AC2"/>
    <w:rsid w:val="00264A2F"/>
    <w:rsid w:val="00265939"/>
    <w:rsid w:val="00267601"/>
    <w:rsid w:val="00270B06"/>
    <w:rsid w:val="00271B76"/>
    <w:rsid w:val="00272F88"/>
    <w:rsid w:val="00273603"/>
    <w:rsid w:val="002739C2"/>
    <w:rsid w:val="0027580A"/>
    <w:rsid w:val="00281346"/>
    <w:rsid w:val="00281F10"/>
    <w:rsid w:val="002822F3"/>
    <w:rsid w:val="0028358A"/>
    <w:rsid w:val="00285269"/>
    <w:rsid w:val="0028584B"/>
    <w:rsid w:val="00287955"/>
    <w:rsid w:val="002930BA"/>
    <w:rsid w:val="002945F6"/>
    <w:rsid w:val="00296DE7"/>
    <w:rsid w:val="002A0947"/>
    <w:rsid w:val="002B0376"/>
    <w:rsid w:val="002B1F4B"/>
    <w:rsid w:val="002B2CA8"/>
    <w:rsid w:val="002B36F3"/>
    <w:rsid w:val="002B519B"/>
    <w:rsid w:val="002B7102"/>
    <w:rsid w:val="002C032A"/>
    <w:rsid w:val="002C1546"/>
    <w:rsid w:val="002C5EF1"/>
    <w:rsid w:val="002C6263"/>
    <w:rsid w:val="002C6DD7"/>
    <w:rsid w:val="002D1337"/>
    <w:rsid w:val="002D1980"/>
    <w:rsid w:val="002D40C1"/>
    <w:rsid w:val="002D5FC8"/>
    <w:rsid w:val="002D7608"/>
    <w:rsid w:val="002E060B"/>
    <w:rsid w:val="002E0670"/>
    <w:rsid w:val="002E20F7"/>
    <w:rsid w:val="002E22CA"/>
    <w:rsid w:val="002E241A"/>
    <w:rsid w:val="002E5E97"/>
    <w:rsid w:val="002E6591"/>
    <w:rsid w:val="002E710B"/>
    <w:rsid w:val="002F1E39"/>
    <w:rsid w:val="002F51DB"/>
    <w:rsid w:val="002F6F48"/>
    <w:rsid w:val="00301F14"/>
    <w:rsid w:val="00306FC9"/>
    <w:rsid w:val="0031286D"/>
    <w:rsid w:val="00312946"/>
    <w:rsid w:val="00313C39"/>
    <w:rsid w:val="003143C8"/>
    <w:rsid w:val="003143EE"/>
    <w:rsid w:val="00314F90"/>
    <w:rsid w:val="00315123"/>
    <w:rsid w:val="003159C2"/>
    <w:rsid w:val="003164D4"/>
    <w:rsid w:val="00317CDE"/>
    <w:rsid w:val="00317E26"/>
    <w:rsid w:val="00322DEF"/>
    <w:rsid w:val="00322FF5"/>
    <w:rsid w:val="00325B26"/>
    <w:rsid w:val="003265DF"/>
    <w:rsid w:val="003267A8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23FA"/>
    <w:rsid w:val="00364DE2"/>
    <w:rsid w:val="003650EA"/>
    <w:rsid w:val="003713EE"/>
    <w:rsid w:val="00371BAA"/>
    <w:rsid w:val="003742D1"/>
    <w:rsid w:val="00376039"/>
    <w:rsid w:val="00376DA0"/>
    <w:rsid w:val="00377817"/>
    <w:rsid w:val="0038255A"/>
    <w:rsid w:val="00382E41"/>
    <w:rsid w:val="003838AD"/>
    <w:rsid w:val="0038458B"/>
    <w:rsid w:val="00385033"/>
    <w:rsid w:val="003857CD"/>
    <w:rsid w:val="00387A29"/>
    <w:rsid w:val="00390435"/>
    <w:rsid w:val="003916ED"/>
    <w:rsid w:val="00391B60"/>
    <w:rsid w:val="00394B30"/>
    <w:rsid w:val="00397CC6"/>
    <w:rsid w:val="003A1748"/>
    <w:rsid w:val="003A3E2C"/>
    <w:rsid w:val="003A7091"/>
    <w:rsid w:val="003B0C69"/>
    <w:rsid w:val="003B2285"/>
    <w:rsid w:val="003B4EFD"/>
    <w:rsid w:val="003B56C9"/>
    <w:rsid w:val="003C00B9"/>
    <w:rsid w:val="003C22E0"/>
    <w:rsid w:val="003C4844"/>
    <w:rsid w:val="003C5966"/>
    <w:rsid w:val="003C64EA"/>
    <w:rsid w:val="003D1AD0"/>
    <w:rsid w:val="003D64EB"/>
    <w:rsid w:val="003D6FF3"/>
    <w:rsid w:val="003D7154"/>
    <w:rsid w:val="003E0504"/>
    <w:rsid w:val="003E0E00"/>
    <w:rsid w:val="003E289D"/>
    <w:rsid w:val="003E38BC"/>
    <w:rsid w:val="003E3D66"/>
    <w:rsid w:val="003E5A4E"/>
    <w:rsid w:val="003E65F8"/>
    <w:rsid w:val="003F1357"/>
    <w:rsid w:val="003F2C98"/>
    <w:rsid w:val="003F34C6"/>
    <w:rsid w:val="003F5357"/>
    <w:rsid w:val="003F57FD"/>
    <w:rsid w:val="003F586E"/>
    <w:rsid w:val="003F701A"/>
    <w:rsid w:val="00400738"/>
    <w:rsid w:val="00402A43"/>
    <w:rsid w:val="00403BFD"/>
    <w:rsid w:val="00406F83"/>
    <w:rsid w:val="004073E4"/>
    <w:rsid w:val="0040747F"/>
    <w:rsid w:val="004079CB"/>
    <w:rsid w:val="00410274"/>
    <w:rsid w:val="00411C10"/>
    <w:rsid w:val="00412B95"/>
    <w:rsid w:val="00420768"/>
    <w:rsid w:val="00421004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0FE1"/>
    <w:rsid w:val="00451315"/>
    <w:rsid w:val="004531AA"/>
    <w:rsid w:val="00454FAC"/>
    <w:rsid w:val="00462347"/>
    <w:rsid w:val="004624A9"/>
    <w:rsid w:val="004636B1"/>
    <w:rsid w:val="00463EB9"/>
    <w:rsid w:val="00463F73"/>
    <w:rsid w:val="0046412B"/>
    <w:rsid w:val="0046623B"/>
    <w:rsid w:val="00466329"/>
    <w:rsid w:val="00466417"/>
    <w:rsid w:val="004706FF"/>
    <w:rsid w:val="00470EB2"/>
    <w:rsid w:val="0047210C"/>
    <w:rsid w:val="004722F3"/>
    <w:rsid w:val="00473BE3"/>
    <w:rsid w:val="00482097"/>
    <w:rsid w:val="00483A1A"/>
    <w:rsid w:val="00485E88"/>
    <w:rsid w:val="00486C03"/>
    <w:rsid w:val="0048744C"/>
    <w:rsid w:val="004908D8"/>
    <w:rsid w:val="00491538"/>
    <w:rsid w:val="004920F5"/>
    <w:rsid w:val="00492AFA"/>
    <w:rsid w:val="00494846"/>
    <w:rsid w:val="00494AD4"/>
    <w:rsid w:val="004954C4"/>
    <w:rsid w:val="0049585A"/>
    <w:rsid w:val="00496B15"/>
    <w:rsid w:val="004A6FCF"/>
    <w:rsid w:val="004B46C3"/>
    <w:rsid w:val="004B5431"/>
    <w:rsid w:val="004B6088"/>
    <w:rsid w:val="004B65A3"/>
    <w:rsid w:val="004B73D8"/>
    <w:rsid w:val="004B7C0D"/>
    <w:rsid w:val="004C1AE0"/>
    <w:rsid w:val="004C1D42"/>
    <w:rsid w:val="004C2B1A"/>
    <w:rsid w:val="004C2D0B"/>
    <w:rsid w:val="004C4217"/>
    <w:rsid w:val="004C6AE8"/>
    <w:rsid w:val="004D093E"/>
    <w:rsid w:val="004D13BB"/>
    <w:rsid w:val="004D1601"/>
    <w:rsid w:val="004D31DC"/>
    <w:rsid w:val="004D5A71"/>
    <w:rsid w:val="004E120D"/>
    <w:rsid w:val="004E2CDA"/>
    <w:rsid w:val="004E3896"/>
    <w:rsid w:val="004E625A"/>
    <w:rsid w:val="004F052B"/>
    <w:rsid w:val="004F1663"/>
    <w:rsid w:val="004F3B71"/>
    <w:rsid w:val="004F4E08"/>
    <w:rsid w:val="004F701E"/>
    <w:rsid w:val="00501ACB"/>
    <w:rsid w:val="0050324C"/>
    <w:rsid w:val="00505632"/>
    <w:rsid w:val="00512E0F"/>
    <w:rsid w:val="00513BB5"/>
    <w:rsid w:val="0051707F"/>
    <w:rsid w:val="00526366"/>
    <w:rsid w:val="00530F49"/>
    <w:rsid w:val="005322B0"/>
    <w:rsid w:val="0053266C"/>
    <w:rsid w:val="00532EFB"/>
    <w:rsid w:val="0053622D"/>
    <w:rsid w:val="00544D08"/>
    <w:rsid w:val="00545118"/>
    <w:rsid w:val="00545C08"/>
    <w:rsid w:val="00550FEB"/>
    <w:rsid w:val="00552DE8"/>
    <w:rsid w:val="00553325"/>
    <w:rsid w:val="005540CE"/>
    <w:rsid w:val="00554D40"/>
    <w:rsid w:val="00557B46"/>
    <w:rsid w:val="00561D22"/>
    <w:rsid w:val="005622E7"/>
    <w:rsid w:val="005643D1"/>
    <w:rsid w:val="00564454"/>
    <w:rsid w:val="00570B11"/>
    <w:rsid w:val="005715DA"/>
    <w:rsid w:val="005721DA"/>
    <w:rsid w:val="00572967"/>
    <w:rsid w:val="005738ED"/>
    <w:rsid w:val="00575993"/>
    <w:rsid w:val="00575A80"/>
    <w:rsid w:val="005775B3"/>
    <w:rsid w:val="00580428"/>
    <w:rsid w:val="00583A54"/>
    <w:rsid w:val="00584208"/>
    <w:rsid w:val="0058499C"/>
    <w:rsid w:val="00587861"/>
    <w:rsid w:val="00590575"/>
    <w:rsid w:val="0059372F"/>
    <w:rsid w:val="00594133"/>
    <w:rsid w:val="00595820"/>
    <w:rsid w:val="005A05C8"/>
    <w:rsid w:val="005A4E76"/>
    <w:rsid w:val="005A622B"/>
    <w:rsid w:val="005B47E8"/>
    <w:rsid w:val="005B6A18"/>
    <w:rsid w:val="005C3F38"/>
    <w:rsid w:val="005C500B"/>
    <w:rsid w:val="005C63F0"/>
    <w:rsid w:val="005C6ACB"/>
    <w:rsid w:val="005C7213"/>
    <w:rsid w:val="005C7310"/>
    <w:rsid w:val="005C7E82"/>
    <w:rsid w:val="005D0A4B"/>
    <w:rsid w:val="005D1897"/>
    <w:rsid w:val="005D32C1"/>
    <w:rsid w:val="005D76C7"/>
    <w:rsid w:val="005E1B65"/>
    <w:rsid w:val="005E2897"/>
    <w:rsid w:val="005E3128"/>
    <w:rsid w:val="005E34DD"/>
    <w:rsid w:val="005E4B50"/>
    <w:rsid w:val="005E4F15"/>
    <w:rsid w:val="005E5F14"/>
    <w:rsid w:val="005E6C00"/>
    <w:rsid w:val="005F0F2C"/>
    <w:rsid w:val="005F1079"/>
    <w:rsid w:val="005F4EC2"/>
    <w:rsid w:val="005F7E95"/>
    <w:rsid w:val="00602F5F"/>
    <w:rsid w:val="006054EE"/>
    <w:rsid w:val="006101E4"/>
    <w:rsid w:val="00612242"/>
    <w:rsid w:val="00613DED"/>
    <w:rsid w:val="00616296"/>
    <w:rsid w:val="006162C8"/>
    <w:rsid w:val="006171D1"/>
    <w:rsid w:val="00617945"/>
    <w:rsid w:val="006211A1"/>
    <w:rsid w:val="006239FE"/>
    <w:rsid w:val="00623A01"/>
    <w:rsid w:val="0062406A"/>
    <w:rsid w:val="006251C6"/>
    <w:rsid w:val="00627303"/>
    <w:rsid w:val="00631A9E"/>
    <w:rsid w:val="006352F1"/>
    <w:rsid w:val="00635CFE"/>
    <w:rsid w:val="00640286"/>
    <w:rsid w:val="00640FE6"/>
    <w:rsid w:val="0064727B"/>
    <w:rsid w:val="0065065D"/>
    <w:rsid w:val="00653532"/>
    <w:rsid w:val="00656A6C"/>
    <w:rsid w:val="00657984"/>
    <w:rsid w:val="00663875"/>
    <w:rsid w:val="00663CFB"/>
    <w:rsid w:val="006649CA"/>
    <w:rsid w:val="0066502B"/>
    <w:rsid w:val="0066643E"/>
    <w:rsid w:val="0067102F"/>
    <w:rsid w:val="00672923"/>
    <w:rsid w:val="00673220"/>
    <w:rsid w:val="006738B1"/>
    <w:rsid w:val="00681C63"/>
    <w:rsid w:val="006825EB"/>
    <w:rsid w:val="006845AC"/>
    <w:rsid w:val="0068576E"/>
    <w:rsid w:val="006860A4"/>
    <w:rsid w:val="006864AF"/>
    <w:rsid w:val="00686601"/>
    <w:rsid w:val="00692615"/>
    <w:rsid w:val="006945FA"/>
    <w:rsid w:val="006949AB"/>
    <w:rsid w:val="006A4970"/>
    <w:rsid w:val="006A6595"/>
    <w:rsid w:val="006B5EE1"/>
    <w:rsid w:val="006C0330"/>
    <w:rsid w:val="006C46B3"/>
    <w:rsid w:val="006C4F86"/>
    <w:rsid w:val="006C5842"/>
    <w:rsid w:val="006C5ED3"/>
    <w:rsid w:val="006D24EE"/>
    <w:rsid w:val="006D4F2F"/>
    <w:rsid w:val="006D61E4"/>
    <w:rsid w:val="006D65A1"/>
    <w:rsid w:val="006D6EEF"/>
    <w:rsid w:val="006E4D2F"/>
    <w:rsid w:val="006E775A"/>
    <w:rsid w:val="006F21B2"/>
    <w:rsid w:val="006F2D58"/>
    <w:rsid w:val="006F5843"/>
    <w:rsid w:val="006F5851"/>
    <w:rsid w:val="0070333F"/>
    <w:rsid w:val="007115CF"/>
    <w:rsid w:val="007117F4"/>
    <w:rsid w:val="00713756"/>
    <w:rsid w:val="00725408"/>
    <w:rsid w:val="00734801"/>
    <w:rsid w:val="00737401"/>
    <w:rsid w:val="007440AA"/>
    <w:rsid w:val="0074518D"/>
    <w:rsid w:val="00745DFE"/>
    <w:rsid w:val="00751556"/>
    <w:rsid w:val="007517CE"/>
    <w:rsid w:val="00753738"/>
    <w:rsid w:val="0075703F"/>
    <w:rsid w:val="00757248"/>
    <w:rsid w:val="0075798C"/>
    <w:rsid w:val="00760B80"/>
    <w:rsid w:val="0076206A"/>
    <w:rsid w:val="007634C9"/>
    <w:rsid w:val="007673B4"/>
    <w:rsid w:val="00770755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E33"/>
    <w:rsid w:val="00795FD1"/>
    <w:rsid w:val="00796D97"/>
    <w:rsid w:val="00796DF9"/>
    <w:rsid w:val="007971E6"/>
    <w:rsid w:val="007A0A4E"/>
    <w:rsid w:val="007A0E58"/>
    <w:rsid w:val="007A67ED"/>
    <w:rsid w:val="007A705B"/>
    <w:rsid w:val="007B0F66"/>
    <w:rsid w:val="007B1CC5"/>
    <w:rsid w:val="007B438C"/>
    <w:rsid w:val="007C159F"/>
    <w:rsid w:val="007C2478"/>
    <w:rsid w:val="007C626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0CA6"/>
    <w:rsid w:val="007E0CD1"/>
    <w:rsid w:val="007E1BD9"/>
    <w:rsid w:val="007E2FA4"/>
    <w:rsid w:val="007E3CEC"/>
    <w:rsid w:val="007E6926"/>
    <w:rsid w:val="007E7CB3"/>
    <w:rsid w:val="007F046C"/>
    <w:rsid w:val="007F34C4"/>
    <w:rsid w:val="007F5618"/>
    <w:rsid w:val="007F5B60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5979"/>
    <w:rsid w:val="008063DF"/>
    <w:rsid w:val="00812AC2"/>
    <w:rsid w:val="008136E2"/>
    <w:rsid w:val="00813889"/>
    <w:rsid w:val="00820280"/>
    <w:rsid w:val="00822930"/>
    <w:rsid w:val="00823A76"/>
    <w:rsid w:val="008244F8"/>
    <w:rsid w:val="00824C66"/>
    <w:rsid w:val="00831A99"/>
    <w:rsid w:val="00836286"/>
    <w:rsid w:val="00837C26"/>
    <w:rsid w:val="00840C31"/>
    <w:rsid w:val="008442FD"/>
    <w:rsid w:val="008443CF"/>
    <w:rsid w:val="00851D2D"/>
    <w:rsid w:val="00852594"/>
    <w:rsid w:val="00854491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642"/>
    <w:rsid w:val="00880B7E"/>
    <w:rsid w:val="00881181"/>
    <w:rsid w:val="00881593"/>
    <w:rsid w:val="00881DB6"/>
    <w:rsid w:val="00883934"/>
    <w:rsid w:val="00883CEF"/>
    <w:rsid w:val="008840BB"/>
    <w:rsid w:val="00885BEC"/>
    <w:rsid w:val="00887793"/>
    <w:rsid w:val="00887DDA"/>
    <w:rsid w:val="0089649C"/>
    <w:rsid w:val="008975DB"/>
    <w:rsid w:val="008A4688"/>
    <w:rsid w:val="008A4EE4"/>
    <w:rsid w:val="008A50C1"/>
    <w:rsid w:val="008A61F5"/>
    <w:rsid w:val="008A6433"/>
    <w:rsid w:val="008B054B"/>
    <w:rsid w:val="008B1F2E"/>
    <w:rsid w:val="008B2BC1"/>
    <w:rsid w:val="008B57E2"/>
    <w:rsid w:val="008B5F89"/>
    <w:rsid w:val="008B7ADD"/>
    <w:rsid w:val="008C25F1"/>
    <w:rsid w:val="008C3935"/>
    <w:rsid w:val="008C6098"/>
    <w:rsid w:val="008D3918"/>
    <w:rsid w:val="008D3B4F"/>
    <w:rsid w:val="008D5AF3"/>
    <w:rsid w:val="008D6DAC"/>
    <w:rsid w:val="008E5E96"/>
    <w:rsid w:val="008F1AEC"/>
    <w:rsid w:val="008F21DC"/>
    <w:rsid w:val="008F4CEC"/>
    <w:rsid w:val="008F5D45"/>
    <w:rsid w:val="00901CF7"/>
    <w:rsid w:val="00902456"/>
    <w:rsid w:val="0090255C"/>
    <w:rsid w:val="009026ED"/>
    <w:rsid w:val="00902A6A"/>
    <w:rsid w:val="00904219"/>
    <w:rsid w:val="00906711"/>
    <w:rsid w:val="00910D26"/>
    <w:rsid w:val="00911E2C"/>
    <w:rsid w:val="00914274"/>
    <w:rsid w:val="00915218"/>
    <w:rsid w:val="00915AC3"/>
    <w:rsid w:val="00917480"/>
    <w:rsid w:val="00924D55"/>
    <w:rsid w:val="00924F20"/>
    <w:rsid w:val="009255C6"/>
    <w:rsid w:val="00925BF6"/>
    <w:rsid w:val="00926CCD"/>
    <w:rsid w:val="00927F69"/>
    <w:rsid w:val="00932592"/>
    <w:rsid w:val="00932724"/>
    <w:rsid w:val="00934182"/>
    <w:rsid w:val="00942009"/>
    <w:rsid w:val="0094336B"/>
    <w:rsid w:val="009451F7"/>
    <w:rsid w:val="0094567A"/>
    <w:rsid w:val="009462EF"/>
    <w:rsid w:val="00946354"/>
    <w:rsid w:val="00946378"/>
    <w:rsid w:val="00946944"/>
    <w:rsid w:val="00950F57"/>
    <w:rsid w:val="00951FF5"/>
    <w:rsid w:val="00953141"/>
    <w:rsid w:val="00953670"/>
    <w:rsid w:val="00953ABE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716E9"/>
    <w:rsid w:val="00972174"/>
    <w:rsid w:val="00972DC3"/>
    <w:rsid w:val="009759A6"/>
    <w:rsid w:val="009774E2"/>
    <w:rsid w:val="00977D07"/>
    <w:rsid w:val="00981029"/>
    <w:rsid w:val="00986174"/>
    <w:rsid w:val="009871F4"/>
    <w:rsid w:val="009927DD"/>
    <w:rsid w:val="00993067"/>
    <w:rsid w:val="00995DBB"/>
    <w:rsid w:val="009973FF"/>
    <w:rsid w:val="009A04C2"/>
    <w:rsid w:val="009A1A09"/>
    <w:rsid w:val="009A283F"/>
    <w:rsid w:val="009A3453"/>
    <w:rsid w:val="009A4C10"/>
    <w:rsid w:val="009A5052"/>
    <w:rsid w:val="009A7592"/>
    <w:rsid w:val="009A7BFB"/>
    <w:rsid w:val="009B2698"/>
    <w:rsid w:val="009B2A2B"/>
    <w:rsid w:val="009B4EDA"/>
    <w:rsid w:val="009D0085"/>
    <w:rsid w:val="009D1130"/>
    <w:rsid w:val="009D3211"/>
    <w:rsid w:val="009D3B48"/>
    <w:rsid w:val="009D486A"/>
    <w:rsid w:val="009D4935"/>
    <w:rsid w:val="009D56B2"/>
    <w:rsid w:val="009D5850"/>
    <w:rsid w:val="009E183D"/>
    <w:rsid w:val="009E359D"/>
    <w:rsid w:val="009E365A"/>
    <w:rsid w:val="009E4139"/>
    <w:rsid w:val="009E531E"/>
    <w:rsid w:val="009E5D63"/>
    <w:rsid w:val="009E5EFA"/>
    <w:rsid w:val="009E617A"/>
    <w:rsid w:val="009E6C02"/>
    <w:rsid w:val="009E6F8A"/>
    <w:rsid w:val="009F0BD8"/>
    <w:rsid w:val="009F2EF7"/>
    <w:rsid w:val="009F6862"/>
    <w:rsid w:val="00A0261D"/>
    <w:rsid w:val="00A05211"/>
    <w:rsid w:val="00A071CF"/>
    <w:rsid w:val="00A11EF4"/>
    <w:rsid w:val="00A13EA4"/>
    <w:rsid w:val="00A14C59"/>
    <w:rsid w:val="00A17436"/>
    <w:rsid w:val="00A17742"/>
    <w:rsid w:val="00A22356"/>
    <w:rsid w:val="00A23C3A"/>
    <w:rsid w:val="00A24A69"/>
    <w:rsid w:val="00A259C6"/>
    <w:rsid w:val="00A30E49"/>
    <w:rsid w:val="00A32B2A"/>
    <w:rsid w:val="00A32FAD"/>
    <w:rsid w:val="00A34663"/>
    <w:rsid w:val="00A3567B"/>
    <w:rsid w:val="00A37552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53CAB"/>
    <w:rsid w:val="00A55F81"/>
    <w:rsid w:val="00A56868"/>
    <w:rsid w:val="00A63CA6"/>
    <w:rsid w:val="00A70B84"/>
    <w:rsid w:val="00A71D30"/>
    <w:rsid w:val="00A71DF1"/>
    <w:rsid w:val="00A727AE"/>
    <w:rsid w:val="00A7421B"/>
    <w:rsid w:val="00A75058"/>
    <w:rsid w:val="00A763DB"/>
    <w:rsid w:val="00A80B3D"/>
    <w:rsid w:val="00A80CF4"/>
    <w:rsid w:val="00A83B3E"/>
    <w:rsid w:val="00A84C9F"/>
    <w:rsid w:val="00A85A9D"/>
    <w:rsid w:val="00A86274"/>
    <w:rsid w:val="00A87406"/>
    <w:rsid w:val="00A92509"/>
    <w:rsid w:val="00A93623"/>
    <w:rsid w:val="00A959EE"/>
    <w:rsid w:val="00A96BFE"/>
    <w:rsid w:val="00AA021F"/>
    <w:rsid w:val="00AA1DB3"/>
    <w:rsid w:val="00AA3270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D6348"/>
    <w:rsid w:val="00AE163D"/>
    <w:rsid w:val="00AE26FB"/>
    <w:rsid w:val="00AE3CFB"/>
    <w:rsid w:val="00AE3F67"/>
    <w:rsid w:val="00AE6F5E"/>
    <w:rsid w:val="00AE7AFC"/>
    <w:rsid w:val="00AF109B"/>
    <w:rsid w:val="00AF120E"/>
    <w:rsid w:val="00AF2816"/>
    <w:rsid w:val="00AF371C"/>
    <w:rsid w:val="00AF576D"/>
    <w:rsid w:val="00AF63AE"/>
    <w:rsid w:val="00AF7572"/>
    <w:rsid w:val="00B0409D"/>
    <w:rsid w:val="00B04FC6"/>
    <w:rsid w:val="00B05E68"/>
    <w:rsid w:val="00B06256"/>
    <w:rsid w:val="00B13D84"/>
    <w:rsid w:val="00B15440"/>
    <w:rsid w:val="00B16375"/>
    <w:rsid w:val="00B21DD1"/>
    <w:rsid w:val="00B21F22"/>
    <w:rsid w:val="00B22450"/>
    <w:rsid w:val="00B30E91"/>
    <w:rsid w:val="00B30F72"/>
    <w:rsid w:val="00B3112C"/>
    <w:rsid w:val="00B32190"/>
    <w:rsid w:val="00B33396"/>
    <w:rsid w:val="00B3693F"/>
    <w:rsid w:val="00B37296"/>
    <w:rsid w:val="00B372CD"/>
    <w:rsid w:val="00B40E13"/>
    <w:rsid w:val="00B410A3"/>
    <w:rsid w:val="00B43628"/>
    <w:rsid w:val="00B442CF"/>
    <w:rsid w:val="00B47E25"/>
    <w:rsid w:val="00B5657B"/>
    <w:rsid w:val="00B57F82"/>
    <w:rsid w:val="00B6004F"/>
    <w:rsid w:val="00B63C24"/>
    <w:rsid w:val="00B64638"/>
    <w:rsid w:val="00B64C52"/>
    <w:rsid w:val="00B65CDD"/>
    <w:rsid w:val="00B7016D"/>
    <w:rsid w:val="00B7305E"/>
    <w:rsid w:val="00B75768"/>
    <w:rsid w:val="00B81942"/>
    <w:rsid w:val="00B8277D"/>
    <w:rsid w:val="00B82FE7"/>
    <w:rsid w:val="00B831CF"/>
    <w:rsid w:val="00B84951"/>
    <w:rsid w:val="00B855C1"/>
    <w:rsid w:val="00B874B5"/>
    <w:rsid w:val="00B900EF"/>
    <w:rsid w:val="00B902AB"/>
    <w:rsid w:val="00B92512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2DD0"/>
    <w:rsid w:val="00BC0487"/>
    <w:rsid w:val="00BC089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18B"/>
    <w:rsid w:val="00BD6496"/>
    <w:rsid w:val="00BE0BE4"/>
    <w:rsid w:val="00BE1A7F"/>
    <w:rsid w:val="00BE39E1"/>
    <w:rsid w:val="00BF0E02"/>
    <w:rsid w:val="00BF2513"/>
    <w:rsid w:val="00BF4261"/>
    <w:rsid w:val="00BF46C5"/>
    <w:rsid w:val="00C03013"/>
    <w:rsid w:val="00C0362A"/>
    <w:rsid w:val="00C05742"/>
    <w:rsid w:val="00C07F9D"/>
    <w:rsid w:val="00C11D08"/>
    <w:rsid w:val="00C12980"/>
    <w:rsid w:val="00C1465D"/>
    <w:rsid w:val="00C15464"/>
    <w:rsid w:val="00C164A1"/>
    <w:rsid w:val="00C178DF"/>
    <w:rsid w:val="00C20472"/>
    <w:rsid w:val="00C21CA5"/>
    <w:rsid w:val="00C24535"/>
    <w:rsid w:val="00C30540"/>
    <w:rsid w:val="00C33D58"/>
    <w:rsid w:val="00C36857"/>
    <w:rsid w:val="00C36978"/>
    <w:rsid w:val="00C41CBB"/>
    <w:rsid w:val="00C443A9"/>
    <w:rsid w:val="00C46578"/>
    <w:rsid w:val="00C46679"/>
    <w:rsid w:val="00C46856"/>
    <w:rsid w:val="00C51098"/>
    <w:rsid w:val="00C51EE7"/>
    <w:rsid w:val="00C52220"/>
    <w:rsid w:val="00C5265D"/>
    <w:rsid w:val="00C5482B"/>
    <w:rsid w:val="00C578E0"/>
    <w:rsid w:val="00C61B73"/>
    <w:rsid w:val="00C642A4"/>
    <w:rsid w:val="00C6499D"/>
    <w:rsid w:val="00C651BD"/>
    <w:rsid w:val="00C653B0"/>
    <w:rsid w:val="00C65A6F"/>
    <w:rsid w:val="00C66B64"/>
    <w:rsid w:val="00C67761"/>
    <w:rsid w:val="00C710FE"/>
    <w:rsid w:val="00C72AF2"/>
    <w:rsid w:val="00C74F17"/>
    <w:rsid w:val="00C74F4A"/>
    <w:rsid w:val="00C80AC1"/>
    <w:rsid w:val="00C81FA4"/>
    <w:rsid w:val="00C8323C"/>
    <w:rsid w:val="00C83DD0"/>
    <w:rsid w:val="00C85CB3"/>
    <w:rsid w:val="00C85D0B"/>
    <w:rsid w:val="00C869DC"/>
    <w:rsid w:val="00C87CE8"/>
    <w:rsid w:val="00C92770"/>
    <w:rsid w:val="00C9485F"/>
    <w:rsid w:val="00C95AD7"/>
    <w:rsid w:val="00C95F13"/>
    <w:rsid w:val="00CA21A4"/>
    <w:rsid w:val="00CA323C"/>
    <w:rsid w:val="00CA332B"/>
    <w:rsid w:val="00CA3918"/>
    <w:rsid w:val="00CA3989"/>
    <w:rsid w:val="00CA3E44"/>
    <w:rsid w:val="00CA74CE"/>
    <w:rsid w:val="00CB1059"/>
    <w:rsid w:val="00CB377E"/>
    <w:rsid w:val="00CB3F93"/>
    <w:rsid w:val="00CB4298"/>
    <w:rsid w:val="00CB51E9"/>
    <w:rsid w:val="00CB69DF"/>
    <w:rsid w:val="00CB721E"/>
    <w:rsid w:val="00CB7601"/>
    <w:rsid w:val="00CC2528"/>
    <w:rsid w:val="00CC3528"/>
    <w:rsid w:val="00CC3DA4"/>
    <w:rsid w:val="00CC4912"/>
    <w:rsid w:val="00CD132E"/>
    <w:rsid w:val="00CE0208"/>
    <w:rsid w:val="00CE0DC1"/>
    <w:rsid w:val="00CE1143"/>
    <w:rsid w:val="00CE3CDD"/>
    <w:rsid w:val="00CE5EB9"/>
    <w:rsid w:val="00CE6042"/>
    <w:rsid w:val="00CE738E"/>
    <w:rsid w:val="00CE7BF2"/>
    <w:rsid w:val="00CF0D0B"/>
    <w:rsid w:val="00CF2F0B"/>
    <w:rsid w:val="00CF323B"/>
    <w:rsid w:val="00CF4903"/>
    <w:rsid w:val="00CF74A0"/>
    <w:rsid w:val="00D035A2"/>
    <w:rsid w:val="00D05F11"/>
    <w:rsid w:val="00D12348"/>
    <w:rsid w:val="00D13112"/>
    <w:rsid w:val="00D13188"/>
    <w:rsid w:val="00D13AE4"/>
    <w:rsid w:val="00D1504B"/>
    <w:rsid w:val="00D16EA1"/>
    <w:rsid w:val="00D21279"/>
    <w:rsid w:val="00D21D0A"/>
    <w:rsid w:val="00D224C5"/>
    <w:rsid w:val="00D22AB7"/>
    <w:rsid w:val="00D24B73"/>
    <w:rsid w:val="00D25DA6"/>
    <w:rsid w:val="00D30263"/>
    <w:rsid w:val="00D30AC7"/>
    <w:rsid w:val="00D32D1F"/>
    <w:rsid w:val="00D34D3F"/>
    <w:rsid w:val="00D40171"/>
    <w:rsid w:val="00D41E3E"/>
    <w:rsid w:val="00D425F7"/>
    <w:rsid w:val="00D43320"/>
    <w:rsid w:val="00D469B3"/>
    <w:rsid w:val="00D47343"/>
    <w:rsid w:val="00D5055C"/>
    <w:rsid w:val="00D52D32"/>
    <w:rsid w:val="00D52E0A"/>
    <w:rsid w:val="00D533D8"/>
    <w:rsid w:val="00D54652"/>
    <w:rsid w:val="00D54927"/>
    <w:rsid w:val="00D55E68"/>
    <w:rsid w:val="00D56E3B"/>
    <w:rsid w:val="00D57892"/>
    <w:rsid w:val="00D65979"/>
    <w:rsid w:val="00D707E4"/>
    <w:rsid w:val="00D70F82"/>
    <w:rsid w:val="00D724F5"/>
    <w:rsid w:val="00D72D67"/>
    <w:rsid w:val="00D734D3"/>
    <w:rsid w:val="00D74084"/>
    <w:rsid w:val="00D76A44"/>
    <w:rsid w:val="00D76D9C"/>
    <w:rsid w:val="00D77527"/>
    <w:rsid w:val="00D779E9"/>
    <w:rsid w:val="00D80CFC"/>
    <w:rsid w:val="00D81D1C"/>
    <w:rsid w:val="00D82245"/>
    <w:rsid w:val="00D83E2F"/>
    <w:rsid w:val="00D8421E"/>
    <w:rsid w:val="00D8757B"/>
    <w:rsid w:val="00D9038B"/>
    <w:rsid w:val="00D923AD"/>
    <w:rsid w:val="00D9286F"/>
    <w:rsid w:val="00D93510"/>
    <w:rsid w:val="00D940CB"/>
    <w:rsid w:val="00D94609"/>
    <w:rsid w:val="00D96360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2CC3"/>
    <w:rsid w:val="00DB350F"/>
    <w:rsid w:val="00DB5004"/>
    <w:rsid w:val="00DB6568"/>
    <w:rsid w:val="00DB6A67"/>
    <w:rsid w:val="00DC196A"/>
    <w:rsid w:val="00DC1F91"/>
    <w:rsid w:val="00DC2E42"/>
    <w:rsid w:val="00DC7F13"/>
    <w:rsid w:val="00DD103D"/>
    <w:rsid w:val="00DD2580"/>
    <w:rsid w:val="00DD2D7D"/>
    <w:rsid w:val="00DD586F"/>
    <w:rsid w:val="00DD5A72"/>
    <w:rsid w:val="00DD6071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F39A7"/>
    <w:rsid w:val="00DF3ABA"/>
    <w:rsid w:val="00DF62B2"/>
    <w:rsid w:val="00E007BE"/>
    <w:rsid w:val="00E01FA1"/>
    <w:rsid w:val="00E02162"/>
    <w:rsid w:val="00E021E0"/>
    <w:rsid w:val="00E02DCB"/>
    <w:rsid w:val="00E05460"/>
    <w:rsid w:val="00E05B92"/>
    <w:rsid w:val="00E0676A"/>
    <w:rsid w:val="00E06BAE"/>
    <w:rsid w:val="00E077C7"/>
    <w:rsid w:val="00E117D4"/>
    <w:rsid w:val="00E12C55"/>
    <w:rsid w:val="00E16B47"/>
    <w:rsid w:val="00E16D3D"/>
    <w:rsid w:val="00E16D50"/>
    <w:rsid w:val="00E17FE9"/>
    <w:rsid w:val="00E30EFE"/>
    <w:rsid w:val="00E337E2"/>
    <w:rsid w:val="00E34380"/>
    <w:rsid w:val="00E35DA1"/>
    <w:rsid w:val="00E37CCD"/>
    <w:rsid w:val="00E4153C"/>
    <w:rsid w:val="00E444F9"/>
    <w:rsid w:val="00E4591D"/>
    <w:rsid w:val="00E50275"/>
    <w:rsid w:val="00E52A9F"/>
    <w:rsid w:val="00E53D86"/>
    <w:rsid w:val="00E56A96"/>
    <w:rsid w:val="00E6096F"/>
    <w:rsid w:val="00E628D7"/>
    <w:rsid w:val="00E65E94"/>
    <w:rsid w:val="00E74CB6"/>
    <w:rsid w:val="00E752B6"/>
    <w:rsid w:val="00E767FA"/>
    <w:rsid w:val="00E80E73"/>
    <w:rsid w:val="00E813BB"/>
    <w:rsid w:val="00E85A96"/>
    <w:rsid w:val="00E900BE"/>
    <w:rsid w:val="00E909E5"/>
    <w:rsid w:val="00E90B90"/>
    <w:rsid w:val="00E90BEE"/>
    <w:rsid w:val="00E9181C"/>
    <w:rsid w:val="00E91C5C"/>
    <w:rsid w:val="00E91EAF"/>
    <w:rsid w:val="00E92125"/>
    <w:rsid w:val="00E948E2"/>
    <w:rsid w:val="00E94F20"/>
    <w:rsid w:val="00E976CD"/>
    <w:rsid w:val="00E97A98"/>
    <w:rsid w:val="00EA0141"/>
    <w:rsid w:val="00EA2507"/>
    <w:rsid w:val="00EA2E38"/>
    <w:rsid w:val="00EA4DBD"/>
    <w:rsid w:val="00EA5DF0"/>
    <w:rsid w:val="00EA606C"/>
    <w:rsid w:val="00EA72B1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050"/>
    <w:rsid w:val="00EC580C"/>
    <w:rsid w:val="00EC6E9B"/>
    <w:rsid w:val="00EC7F16"/>
    <w:rsid w:val="00ED0711"/>
    <w:rsid w:val="00ED3FCC"/>
    <w:rsid w:val="00ED7C5C"/>
    <w:rsid w:val="00EE02A9"/>
    <w:rsid w:val="00EE2376"/>
    <w:rsid w:val="00EE3932"/>
    <w:rsid w:val="00EE5E0F"/>
    <w:rsid w:val="00EF0235"/>
    <w:rsid w:val="00EF0669"/>
    <w:rsid w:val="00EF13BF"/>
    <w:rsid w:val="00EF7518"/>
    <w:rsid w:val="00F00306"/>
    <w:rsid w:val="00F00BF5"/>
    <w:rsid w:val="00F03889"/>
    <w:rsid w:val="00F04D52"/>
    <w:rsid w:val="00F05F1C"/>
    <w:rsid w:val="00F108D7"/>
    <w:rsid w:val="00F111F6"/>
    <w:rsid w:val="00F12823"/>
    <w:rsid w:val="00F13F43"/>
    <w:rsid w:val="00F14D86"/>
    <w:rsid w:val="00F16F88"/>
    <w:rsid w:val="00F21843"/>
    <w:rsid w:val="00F227B5"/>
    <w:rsid w:val="00F234B0"/>
    <w:rsid w:val="00F2693C"/>
    <w:rsid w:val="00F31885"/>
    <w:rsid w:val="00F32F97"/>
    <w:rsid w:val="00F33016"/>
    <w:rsid w:val="00F33B35"/>
    <w:rsid w:val="00F34B56"/>
    <w:rsid w:val="00F35B8F"/>
    <w:rsid w:val="00F35DFA"/>
    <w:rsid w:val="00F36F52"/>
    <w:rsid w:val="00F42D22"/>
    <w:rsid w:val="00F440C8"/>
    <w:rsid w:val="00F44ABD"/>
    <w:rsid w:val="00F44E5B"/>
    <w:rsid w:val="00F45CF4"/>
    <w:rsid w:val="00F45E41"/>
    <w:rsid w:val="00F46FE1"/>
    <w:rsid w:val="00F519A4"/>
    <w:rsid w:val="00F55400"/>
    <w:rsid w:val="00F563D9"/>
    <w:rsid w:val="00F566C4"/>
    <w:rsid w:val="00F57E68"/>
    <w:rsid w:val="00F60F15"/>
    <w:rsid w:val="00F61F44"/>
    <w:rsid w:val="00F634B8"/>
    <w:rsid w:val="00F71BE4"/>
    <w:rsid w:val="00F72374"/>
    <w:rsid w:val="00F72CD5"/>
    <w:rsid w:val="00F72E2E"/>
    <w:rsid w:val="00F731A7"/>
    <w:rsid w:val="00F75284"/>
    <w:rsid w:val="00F766AE"/>
    <w:rsid w:val="00F76EE8"/>
    <w:rsid w:val="00F77963"/>
    <w:rsid w:val="00F81583"/>
    <w:rsid w:val="00F82939"/>
    <w:rsid w:val="00F86A73"/>
    <w:rsid w:val="00F90043"/>
    <w:rsid w:val="00F91DCF"/>
    <w:rsid w:val="00F92240"/>
    <w:rsid w:val="00F932AC"/>
    <w:rsid w:val="00FA24A7"/>
    <w:rsid w:val="00FA65B7"/>
    <w:rsid w:val="00FA773D"/>
    <w:rsid w:val="00FA7773"/>
    <w:rsid w:val="00FB4849"/>
    <w:rsid w:val="00FB5470"/>
    <w:rsid w:val="00FB5E5C"/>
    <w:rsid w:val="00FB7DEF"/>
    <w:rsid w:val="00FB7FBB"/>
    <w:rsid w:val="00FC2F0B"/>
    <w:rsid w:val="00FD4E2D"/>
    <w:rsid w:val="00FD50F5"/>
    <w:rsid w:val="00FD5154"/>
    <w:rsid w:val="00FD574D"/>
    <w:rsid w:val="00FD6A02"/>
    <w:rsid w:val="00FD7ED6"/>
    <w:rsid w:val="00FE268E"/>
    <w:rsid w:val="00FE2C16"/>
    <w:rsid w:val="00FE437C"/>
    <w:rsid w:val="00FE5702"/>
    <w:rsid w:val="00FE5EE0"/>
    <w:rsid w:val="00FE6EDE"/>
    <w:rsid w:val="00FE733F"/>
    <w:rsid w:val="00FF27DD"/>
    <w:rsid w:val="00FF39A5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  <w:style w:type="paragraph" w:styleId="BodyText3">
    <w:name w:val="Body Text 3"/>
    <w:basedOn w:val="Normal"/>
    <w:link w:val="BodyText3Char"/>
    <w:uiPriority w:val="99"/>
    <w:semiHidden/>
    <w:unhideWhenUsed/>
    <w:rsid w:val="00760B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0B80"/>
    <w:rPr>
      <w:rFonts w:ascii="Simplified Arabic" w:hAnsi="Simplified Arabic" w:cs="Times New Roman"/>
      <w:b/>
      <w:i/>
      <w:sz w:val="16"/>
      <w:szCs w:val="16"/>
    </w:rPr>
  </w:style>
  <w:style w:type="character" w:customStyle="1" w:styleId="longtext">
    <w:name w:val="long_text"/>
    <w:basedOn w:val="DefaultParagraphFont"/>
    <w:rsid w:val="00760B80"/>
  </w:style>
  <w:style w:type="paragraph" w:styleId="HTMLPreformatted">
    <w:name w:val="HTML Preformatted"/>
    <w:basedOn w:val="Normal"/>
    <w:link w:val="HTMLPreformattedChar"/>
    <w:uiPriority w:val="99"/>
    <w:unhideWhenUsed/>
    <w:rsid w:val="0004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F63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5A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5AF3"/>
    <w:rPr>
      <w:rFonts w:ascii="Simplified Arabic" w:hAnsi="Simplified Arabic" w:cs="Times New Roman"/>
      <w:b/>
      <w:i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5A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08BF-0711-45E5-BA6B-B5059413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hbadran</cp:lastModifiedBy>
  <cp:revision>2</cp:revision>
  <cp:lastPrinted>2019-09-29T06:10:00Z</cp:lastPrinted>
  <dcterms:created xsi:type="dcterms:W3CDTF">2019-09-29T06:12:00Z</dcterms:created>
  <dcterms:modified xsi:type="dcterms:W3CDTF">2019-09-29T06:12:00Z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