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61" w:rsidRPr="00EF3561" w:rsidRDefault="00EF3561" w:rsidP="00005FA2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EF3561" w:rsidRPr="00EF3561" w:rsidRDefault="00EF3561" w:rsidP="00EF3561">
      <w:pPr>
        <w:pStyle w:val="Heading1"/>
        <w:jc w:val="center"/>
        <w:rPr>
          <w:rFonts w:asciiTheme="majorBidi" w:hAnsiTheme="majorBidi"/>
          <w:color w:val="auto"/>
          <w:sz w:val="32"/>
          <w:szCs w:val="32"/>
          <w:rtl/>
        </w:rPr>
      </w:pPr>
      <w:r w:rsidRPr="00EF3561">
        <w:rPr>
          <w:rFonts w:asciiTheme="majorBidi" w:hAnsiTheme="majorBidi"/>
          <w:color w:val="auto"/>
          <w:sz w:val="32"/>
          <w:szCs w:val="32"/>
        </w:rPr>
        <w:t>Palestinian Central Bureau of Statistics (PCBS)</w:t>
      </w:r>
    </w:p>
    <w:p w:rsidR="00EF3561" w:rsidRPr="00EF3561" w:rsidRDefault="00EF3561" w:rsidP="00EF3561">
      <w:pPr>
        <w:rPr>
          <w:rFonts w:asciiTheme="majorBidi" w:hAnsiTheme="majorBidi" w:cstheme="majorBidi"/>
          <w:sz w:val="32"/>
          <w:szCs w:val="32"/>
          <w:rtl/>
        </w:rPr>
      </w:pPr>
    </w:p>
    <w:p w:rsidR="00EF3561" w:rsidRPr="00EF3561" w:rsidRDefault="00EF3561" w:rsidP="00EF3561">
      <w:pPr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3561">
        <w:rPr>
          <w:rFonts w:asciiTheme="majorBidi" w:hAnsiTheme="majorBidi" w:cstheme="majorBidi"/>
          <w:b/>
          <w:bCs/>
          <w:sz w:val="32"/>
          <w:szCs w:val="32"/>
        </w:rPr>
        <w:t>International Women's Day 2014</w:t>
      </w:r>
    </w:p>
    <w:p w:rsidR="00EF3561" w:rsidRPr="00EF3561" w:rsidRDefault="00EF3561" w:rsidP="00EF3561">
      <w:pPr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816FF" w:rsidRPr="00EF3561" w:rsidRDefault="00F816FF" w:rsidP="00F816FF">
      <w:pPr>
        <w:autoSpaceDE w:val="0"/>
        <w:autoSpaceDN w:val="0"/>
        <w:bidi w:val="0"/>
        <w:adjustRightInd w:val="0"/>
        <w:jc w:val="both"/>
        <w:rPr>
          <w:rFonts w:cs="Simplified Arabic"/>
        </w:rPr>
      </w:pPr>
    </w:p>
    <w:p w:rsidR="00F816FF" w:rsidRPr="00EF3561" w:rsidRDefault="00F816FF" w:rsidP="00F50411">
      <w:pPr>
        <w:autoSpaceDE w:val="0"/>
        <w:autoSpaceDN w:val="0"/>
        <w:bidi w:val="0"/>
        <w:adjustRightInd w:val="0"/>
        <w:jc w:val="both"/>
        <w:rPr>
          <w:rFonts w:cs="Simplified Arabic"/>
        </w:rPr>
      </w:pPr>
      <w:r w:rsidRPr="00EF3561">
        <w:rPr>
          <w:rFonts w:cs="Simplified Arabic"/>
        </w:rPr>
        <w:t xml:space="preserve">Ms. Ola Awad, President of the Palestinian Central Bureau of Statistics (PCBS), presented statistical figures about the conditions of Palestinian </w:t>
      </w:r>
      <w:r w:rsidR="00415948" w:rsidRPr="00EF3561">
        <w:rPr>
          <w:rFonts w:cs="Simplified Arabic"/>
        </w:rPr>
        <w:t>female</w:t>
      </w:r>
      <w:r w:rsidRPr="00EF3561">
        <w:rPr>
          <w:rFonts w:cs="Simplified Arabic"/>
        </w:rPr>
        <w:t xml:space="preserve"> through a press release on the occasion of the eighth of March.</w:t>
      </w:r>
    </w:p>
    <w:p w:rsidR="00F816FF" w:rsidRPr="00EF3561" w:rsidRDefault="00F816FF" w:rsidP="00F816FF">
      <w:pPr>
        <w:bidi w:val="0"/>
        <w:jc w:val="both"/>
        <w:rPr>
          <w:rFonts w:cs="Simplified Arabic"/>
        </w:rPr>
      </w:pPr>
    </w:p>
    <w:p w:rsidR="00612E43" w:rsidRPr="009819D0" w:rsidRDefault="00612E43" w:rsidP="00E7171C">
      <w:pPr>
        <w:bidi w:val="0"/>
        <w:jc w:val="lowKashida"/>
        <w:textAlignment w:val="top"/>
        <w:rPr>
          <w:rStyle w:val="hps"/>
          <w:rFonts w:ascii="Arial" w:hAnsi="Arial" w:cs="Arial"/>
          <w:b/>
          <w:bCs/>
        </w:rPr>
      </w:pPr>
      <w:r w:rsidRPr="009819D0">
        <w:rPr>
          <w:rFonts w:cs="Simplified Arabic"/>
          <w:b/>
          <w:bCs/>
        </w:rPr>
        <w:t xml:space="preserve">About half of the population </w:t>
      </w:r>
      <w:r w:rsidR="00987C88" w:rsidRPr="009819D0">
        <w:rPr>
          <w:rFonts w:cs="Simplified Arabic"/>
          <w:b/>
          <w:bCs/>
        </w:rPr>
        <w:t>are</w:t>
      </w:r>
      <w:r w:rsidRPr="009819D0">
        <w:rPr>
          <w:rFonts w:cs="Simplified Arabic"/>
          <w:b/>
          <w:bCs/>
        </w:rPr>
        <w:t xml:space="preserve"> </w:t>
      </w:r>
      <w:r w:rsidR="00E7171C" w:rsidRPr="009819D0">
        <w:rPr>
          <w:rFonts w:cs="Simplified Arabic"/>
          <w:b/>
          <w:bCs/>
        </w:rPr>
        <w:t>women</w:t>
      </w:r>
    </w:p>
    <w:p w:rsidR="00747B71" w:rsidRPr="00EF3561" w:rsidRDefault="00747B71" w:rsidP="001921B7">
      <w:pPr>
        <w:bidi w:val="0"/>
        <w:jc w:val="lowKashida"/>
        <w:textAlignment w:val="top"/>
        <w:rPr>
          <w:rFonts w:cs="Simplified Arabic"/>
        </w:rPr>
      </w:pPr>
      <w:r w:rsidRPr="00EF3561">
        <w:rPr>
          <w:rFonts w:cs="Simplified Arabic"/>
        </w:rPr>
        <w:t xml:space="preserve">The estimated population </w:t>
      </w:r>
      <w:r w:rsidR="00140CE1" w:rsidRPr="00EF3561">
        <w:rPr>
          <w:rFonts w:cs="Simplified Arabic"/>
        </w:rPr>
        <w:t>of</w:t>
      </w:r>
      <w:r w:rsidR="00A131B7" w:rsidRPr="00EF3561">
        <w:rPr>
          <w:rFonts w:cs="Simplified Arabic"/>
        </w:rPr>
        <w:t xml:space="preserve"> Palestine </w:t>
      </w:r>
      <w:r w:rsidRPr="00EF3561">
        <w:rPr>
          <w:rFonts w:cs="Simplified Arabic"/>
        </w:rPr>
        <w:t xml:space="preserve">at </w:t>
      </w:r>
      <w:r w:rsidR="00A131B7" w:rsidRPr="00EF3561">
        <w:rPr>
          <w:rFonts w:cs="Simplified Arabic"/>
        </w:rPr>
        <w:t xml:space="preserve">the </w:t>
      </w:r>
      <w:r w:rsidRPr="00EF3561">
        <w:rPr>
          <w:rFonts w:cs="Simplified Arabic"/>
        </w:rPr>
        <w:t>end of 201</w:t>
      </w:r>
      <w:r w:rsidR="00612E43" w:rsidRPr="00EF3561">
        <w:rPr>
          <w:rFonts w:cs="Simplified Arabic"/>
        </w:rPr>
        <w:t>3</w:t>
      </w:r>
      <w:r w:rsidRPr="00EF3561">
        <w:rPr>
          <w:rFonts w:cs="Simplified Arabic"/>
        </w:rPr>
        <w:t xml:space="preserve"> was 4.</w:t>
      </w:r>
      <w:r w:rsidR="00612E43" w:rsidRPr="00EF3561">
        <w:rPr>
          <w:rFonts w:cs="Simplified Arabic"/>
        </w:rPr>
        <w:t>49</w:t>
      </w:r>
      <w:r w:rsidRPr="00EF3561">
        <w:rPr>
          <w:rFonts w:cs="Simplified Arabic"/>
        </w:rPr>
        <w:t xml:space="preserve"> million of whom 2.</w:t>
      </w:r>
      <w:r w:rsidR="004119CF" w:rsidRPr="00EF3561">
        <w:rPr>
          <w:rFonts w:cs="Simplified Arabic"/>
        </w:rPr>
        <w:t>2</w:t>
      </w:r>
      <w:r w:rsidR="001921B7" w:rsidRPr="00EF3561">
        <w:rPr>
          <w:rFonts w:cs="Simplified Arabic"/>
        </w:rPr>
        <w:t>8</w:t>
      </w:r>
      <w:r w:rsidRPr="00EF3561">
        <w:rPr>
          <w:rFonts w:cs="Simplified Arabic"/>
        </w:rPr>
        <w:t xml:space="preserve"> million </w:t>
      </w:r>
      <w:r w:rsidR="00A131B7" w:rsidRPr="00EF3561">
        <w:rPr>
          <w:rFonts w:cs="Simplified Arabic"/>
        </w:rPr>
        <w:t>we</w:t>
      </w:r>
      <w:r w:rsidRPr="00EF3561">
        <w:rPr>
          <w:rFonts w:cs="Simplified Arabic"/>
        </w:rPr>
        <w:t>re males and 2.</w:t>
      </w:r>
      <w:r w:rsidR="00612E43" w:rsidRPr="00EF3561">
        <w:rPr>
          <w:rFonts w:cs="Simplified Arabic"/>
        </w:rPr>
        <w:t>21</w:t>
      </w:r>
      <w:r w:rsidRPr="00EF3561">
        <w:rPr>
          <w:rFonts w:cs="Simplified Arabic"/>
        </w:rPr>
        <w:t xml:space="preserve"> million</w:t>
      </w:r>
      <w:r w:rsidR="00987C88" w:rsidRPr="00EF3561">
        <w:rPr>
          <w:rFonts w:cs="Simplified Arabic"/>
        </w:rPr>
        <w:t xml:space="preserve"> were</w:t>
      </w:r>
      <w:r w:rsidRPr="00EF3561">
        <w:rPr>
          <w:rFonts w:cs="Simplified Arabic"/>
        </w:rPr>
        <w:t xml:space="preserve"> females. </w:t>
      </w:r>
      <w:r w:rsidR="00A131B7" w:rsidRPr="00EF3561">
        <w:rPr>
          <w:rFonts w:cs="Simplified Arabic"/>
        </w:rPr>
        <w:t>M</w:t>
      </w:r>
      <w:r w:rsidRPr="00EF3561">
        <w:rPr>
          <w:rFonts w:cs="Simplified Arabic"/>
        </w:rPr>
        <w:t>ales comprise 50.8</w:t>
      </w:r>
      <w:r w:rsidR="00A47C9A" w:rsidRPr="00EF3561">
        <w:rPr>
          <w:rFonts w:cs="Simplified Arabic"/>
        </w:rPr>
        <w:t xml:space="preserve"> percent</w:t>
      </w:r>
      <w:r w:rsidRPr="00EF3561">
        <w:rPr>
          <w:rFonts w:cs="Simplified Arabic"/>
        </w:rPr>
        <w:t xml:space="preserve"> of </w:t>
      </w:r>
      <w:r w:rsidR="00A131B7" w:rsidRPr="00EF3561">
        <w:rPr>
          <w:rFonts w:cs="Simplified Arabic"/>
        </w:rPr>
        <w:t xml:space="preserve">the </w:t>
      </w:r>
      <w:r w:rsidRPr="00EF3561">
        <w:rPr>
          <w:rFonts w:cs="Simplified Arabic"/>
        </w:rPr>
        <w:t>total population compared to 49.2</w:t>
      </w:r>
      <w:r w:rsidR="00A47C9A" w:rsidRPr="00EF3561">
        <w:rPr>
          <w:rFonts w:cs="Simplified Arabic"/>
        </w:rPr>
        <w:t xml:space="preserve"> percent</w:t>
      </w:r>
      <w:r w:rsidRPr="00EF3561">
        <w:rPr>
          <w:rFonts w:cs="Simplified Arabic"/>
        </w:rPr>
        <w:t xml:space="preserve"> for females. In other words</w:t>
      </w:r>
      <w:r w:rsidR="001921B7" w:rsidRPr="00EF3561">
        <w:rPr>
          <w:rFonts w:cs="Simplified Arabic"/>
        </w:rPr>
        <w:t>,</w:t>
      </w:r>
      <w:r w:rsidRPr="00EF3561">
        <w:rPr>
          <w:rFonts w:cs="Simplified Arabic"/>
        </w:rPr>
        <w:t xml:space="preserve"> </w:t>
      </w:r>
      <w:r w:rsidR="00A131B7" w:rsidRPr="00EF3561">
        <w:rPr>
          <w:rFonts w:cs="Simplified Arabic"/>
        </w:rPr>
        <w:t>a</w:t>
      </w:r>
      <w:r w:rsidRPr="00EF3561">
        <w:rPr>
          <w:rFonts w:cs="Simplified Arabic"/>
        </w:rPr>
        <w:t xml:space="preserve"> sex ratio </w:t>
      </w:r>
      <w:r w:rsidR="00A131B7" w:rsidRPr="00EF3561">
        <w:rPr>
          <w:rFonts w:cs="Simplified Arabic"/>
        </w:rPr>
        <w:t>of</w:t>
      </w:r>
      <w:r w:rsidRPr="00EF3561">
        <w:rPr>
          <w:rFonts w:cs="Simplified Arabic"/>
        </w:rPr>
        <w:t xml:space="preserve"> 103.2.</w:t>
      </w:r>
    </w:p>
    <w:p w:rsidR="00553C48" w:rsidRPr="00EF3561" w:rsidRDefault="00553C48" w:rsidP="00553C48">
      <w:pPr>
        <w:bidi w:val="0"/>
      </w:pPr>
    </w:p>
    <w:p w:rsidR="00387865" w:rsidRPr="009819D0" w:rsidRDefault="00D67F2A" w:rsidP="00387865">
      <w:pPr>
        <w:bidi w:val="0"/>
        <w:rPr>
          <w:rFonts w:cs="Simplified Arabic"/>
          <w:b/>
          <w:bCs/>
        </w:rPr>
      </w:pPr>
      <w:r w:rsidRPr="009819D0">
        <w:rPr>
          <w:rFonts w:cs="Simplified Arabic"/>
          <w:b/>
          <w:bCs/>
        </w:rPr>
        <w:t xml:space="preserve">Time Use 2012/2013 </w:t>
      </w:r>
    </w:p>
    <w:p w:rsidR="00D67F2A" w:rsidRPr="00EF3561" w:rsidRDefault="00D67F2A" w:rsidP="00115253">
      <w:pPr>
        <w:bidi w:val="0"/>
        <w:jc w:val="both"/>
        <w:rPr>
          <w:rFonts w:cs="Simplified Arabic"/>
        </w:rPr>
      </w:pPr>
      <w:r w:rsidRPr="00EF3561">
        <w:rPr>
          <w:rFonts w:cs="Simplified Arabic"/>
          <w:b/>
          <w:bCs/>
          <w:sz w:val="26"/>
          <w:szCs w:val="26"/>
        </w:rPr>
        <w:br/>
      </w:r>
      <w:r w:rsidR="00115253" w:rsidRPr="00EF3561">
        <w:rPr>
          <w:rFonts w:cs="Simplified Arabic"/>
        </w:rPr>
        <w:t>Data of</w:t>
      </w:r>
      <w:r w:rsidRPr="00EF3561">
        <w:rPr>
          <w:rFonts w:cs="Simplified Arabic"/>
        </w:rPr>
        <w:t xml:space="preserve"> the </w:t>
      </w:r>
      <w:r w:rsidR="00765762" w:rsidRPr="00EF3561">
        <w:rPr>
          <w:rFonts w:cs="Simplified Arabic"/>
        </w:rPr>
        <w:t xml:space="preserve">Palestinian </w:t>
      </w:r>
      <w:r w:rsidRPr="00EF3561">
        <w:rPr>
          <w:rFonts w:cs="Simplified Arabic"/>
        </w:rPr>
        <w:t xml:space="preserve">Central Bureau of Statistics, </w:t>
      </w:r>
      <w:r w:rsidR="00115253" w:rsidRPr="00EF3561">
        <w:rPr>
          <w:rFonts w:cs="Simplified Arabic"/>
        </w:rPr>
        <w:t xml:space="preserve">indicated that </w:t>
      </w:r>
      <w:r w:rsidR="00415948" w:rsidRPr="00EF3561">
        <w:rPr>
          <w:rFonts w:cs="Simplified Arabic"/>
        </w:rPr>
        <w:t>female</w:t>
      </w:r>
      <w:r w:rsidR="00115253" w:rsidRPr="00EF3561">
        <w:rPr>
          <w:rFonts w:cs="Simplified Arabic"/>
        </w:rPr>
        <w:t>s</w:t>
      </w:r>
      <w:r w:rsidRPr="00EF3561">
        <w:rPr>
          <w:rFonts w:cs="Simplified Arabic"/>
        </w:rPr>
        <w:t xml:space="preserve"> spend approximately</w:t>
      </w:r>
      <w:r w:rsidR="00765762" w:rsidRPr="00EF3561">
        <w:rPr>
          <w:rFonts w:cs="Simplified Arabic"/>
        </w:rPr>
        <w:t xml:space="preserve"> two hours and 14 minutes in the care of children against 48 minutes  for males. Also </w:t>
      </w:r>
      <w:r w:rsidR="00415948" w:rsidRPr="00EF3561">
        <w:rPr>
          <w:rFonts w:cs="Simplified Arabic"/>
        </w:rPr>
        <w:t>female</w:t>
      </w:r>
      <w:r w:rsidR="00115253" w:rsidRPr="00EF3561">
        <w:rPr>
          <w:rFonts w:cs="Simplified Arabic"/>
        </w:rPr>
        <w:t>s</w:t>
      </w:r>
      <w:r w:rsidR="00765762" w:rsidRPr="00EF3561">
        <w:rPr>
          <w:rFonts w:cs="Simplified Arabic"/>
        </w:rPr>
        <w:t xml:space="preserve"> spend 3 hours and 51 minutes in </w:t>
      </w:r>
      <w:r w:rsidR="00B71B79" w:rsidRPr="00EF3561">
        <w:rPr>
          <w:rFonts w:cs="Simplified Arabic"/>
        </w:rPr>
        <w:t xml:space="preserve">domestic </w:t>
      </w:r>
      <w:r w:rsidR="00987C88" w:rsidRPr="00EF3561">
        <w:rPr>
          <w:rFonts w:cs="Simplified Arabic"/>
        </w:rPr>
        <w:t>h</w:t>
      </w:r>
      <w:r w:rsidR="00B71B79" w:rsidRPr="00EF3561">
        <w:rPr>
          <w:rFonts w:cs="Simplified Arabic"/>
        </w:rPr>
        <w:t xml:space="preserve">ouseholds </w:t>
      </w:r>
      <w:r w:rsidR="00765762" w:rsidRPr="00EF3561">
        <w:rPr>
          <w:rFonts w:cs="Simplified Arabic"/>
        </w:rPr>
        <w:t>against one hour for males and about two hours watching television against one hour and 50 minutes for males during  2012/2013,</w:t>
      </w:r>
    </w:p>
    <w:p w:rsidR="00D67F2A" w:rsidRPr="00EF3561" w:rsidRDefault="00D67F2A" w:rsidP="00D67F2A">
      <w:pPr>
        <w:bidi w:val="0"/>
      </w:pPr>
    </w:p>
    <w:p w:rsidR="00747B71" w:rsidRPr="009819D0" w:rsidRDefault="00747B71" w:rsidP="0034025E">
      <w:pPr>
        <w:bidi w:val="0"/>
        <w:jc w:val="lowKashida"/>
        <w:rPr>
          <w:b/>
          <w:bCs/>
        </w:rPr>
      </w:pPr>
      <w:r w:rsidRPr="009819D0">
        <w:rPr>
          <w:b/>
          <w:bCs/>
        </w:rPr>
        <w:t xml:space="preserve">More than half of </w:t>
      </w:r>
      <w:r w:rsidR="0034025E" w:rsidRPr="009819D0">
        <w:rPr>
          <w:b/>
          <w:bCs/>
        </w:rPr>
        <w:t>women’s</w:t>
      </w:r>
      <w:r w:rsidRPr="009819D0">
        <w:rPr>
          <w:b/>
          <w:bCs/>
        </w:rPr>
        <w:t xml:space="preserve"> aged 15 years and above are married</w:t>
      </w:r>
    </w:p>
    <w:p w:rsidR="00747B71" w:rsidRPr="00EF3561" w:rsidRDefault="00A97F09" w:rsidP="000524E2">
      <w:pPr>
        <w:bidi w:val="0"/>
        <w:jc w:val="both"/>
        <w:textAlignment w:val="top"/>
        <w:rPr>
          <w:rFonts w:cs="Simplified Arabic"/>
        </w:rPr>
      </w:pPr>
      <w:r w:rsidRPr="00EF3561">
        <w:rPr>
          <w:rFonts w:cs="Simplified Arabic"/>
        </w:rPr>
        <w:t xml:space="preserve">56.9 percent of </w:t>
      </w:r>
      <w:r w:rsidR="00415948" w:rsidRPr="00EF3561">
        <w:rPr>
          <w:rFonts w:cs="Simplified Arabic"/>
        </w:rPr>
        <w:t>female</w:t>
      </w:r>
      <w:r w:rsidR="00115253" w:rsidRPr="00EF3561">
        <w:rPr>
          <w:rFonts w:cs="Simplified Arabic"/>
        </w:rPr>
        <w:t>s</w:t>
      </w:r>
      <w:r w:rsidRPr="00EF3561">
        <w:rPr>
          <w:rFonts w:cs="Simplified Arabic"/>
        </w:rPr>
        <w:t xml:space="preserve"> aged 15 years were married, 33.2 percent had never been married</w:t>
      </w:r>
      <w:r w:rsidR="00BC3AAA" w:rsidRPr="00EF3561">
        <w:rPr>
          <w:rFonts w:cs="Simplified Arabic"/>
        </w:rPr>
        <w:t>.</w:t>
      </w:r>
      <w:r w:rsidR="006B0E0D" w:rsidRPr="00EF3561">
        <w:rPr>
          <w:rFonts w:cs="Simplified Arabic"/>
        </w:rPr>
        <w:t xml:space="preserve"> </w:t>
      </w:r>
      <w:r w:rsidR="00747B71" w:rsidRPr="00EF3561">
        <w:rPr>
          <w:rFonts w:cs="Simplified Arabic"/>
        </w:rPr>
        <w:t xml:space="preserve"> </w:t>
      </w:r>
      <w:r w:rsidR="00714557" w:rsidRPr="00EF3561">
        <w:rPr>
          <w:rFonts w:cs="Simplified Arabic"/>
        </w:rPr>
        <w:t xml:space="preserve">In addition, </w:t>
      </w:r>
      <w:r w:rsidR="003B2110" w:rsidRPr="00EF3561">
        <w:rPr>
          <w:rFonts w:cs="Simplified Arabic"/>
        </w:rPr>
        <w:t>5</w:t>
      </w:r>
      <w:r w:rsidR="00747B71" w:rsidRPr="00EF3561">
        <w:rPr>
          <w:rFonts w:cs="Simplified Arabic"/>
        </w:rPr>
        <w:t>.</w:t>
      </w:r>
      <w:r w:rsidR="003B2110" w:rsidRPr="00EF3561">
        <w:rPr>
          <w:rFonts w:cs="Simplified Arabic"/>
        </w:rPr>
        <w:t>8</w:t>
      </w:r>
      <w:r w:rsidR="00A47C9A" w:rsidRPr="00EF3561">
        <w:rPr>
          <w:rFonts w:cs="Simplified Arabic"/>
        </w:rPr>
        <w:t xml:space="preserve"> percent</w:t>
      </w:r>
      <w:r w:rsidR="00747B71" w:rsidRPr="00EF3561">
        <w:rPr>
          <w:rFonts w:cs="Simplified Arabic"/>
        </w:rPr>
        <w:t xml:space="preserve"> </w:t>
      </w:r>
      <w:r w:rsidR="00605D07" w:rsidRPr="00EF3561">
        <w:rPr>
          <w:rFonts w:cs="Simplified Arabic"/>
        </w:rPr>
        <w:t xml:space="preserve">were </w:t>
      </w:r>
      <w:r w:rsidR="00747B71" w:rsidRPr="00EF3561">
        <w:rPr>
          <w:rFonts w:cs="Simplified Arabic"/>
        </w:rPr>
        <w:t>widowed, 1.</w:t>
      </w:r>
      <w:r w:rsidR="00653A09" w:rsidRPr="00EF3561">
        <w:rPr>
          <w:rFonts w:cs="Simplified Arabic"/>
        </w:rPr>
        <w:t>6</w:t>
      </w:r>
      <w:r w:rsidR="00A47C9A" w:rsidRPr="00EF3561">
        <w:rPr>
          <w:rFonts w:cs="Simplified Arabic"/>
        </w:rPr>
        <w:t xml:space="preserve"> percent</w:t>
      </w:r>
      <w:r w:rsidR="00747B71" w:rsidRPr="00EF3561">
        <w:rPr>
          <w:rFonts w:cs="Simplified Arabic"/>
        </w:rPr>
        <w:t xml:space="preserve"> divorced</w:t>
      </w:r>
      <w:r w:rsidR="00714557" w:rsidRPr="00EF3561">
        <w:rPr>
          <w:rFonts w:cs="Simplified Arabic"/>
        </w:rPr>
        <w:t>,</w:t>
      </w:r>
      <w:r w:rsidR="00747B71" w:rsidRPr="00EF3561">
        <w:rPr>
          <w:rFonts w:cs="Simplified Arabic"/>
        </w:rPr>
        <w:t xml:space="preserve"> </w:t>
      </w:r>
      <w:r w:rsidR="003B2110" w:rsidRPr="00EF3561">
        <w:rPr>
          <w:rFonts w:cs="Simplified Arabic"/>
        </w:rPr>
        <w:t>2</w:t>
      </w:r>
      <w:r w:rsidR="00747B71" w:rsidRPr="00EF3561">
        <w:rPr>
          <w:rFonts w:cs="Simplified Arabic"/>
        </w:rPr>
        <w:t>.</w:t>
      </w:r>
      <w:r w:rsidR="003B2110" w:rsidRPr="00EF3561">
        <w:rPr>
          <w:rFonts w:cs="Simplified Arabic"/>
        </w:rPr>
        <w:t>2</w:t>
      </w:r>
      <w:r w:rsidR="00A47C9A" w:rsidRPr="00EF3561">
        <w:rPr>
          <w:rFonts w:cs="Simplified Arabic"/>
        </w:rPr>
        <w:t xml:space="preserve"> percent</w:t>
      </w:r>
      <w:r w:rsidR="00747B71" w:rsidRPr="00EF3561">
        <w:rPr>
          <w:rFonts w:cs="Simplified Arabic"/>
        </w:rPr>
        <w:t xml:space="preserve"> engaged for the first time</w:t>
      </w:r>
      <w:r w:rsidR="00140CE1" w:rsidRPr="00EF3561">
        <w:rPr>
          <w:rFonts w:cs="Simplified Arabic"/>
        </w:rPr>
        <w:t>,</w:t>
      </w:r>
      <w:r w:rsidR="00747B71" w:rsidRPr="00EF3561">
        <w:rPr>
          <w:rFonts w:cs="Simplified Arabic"/>
        </w:rPr>
        <w:t xml:space="preserve"> and 0.</w:t>
      </w:r>
      <w:r w:rsidR="00653A09" w:rsidRPr="00EF3561">
        <w:rPr>
          <w:rFonts w:cs="Simplified Arabic"/>
        </w:rPr>
        <w:t>3</w:t>
      </w:r>
      <w:r w:rsidR="00A47C9A" w:rsidRPr="00EF3561">
        <w:rPr>
          <w:rFonts w:cs="Simplified Arabic"/>
        </w:rPr>
        <w:t xml:space="preserve"> percent</w:t>
      </w:r>
      <w:r w:rsidR="00747B71" w:rsidRPr="00EF3561">
        <w:rPr>
          <w:rFonts w:cs="Simplified Arabic"/>
        </w:rPr>
        <w:t xml:space="preserve"> </w:t>
      </w:r>
      <w:r w:rsidR="00605D07" w:rsidRPr="00EF3561">
        <w:rPr>
          <w:rFonts w:cs="Simplified Arabic"/>
        </w:rPr>
        <w:t xml:space="preserve">were </w:t>
      </w:r>
      <w:r w:rsidR="00747B71" w:rsidRPr="00EF3561">
        <w:rPr>
          <w:rFonts w:cs="Simplified Arabic"/>
        </w:rPr>
        <w:t>separated.</w:t>
      </w:r>
    </w:p>
    <w:p w:rsidR="00553C48" w:rsidRPr="00EF3561" w:rsidRDefault="00553C48" w:rsidP="004628A0">
      <w:pPr>
        <w:bidi w:val="0"/>
        <w:jc w:val="lowKashida"/>
        <w:textAlignment w:val="top"/>
        <w:rPr>
          <w:rFonts w:cs="Simplified Arabic"/>
        </w:rPr>
      </w:pPr>
    </w:p>
    <w:p w:rsidR="00747B71" w:rsidRPr="00EF3561" w:rsidRDefault="0067579A" w:rsidP="00E7171C">
      <w:pPr>
        <w:bidi w:val="0"/>
        <w:jc w:val="lowKashida"/>
        <w:rPr>
          <w:rFonts w:cs="Simplified Arabic"/>
          <w:b/>
          <w:bCs/>
          <w:sz w:val="26"/>
          <w:szCs w:val="26"/>
        </w:rPr>
      </w:pPr>
      <w:r w:rsidRPr="00EF3561">
        <w:rPr>
          <w:rFonts w:cs="Simplified Arabic"/>
          <w:b/>
          <w:bCs/>
          <w:sz w:val="26"/>
          <w:szCs w:val="26"/>
        </w:rPr>
        <w:t xml:space="preserve">A continued rise in </w:t>
      </w:r>
      <w:r w:rsidR="00747B71" w:rsidRPr="00EF3561">
        <w:rPr>
          <w:rFonts w:cs="Simplified Arabic"/>
          <w:b/>
          <w:bCs/>
          <w:sz w:val="26"/>
          <w:szCs w:val="26"/>
        </w:rPr>
        <w:t xml:space="preserve">literacy among </w:t>
      </w:r>
      <w:r w:rsidR="0034025E" w:rsidRPr="00EF3561">
        <w:rPr>
          <w:rFonts w:cs="Simplified Arabic"/>
          <w:b/>
          <w:bCs/>
          <w:sz w:val="26"/>
          <w:szCs w:val="26"/>
        </w:rPr>
        <w:t>women’s</w:t>
      </w:r>
    </w:p>
    <w:p w:rsidR="00747B71" w:rsidRPr="00EF3561" w:rsidRDefault="0067579A" w:rsidP="00AF212D">
      <w:pPr>
        <w:bidi w:val="0"/>
        <w:jc w:val="lowKashida"/>
        <w:textAlignment w:val="top"/>
        <w:rPr>
          <w:rFonts w:cs="Simplified Arabic"/>
        </w:rPr>
      </w:pPr>
      <w:r w:rsidRPr="00EF3561">
        <w:rPr>
          <w:rFonts w:cs="Simplified Arabic"/>
        </w:rPr>
        <w:t>Despite</w:t>
      </w:r>
      <w:r w:rsidR="00987C88" w:rsidRPr="00EF3561">
        <w:rPr>
          <w:rFonts w:cs="Simplified Arabic"/>
        </w:rPr>
        <w:t xml:space="preserve"> the progress in</w:t>
      </w:r>
      <w:r w:rsidRPr="00EF3561">
        <w:rPr>
          <w:rFonts w:cs="Simplified Arabic"/>
        </w:rPr>
        <w:t xml:space="preserve"> l</w:t>
      </w:r>
      <w:r w:rsidR="001F34C1" w:rsidRPr="00EF3561">
        <w:rPr>
          <w:rFonts w:cs="Simplified Arabic"/>
        </w:rPr>
        <w:t>iteracy</w:t>
      </w:r>
      <w:r w:rsidR="00747B71" w:rsidRPr="00EF3561">
        <w:rPr>
          <w:rFonts w:cs="Simplified Arabic"/>
        </w:rPr>
        <w:t xml:space="preserve"> among females </w:t>
      </w:r>
      <w:r w:rsidR="00A67FB9" w:rsidRPr="00EF3561">
        <w:rPr>
          <w:rFonts w:cs="Simplified Arabic"/>
        </w:rPr>
        <w:t xml:space="preserve">over the </w:t>
      </w:r>
      <w:r w:rsidRPr="00EF3561">
        <w:rPr>
          <w:rFonts w:cs="Simplified Arabic"/>
        </w:rPr>
        <w:t xml:space="preserve">last decade by 10 percent, the gap is still in favor of males by 4 percent. </w:t>
      </w:r>
    </w:p>
    <w:p w:rsidR="00553C48" w:rsidRPr="00EF3561" w:rsidRDefault="00553C48" w:rsidP="00553C48">
      <w:pPr>
        <w:bidi w:val="0"/>
        <w:rPr>
          <w:rFonts w:cs="Simplified Arabic"/>
        </w:rPr>
      </w:pPr>
    </w:p>
    <w:p w:rsidR="00747B71" w:rsidRPr="009819D0" w:rsidRDefault="00747B71" w:rsidP="00170CA3">
      <w:pPr>
        <w:bidi w:val="0"/>
        <w:jc w:val="center"/>
        <w:rPr>
          <w:rFonts w:cs="Simplified Arabic"/>
          <w:b/>
          <w:bCs/>
          <w:rtl/>
        </w:rPr>
      </w:pPr>
      <w:r w:rsidRPr="009819D0">
        <w:rPr>
          <w:rFonts w:cs="Simplified Arabic"/>
          <w:b/>
          <w:bCs/>
        </w:rPr>
        <w:t>Literacy rate</w:t>
      </w:r>
      <w:r w:rsidR="004D1536" w:rsidRPr="009819D0">
        <w:rPr>
          <w:rFonts w:cs="Simplified Arabic"/>
          <w:b/>
          <w:bCs/>
        </w:rPr>
        <w:t>s</w:t>
      </w:r>
      <w:r w:rsidRPr="009819D0">
        <w:rPr>
          <w:rFonts w:cs="Simplified Arabic"/>
          <w:b/>
          <w:bCs/>
        </w:rPr>
        <w:t xml:space="preserve"> </w:t>
      </w:r>
      <w:r w:rsidR="004D1536" w:rsidRPr="009819D0">
        <w:rPr>
          <w:rFonts w:cs="Simplified Arabic"/>
          <w:b/>
          <w:bCs/>
        </w:rPr>
        <w:t xml:space="preserve">for </w:t>
      </w:r>
      <w:r w:rsidR="00415948" w:rsidRPr="009819D0">
        <w:rPr>
          <w:rFonts w:cs="Simplified Arabic"/>
          <w:b/>
          <w:bCs/>
        </w:rPr>
        <w:t>m</w:t>
      </w:r>
      <w:r w:rsidR="00170CA3" w:rsidRPr="009819D0">
        <w:rPr>
          <w:rFonts w:cs="Simplified Arabic"/>
          <w:b/>
          <w:bCs/>
        </w:rPr>
        <w:t>en</w:t>
      </w:r>
      <w:r w:rsidRPr="009819D0">
        <w:rPr>
          <w:rFonts w:cs="Simplified Arabic"/>
          <w:b/>
          <w:bCs/>
        </w:rPr>
        <w:t xml:space="preserve"> and </w:t>
      </w:r>
      <w:r w:rsidR="00170CA3" w:rsidRPr="009819D0">
        <w:rPr>
          <w:rFonts w:cs="Simplified Arabic"/>
          <w:b/>
          <w:bCs/>
        </w:rPr>
        <w:t>women</w:t>
      </w:r>
      <w:r w:rsidRPr="009819D0">
        <w:rPr>
          <w:rFonts w:cs="Simplified Arabic"/>
          <w:b/>
          <w:bCs/>
        </w:rPr>
        <w:t xml:space="preserve"> aged 15 years and above during 2001-201</w:t>
      </w:r>
      <w:r w:rsidR="00A07251" w:rsidRPr="009819D0">
        <w:rPr>
          <w:rFonts w:cs="Simplified Arabic"/>
          <w:b/>
          <w:bCs/>
          <w:rtl/>
        </w:rPr>
        <w:t>3</w:t>
      </w:r>
    </w:p>
    <w:p w:rsidR="00C324B7" w:rsidRPr="00F6465B" w:rsidRDefault="00E12113" w:rsidP="00CE0417">
      <w:pPr>
        <w:bidi w:val="0"/>
        <w:jc w:val="center"/>
        <w:rPr>
          <w:b/>
          <w:bCs/>
          <w:sz w:val="22"/>
          <w:szCs w:val="22"/>
        </w:rPr>
      </w:pPr>
      <w:r w:rsidRPr="00F6465B">
        <w:rPr>
          <w:rFonts w:hint="cs"/>
          <w:b/>
          <w:bCs/>
          <w:noProof/>
          <w:sz w:val="22"/>
          <w:szCs w:val="22"/>
          <w:lang w:eastAsia="en-US"/>
        </w:rPr>
        <w:drawing>
          <wp:inline distT="0" distB="0" distL="0" distR="0">
            <wp:extent cx="2691993" cy="1594714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2113" w:rsidRPr="00F6465B" w:rsidRDefault="00E12113" w:rsidP="001F0B2B">
      <w:pPr>
        <w:bidi w:val="0"/>
        <w:rPr>
          <w:b/>
          <w:bCs/>
          <w:sz w:val="20"/>
          <w:szCs w:val="20"/>
          <w:rtl/>
        </w:rPr>
      </w:pPr>
    </w:p>
    <w:p w:rsidR="001E6AC7" w:rsidRDefault="001E6AC7" w:rsidP="001E6AC7">
      <w:pPr>
        <w:bidi w:val="0"/>
        <w:rPr>
          <w:rFonts w:cs="Simplified Arabic"/>
          <w:b/>
          <w:bCs/>
          <w:sz w:val="20"/>
          <w:szCs w:val="20"/>
          <w:rtl/>
        </w:rPr>
      </w:pPr>
    </w:p>
    <w:p w:rsidR="00005FA2" w:rsidRDefault="00005FA2" w:rsidP="00005FA2">
      <w:pPr>
        <w:bidi w:val="0"/>
        <w:rPr>
          <w:rFonts w:cs="Simplified Arabic"/>
          <w:b/>
          <w:bCs/>
          <w:sz w:val="20"/>
          <w:szCs w:val="20"/>
          <w:rtl/>
        </w:rPr>
      </w:pPr>
    </w:p>
    <w:p w:rsidR="00005FA2" w:rsidRDefault="00005FA2" w:rsidP="00005FA2">
      <w:pPr>
        <w:bidi w:val="0"/>
        <w:rPr>
          <w:rFonts w:cs="Simplified Arabic"/>
          <w:b/>
          <w:bCs/>
          <w:sz w:val="20"/>
          <w:szCs w:val="20"/>
          <w:rtl/>
        </w:rPr>
      </w:pPr>
    </w:p>
    <w:p w:rsidR="00005FA2" w:rsidRDefault="00005FA2" w:rsidP="00005FA2">
      <w:pPr>
        <w:bidi w:val="0"/>
        <w:rPr>
          <w:rFonts w:cs="Simplified Arabic"/>
          <w:b/>
          <w:bCs/>
          <w:sz w:val="20"/>
          <w:szCs w:val="20"/>
          <w:rtl/>
        </w:rPr>
      </w:pPr>
    </w:p>
    <w:p w:rsidR="00005FA2" w:rsidRDefault="00005FA2" w:rsidP="00005FA2">
      <w:pPr>
        <w:bidi w:val="0"/>
        <w:rPr>
          <w:rFonts w:cs="Simplified Arabic"/>
          <w:b/>
          <w:bCs/>
          <w:sz w:val="20"/>
          <w:szCs w:val="20"/>
          <w:rtl/>
        </w:rPr>
      </w:pPr>
    </w:p>
    <w:p w:rsidR="00005FA2" w:rsidRDefault="00005FA2" w:rsidP="00005FA2">
      <w:pPr>
        <w:bidi w:val="0"/>
        <w:rPr>
          <w:rFonts w:cs="Simplified Arabic"/>
          <w:b/>
          <w:bCs/>
          <w:sz w:val="20"/>
          <w:szCs w:val="20"/>
          <w:rtl/>
        </w:rPr>
      </w:pPr>
    </w:p>
    <w:p w:rsidR="00005FA2" w:rsidRDefault="00005FA2" w:rsidP="00005FA2">
      <w:pPr>
        <w:bidi w:val="0"/>
        <w:rPr>
          <w:rFonts w:cs="Simplified Arabic"/>
          <w:b/>
          <w:bCs/>
          <w:sz w:val="20"/>
          <w:szCs w:val="20"/>
          <w:rtl/>
        </w:rPr>
      </w:pPr>
    </w:p>
    <w:p w:rsidR="00005FA2" w:rsidRDefault="00005FA2" w:rsidP="00005FA2">
      <w:pPr>
        <w:bidi w:val="0"/>
        <w:rPr>
          <w:rFonts w:cs="Simplified Arabic"/>
          <w:b/>
          <w:bCs/>
          <w:sz w:val="20"/>
          <w:szCs w:val="20"/>
        </w:rPr>
      </w:pPr>
    </w:p>
    <w:p w:rsidR="00AF4ABF" w:rsidRDefault="00AF4ABF" w:rsidP="00AF4ABF">
      <w:pPr>
        <w:bidi w:val="0"/>
        <w:rPr>
          <w:rFonts w:cs="Simplified Arabic"/>
          <w:b/>
          <w:bCs/>
          <w:sz w:val="20"/>
          <w:szCs w:val="20"/>
        </w:rPr>
      </w:pPr>
    </w:p>
    <w:p w:rsidR="00747B71" w:rsidRPr="009819D0" w:rsidRDefault="00A9224B" w:rsidP="00E46B01">
      <w:pPr>
        <w:bidi w:val="0"/>
        <w:rPr>
          <w:rFonts w:cs="Simplified Arabic"/>
          <w:b/>
          <w:bCs/>
        </w:rPr>
      </w:pPr>
      <w:r w:rsidRPr="009819D0">
        <w:rPr>
          <w:rFonts w:cs="Simplified Arabic"/>
          <w:b/>
          <w:bCs/>
        </w:rPr>
        <w:t xml:space="preserve">A gap in  average daily wages among </w:t>
      </w:r>
      <w:r w:rsidR="00E46B01" w:rsidRPr="009819D0">
        <w:rPr>
          <w:rFonts w:cs="Simplified Arabic"/>
          <w:b/>
          <w:bCs/>
        </w:rPr>
        <w:t>men</w:t>
      </w:r>
      <w:r w:rsidRPr="009819D0">
        <w:rPr>
          <w:rFonts w:cs="Simplified Arabic"/>
          <w:b/>
          <w:bCs/>
        </w:rPr>
        <w:t xml:space="preserve"> and </w:t>
      </w:r>
      <w:r w:rsidR="00E46B01" w:rsidRPr="009819D0">
        <w:rPr>
          <w:rFonts w:cs="Simplified Arabic"/>
          <w:b/>
          <w:bCs/>
        </w:rPr>
        <w:t>women</w:t>
      </w:r>
    </w:p>
    <w:p w:rsidR="001F0B2B" w:rsidRPr="009819D0" w:rsidRDefault="00A9224B" w:rsidP="007B12CA">
      <w:pPr>
        <w:bidi w:val="0"/>
        <w:jc w:val="lowKashida"/>
        <w:textAlignment w:val="top"/>
        <w:rPr>
          <w:rFonts w:cs="Simplified Arabic"/>
        </w:rPr>
      </w:pPr>
      <w:r w:rsidRPr="009819D0">
        <w:rPr>
          <w:rFonts w:cs="Simplified Arabic"/>
        </w:rPr>
        <w:t>T</w:t>
      </w:r>
      <w:r w:rsidR="00747B71" w:rsidRPr="009819D0">
        <w:rPr>
          <w:rFonts w:cs="Simplified Arabic"/>
        </w:rPr>
        <w:t>he</w:t>
      </w:r>
      <w:r w:rsidR="00B539BF" w:rsidRPr="009819D0">
        <w:rPr>
          <w:rFonts w:cs="Simplified Arabic"/>
        </w:rPr>
        <w:t xml:space="preserve"> female participation rate </w:t>
      </w:r>
      <w:r w:rsidRPr="009819D0">
        <w:rPr>
          <w:rFonts w:cs="Simplified Arabic"/>
        </w:rPr>
        <w:t>in labor force reached</w:t>
      </w:r>
      <w:r w:rsidR="00747B71" w:rsidRPr="009819D0">
        <w:rPr>
          <w:rFonts w:cs="Simplified Arabic"/>
        </w:rPr>
        <w:t xml:space="preserve"> 1</w:t>
      </w:r>
      <w:r w:rsidR="002F1632" w:rsidRPr="009819D0">
        <w:rPr>
          <w:rFonts w:cs="Simplified Arabic"/>
        </w:rPr>
        <w:t>7</w:t>
      </w:r>
      <w:r w:rsidR="00747B71" w:rsidRPr="009819D0">
        <w:rPr>
          <w:rFonts w:cs="Simplified Arabic"/>
        </w:rPr>
        <w:t>.</w:t>
      </w:r>
      <w:r w:rsidR="007B12CA" w:rsidRPr="009819D0">
        <w:rPr>
          <w:rFonts w:cs="Simplified Arabic"/>
        </w:rPr>
        <w:t>3</w:t>
      </w:r>
      <w:r w:rsidR="00A47C9A" w:rsidRPr="009819D0">
        <w:rPr>
          <w:rFonts w:cs="Simplified Arabic"/>
        </w:rPr>
        <w:t xml:space="preserve"> percent</w:t>
      </w:r>
      <w:r w:rsidRPr="009819D0">
        <w:rPr>
          <w:rFonts w:cs="Simplified Arabic"/>
        </w:rPr>
        <w:t xml:space="preserve"> of females in</w:t>
      </w:r>
      <w:r w:rsidR="00747B71" w:rsidRPr="009819D0">
        <w:rPr>
          <w:rFonts w:cs="Simplified Arabic"/>
        </w:rPr>
        <w:t xml:space="preserve"> labor force in 201</w:t>
      </w:r>
      <w:r w:rsidR="007B12CA" w:rsidRPr="009819D0">
        <w:rPr>
          <w:rFonts w:cs="Simplified Arabic"/>
        </w:rPr>
        <w:t>3</w:t>
      </w:r>
      <w:r w:rsidR="00747B71" w:rsidRPr="009819D0">
        <w:rPr>
          <w:rFonts w:cs="Simplified Arabic"/>
        </w:rPr>
        <w:t xml:space="preserve"> compared to 10.</w:t>
      </w:r>
      <w:r w:rsidR="008A07D1" w:rsidRPr="009819D0">
        <w:rPr>
          <w:rFonts w:cs="Simplified Arabic"/>
        </w:rPr>
        <w:t xml:space="preserve">3 </w:t>
      </w:r>
      <w:r w:rsidR="00A47C9A" w:rsidRPr="009819D0">
        <w:rPr>
          <w:rFonts w:cs="Simplified Arabic"/>
        </w:rPr>
        <w:t>percent</w:t>
      </w:r>
      <w:r w:rsidR="00747B71" w:rsidRPr="009819D0">
        <w:rPr>
          <w:rFonts w:cs="Simplified Arabic"/>
        </w:rPr>
        <w:t xml:space="preserve"> in 2001.  </w:t>
      </w:r>
    </w:p>
    <w:p w:rsidR="001F0B2B" w:rsidRPr="009819D0" w:rsidRDefault="001F0B2B" w:rsidP="001F0B2B">
      <w:pPr>
        <w:bidi w:val="0"/>
        <w:jc w:val="lowKashida"/>
        <w:textAlignment w:val="top"/>
        <w:rPr>
          <w:rFonts w:cs="Simplified Arabic"/>
        </w:rPr>
      </w:pPr>
    </w:p>
    <w:p w:rsidR="00747B71" w:rsidRPr="009819D0" w:rsidRDefault="001124C1" w:rsidP="00B203B5">
      <w:pPr>
        <w:bidi w:val="0"/>
        <w:jc w:val="lowKashida"/>
        <w:textAlignment w:val="top"/>
        <w:rPr>
          <w:rFonts w:cs="Simplified Arabic"/>
        </w:rPr>
      </w:pPr>
      <w:r w:rsidRPr="009819D0">
        <w:rPr>
          <w:rFonts w:cs="Simplified Arabic"/>
        </w:rPr>
        <w:t xml:space="preserve">The male </w:t>
      </w:r>
      <w:r w:rsidR="00140CE1" w:rsidRPr="009819D0">
        <w:rPr>
          <w:rFonts w:cs="Simplified Arabic"/>
        </w:rPr>
        <w:t xml:space="preserve">labor force </w:t>
      </w:r>
      <w:r w:rsidRPr="009819D0">
        <w:rPr>
          <w:rFonts w:cs="Simplified Arabic"/>
        </w:rPr>
        <w:t>p</w:t>
      </w:r>
      <w:r w:rsidR="00747B71" w:rsidRPr="009819D0">
        <w:rPr>
          <w:rFonts w:cs="Simplified Arabic"/>
        </w:rPr>
        <w:t xml:space="preserve">articipation rate </w:t>
      </w:r>
      <w:r w:rsidR="00B203B5" w:rsidRPr="009819D0">
        <w:rPr>
          <w:rFonts w:cs="Simplified Arabic"/>
        </w:rPr>
        <w:t xml:space="preserve">was </w:t>
      </w:r>
      <w:r w:rsidR="00747B71" w:rsidRPr="009819D0">
        <w:rPr>
          <w:rFonts w:cs="Simplified Arabic"/>
        </w:rPr>
        <w:t xml:space="preserve">still </w:t>
      </w:r>
      <w:r w:rsidR="005F35BE" w:rsidRPr="009819D0">
        <w:rPr>
          <w:rFonts w:cs="Simplified Arabic"/>
        </w:rPr>
        <w:t xml:space="preserve">around </w:t>
      </w:r>
      <w:r w:rsidR="00747B71" w:rsidRPr="009819D0">
        <w:rPr>
          <w:rFonts w:cs="Simplified Arabic"/>
        </w:rPr>
        <w:t>four times higher than that of females.</w:t>
      </w:r>
    </w:p>
    <w:p w:rsidR="00747B71" w:rsidRPr="009819D0" w:rsidRDefault="00140CE1" w:rsidP="004F2418">
      <w:pPr>
        <w:bidi w:val="0"/>
        <w:jc w:val="lowKashida"/>
        <w:textAlignment w:val="top"/>
        <w:rPr>
          <w:rFonts w:cs="Simplified Arabic"/>
        </w:rPr>
      </w:pPr>
      <w:r w:rsidRPr="009819D0">
        <w:rPr>
          <w:rFonts w:cs="Simplified Arabic"/>
        </w:rPr>
        <w:t>T</w:t>
      </w:r>
      <w:r w:rsidR="00747B71" w:rsidRPr="009819D0">
        <w:rPr>
          <w:rFonts w:cs="Simplified Arabic"/>
        </w:rPr>
        <w:t xml:space="preserve">here </w:t>
      </w:r>
      <w:r w:rsidR="00911842" w:rsidRPr="009819D0">
        <w:rPr>
          <w:rFonts w:cs="Simplified Arabic"/>
        </w:rPr>
        <w:t xml:space="preserve">was </w:t>
      </w:r>
      <w:r w:rsidR="00747B71" w:rsidRPr="009819D0">
        <w:rPr>
          <w:rFonts w:cs="Simplified Arabic"/>
        </w:rPr>
        <w:t xml:space="preserve">a gap in the average daily wages </w:t>
      </w:r>
      <w:r w:rsidRPr="009819D0">
        <w:rPr>
          <w:rFonts w:cs="Simplified Arabic"/>
        </w:rPr>
        <w:t>of</w:t>
      </w:r>
      <w:r w:rsidR="00747B71" w:rsidRPr="009819D0">
        <w:rPr>
          <w:rFonts w:cs="Simplified Arabic"/>
        </w:rPr>
        <w:t xml:space="preserve"> </w:t>
      </w:r>
      <w:r w:rsidR="00415948" w:rsidRPr="009819D0">
        <w:rPr>
          <w:rFonts w:cs="Simplified Arabic"/>
        </w:rPr>
        <w:t>male</w:t>
      </w:r>
      <w:r w:rsidR="00115253" w:rsidRPr="009819D0">
        <w:rPr>
          <w:rFonts w:cs="Simplified Arabic"/>
        </w:rPr>
        <w:t>s</w:t>
      </w:r>
      <w:r w:rsidR="00747B71" w:rsidRPr="009819D0">
        <w:rPr>
          <w:rFonts w:cs="Simplified Arabic"/>
        </w:rPr>
        <w:t xml:space="preserve"> and </w:t>
      </w:r>
      <w:r w:rsidR="00415948" w:rsidRPr="009819D0">
        <w:rPr>
          <w:rFonts w:cs="Simplified Arabic"/>
        </w:rPr>
        <w:t>female</w:t>
      </w:r>
      <w:r w:rsidR="00115253" w:rsidRPr="009819D0">
        <w:rPr>
          <w:rFonts w:cs="Simplified Arabic"/>
        </w:rPr>
        <w:t>s</w:t>
      </w:r>
      <w:r w:rsidRPr="009819D0">
        <w:rPr>
          <w:rFonts w:cs="Simplified Arabic"/>
        </w:rPr>
        <w:t>:</w:t>
      </w:r>
      <w:r w:rsidR="00747B71" w:rsidRPr="009819D0">
        <w:rPr>
          <w:rFonts w:cs="Simplified Arabic"/>
        </w:rPr>
        <w:t xml:space="preserve"> the average daily wage for </w:t>
      </w:r>
      <w:r w:rsidR="00415948" w:rsidRPr="009819D0">
        <w:rPr>
          <w:rFonts w:cs="Simplified Arabic"/>
        </w:rPr>
        <w:t>female</w:t>
      </w:r>
      <w:r w:rsidR="00115253" w:rsidRPr="009819D0">
        <w:rPr>
          <w:rFonts w:cs="Simplified Arabic"/>
        </w:rPr>
        <w:t>s</w:t>
      </w:r>
      <w:r w:rsidR="00747B71" w:rsidRPr="009819D0">
        <w:rPr>
          <w:rFonts w:cs="Simplified Arabic"/>
        </w:rPr>
        <w:t xml:space="preserve"> represent</w:t>
      </w:r>
      <w:r w:rsidRPr="009819D0">
        <w:rPr>
          <w:rFonts w:cs="Simplified Arabic"/>
        </w:rPr>
        <w:t>ed</w:t>
      </w:r>
      <w:r w:rsidR="00747B71" w:rsidRPr="009819D0">
        <w:rPr>
          <w:rFonts w:cs="Simplified Arabic"/>
        </w:rPr>
        <w:t xml:space="preserve"> </w:t>
      </w:r>
      <w:r w:rsidR="004F2418" w:rsidRPr="009819D0">
        <w:rPr>
          <w:rFonts w:cs="Simplified Arabic"/>
        </w:rPr>
        <w:t xml:space="preserve">NIS </w:t>
      </w:r>
      <w:r w:rsidR="002F1632" w:rsidRPr="009819D0">
        <w:rPr>
          <w:rFonts w:cs="Simplified Arabic"/>
        </w:rPr>
        <w:t>8</w:t>
      </w:r>
      <w:r w:rsidR="007B12CA" w:rsidRPr="009819D0">
        <w:rPr>
          <w:rFonts w:cs="Simplified Arabic"/>
        </w:rPr>
        <w:t>1</w:t>
      </w:r>
      <w:r w:rsidR="002F1632" w:rsidRPr="009819D0">
        <w:rPr>
          <w:rFonts w:cs="Simplified Arabic"/>
        </w:rPr>
        <w:t>.</w:t>
      </w:r>
      <w:r w:rsidR="0092694B" w:rsidRPr="009819D0">
        <w:rPr>
          <w:rFonts w:cs="Simplified Arabic"/>
        </w:rPr>
        <w:t>2</w:t>
      </w:r>
      <w:r w:rsidR="00A47C9A" w:rsidRPr="009819D0">
        <w:rPr>
          <w:rFonts w:cs="Simplified Arabic"/>
        </w:rPr>
        <w:t xml:space="preserve"> </w:t>
      </w:r>
      <w:r w:rsidR="0092694B" w:rsidRPr="009819D0">
        <w:rPr>
          <w:rFonts w:cs="Simplified Arabic"/>
        </w:rPr>
        <w:t xml:space="preserve">compared to NIS </w:t>
      </w:r>
      <w:r w:rsidR="00866C47" w:rsidRPr="009819D0">
        <w:rPr>
          <w:rFonts w:cs="Simplified Arabic"/>
        </w:rPr>
        <w:t>100</w:t>
      </w:r>
      <w:r w:rsidR="0092694B" w:rsidRPr="009819D0">
        <w:rPr>
          <w:rFonts w:cs="Simplified Arabic"/>
        </w:rPr>
        <w:t xml:space="preserve">.1 </w:t>
      </w:r>
      <w:r w:rsidR="004F2418" w:rsidRPr="009819D0">
        <w:rPr>
          <w:rFonts w:cs="Simplified Arabic"/>
        </w:rPr>
        <w:t xml:space="preserve"> for </w:t>
      </w:r>
      <w:r w:rsidR="00415948" w:rsidRPr="009819D0">
        <w:rPr>
          <w:rFonts w:cs="Simplified Arabic"/>
        </w:rPr>
        <w:t>male</w:t>
      </w:r>
      <w:r w:rsidR="00115253" w:rsidRPr="009819D0">
        <w:rPr>
          <w:rFonts w:cs="Simplified Arabic"/>
        </w:rPr>
        <w:t>s</w:t>
      </w:r>
      <w:r w:rsidR="00747B71" w:rsidRPr="009819D0">
        <w:rPr>
          <w:rFonts w:cs="Simplified Arabic"/>
        </w:rPr>
        <w:t xml:space="preserve"> in 201</w:t>
      </w:r>
      <w:r w:rsidR="007B12CA" w:rsidRPr="009819D0">
        <w:rPr>
          <w:rFonts w:cs="Simplified Arabic"/>
        </w:rPr>
        <w:t>3</w:t>
      </w:r>
      <w:r w:rsidR="00747B71" w:rsidRPr="009819D0">
        <w:rPr>
          <w:rFonts w:cs="Simplified Arabic"/>
        </w:rPr>
        <w:t>.</w:t>
      </w:r>
    </w:p>
    <w:p w:rsidR="00553C48" w:rsidRPr="009819D0" w:rsidRDefault="00553C48" w:rsidP="00553C48">
      <w:pPr>
        <w:bidi w:val="0"/>
        <w:jc w:val="center"/>
      </w:pPr>
    </w:p>
    <w:p w:rsidR="00747B71" w:rsidRPr="009819D0" w:rsidRDefault="00140CE1" w:rsidP="00170CA3">
      <w:pPr>
        <w:bidi w:val="0"/>
        <w:jc w:val="center"/>
        <w:rPr>
          <w:b/>
          <w:bCs/>
        </w:rPr>
      </w:pPr>
      <w:r w:rsidRPr="009819D0">
        <w:rPr>
          <w:b/>
          <w:bCs/>
        </w:rPr>
        <w:t>M</w:t>
      </w:r>
      <w:r w:rsidR="00170CA3" w:rsidRPr="009819D0">
        <w:rPr>
          <w:b/>
          <w:bCs/>
        </w:rPr>
        <w:t>en</w:t>
      </w:r>
      <w:r w:rsidRPr="009819D0">
        <w:rPr>
          <w:b/>
          <w:bCs/>
        </w:rPr>
        <w:t xml:space="preserve"> and </w:t>
      </w:r>
      <w:r w:rsidR="00170CA3" w:rsidRPr="009819D0">
        <w:rPr>
          <w:b/>
          <w:bCs/>
        </w:rPr>
        <w:t>women</w:t>
      </w:r>
      <w:r w:rsidRPr="009819D0">
        <w:rPr>
          <w:b/>
          <w:bCs/>
        </w:rPr>
        <w:t xml:space="preserve"> labor force p</w:t>
      </w:r>
      <w:r w:rsidR="00747B71" w:rsidRPr="009819D0">
        <w:rPr>
          <w:b/>
          <w:bCs/>
        </w:rPr>
        <w:t xml:space="preserve">articipation </w:t>
      </w:r>
      <w:r w:rsidRPr="009819D0">
        <w:rPr>
          <w:b/>
          <w:bCs/>
        </w:rPr>
        <w:t>aged</w:t>
      </w:r>
      <w:r w:rsidR="00747B71" w:rsidRPr="009819D0">
        <w:rPr>
          <w:b/>
          <w:bCs/>
        </w:rPr>
        <w:t xml:space="preserve"> 15 years and above during 2001-201</w:t>
      </w:r>
      <w:r w:rsidR="00A42663" w:rsidRPr="009819D0">
        <w:rPr>
          <w:b/>
          <w:bCs/>
        </w:rPr>
        <w:t>3</w:t>
      </w:r>
    </w:p>
    <w:p w:rsidR="0089084A" w:rsidRPr="009819D0" w:rsidRDefault="0089084A" w:rsidP="0089084A">
      <w:pPr>
        <w:bidi w:val="0"/>
        <w:jc w:val="center"/>
        <w:rPr>
          <w:b/>
          <w:bCs/>
        </w:rPr>
      </w:pPr>
    </w:p>
    <w:p w:rsidR="00D82677" w:rsidRPr="00F6465B" w:rsidRDefault="0089084A" w:rsidP="00D82677">
      <w:pPr>
        <w:bidi w:val="0"/>
        <w:jc w:val="center"/>
        <w:rPr>
          <w:b/>
          <w:bCs/>
          <w:sz w:val="22"/>
          <w:szCs w:val="22"/>
        </w:rPr>
      </w:pPr>
      <w:r w:rsidRPr="00F6465B">
        <w:rPr>
          <w:rFonts w:hint="cs"/>
          <w:b/>
          <w:bCs/>
          <w:noProof/>
          <w:sz w:val="22"/>
          <w:szCs w:val="22"/>
          <w:lang w:eastAsia="en-US"/>
        </w:rPr>
        <w:drawing>
          <wp:inline distT="0" distB="0" distL="0" distR="0">
            <wp:extent cx="2655417" cy="1550822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7B71" w:rsidRPr="00F6465B" w:rsidRDefault="00747B71" w:rsidP="00747B71">
      <w:pPr>
        <w:bidi w:val="0"/>
        <w:ind w:left="-180"/>
        <w:jc w:val="center"/>
        <w:rPr>
          <w:sz w:val="2"/>
          <w:szCs w:val="2"/>
        </w:rPr>
      </w:pPr>
    </w:p>
    <w:p w:rsidR="00553C48" w:rsidRPr="00F6465B" w:rsidRDefault="00553C48" w:rsidP="00553C48">
      <w:pPr>
        <w:bidi w:val="0"/>
        <w:ind w:left="-180"/>
        <w:rPr>
          <w:sz w:val="2"/>
          <w:szCs w:val="2"/>
        </w:rPr>
      </w:pPr>
    </w:p>
    <w:p w:rsidR="00813819" w:rsidRPr="009819D0" w:rsidRDefault="00813819" w:rsidP="00B82644">
      <w:pPr>
        <w:bidi w:val="0"/>
        <w:rPr>
          <w:b/>
          <w:bCs/>
        </w:rPr>
      </w:pPr>
    </w:p>
    <w:p w:rsidR="00747B71" w:rsidRPr="009819D0" w:rsidRDefault="00994B95" w:rsidP="00034D8A">
      <w:pPr>
        <w:bidi w:val="0"/>
        <w:rPr>
          <w:b/>
          <w:bCs/>
        </w:rPr>
      </w:pPr>
      <w:r w:rsidRPr="009819D0">
        <w:rPr>
          <w:b/>
          <w:bCs/>
        </w:rPr>
        <w:t xml:space="preserve">Half of unemployed </w:t>
      </w:r>
      <w:r w:rsidR="00034D8A" w:rsidRPr="009819D0">
        <w:rPr>
          <w:rFonts w:cs="Simplified Arabic"/>
          <w:b/>
          <w:bCs/>
        </w:rPr>
        <w:t>women</w:t>
      </w:r>
      <w:r w:rsidRPr="009819D0">
        <w:rPr>
          <w:b/>
          <w:bCs/>
        </w:rPr>
        <w:t xml:space="preserve"> </w:t>
      </w:r>
      <w:r w:rsidR="00D93BE4" w:rsidRPr="009819D0">
        <w:rPr>
          <w:b/>
          <w:bCs/>
        </w:rPr>
        <w:t>with 13</w:t>
      </w:r>
      <w:r w:rsidR="00401B0E" w:rsidRPr="009819D0">
        <w:rPr>
          <w:b/>
          <w:bCs/>
        </w:rPr>
        <w:t xml:space="preserve"> </w:t>
      </w:r>
      <w:r w:rsidR="00D93BE4" w:rsidRPr="009819D0">
        <w:rPr>
          <w:b/>
          <w:bCs/>
        </w:rPr>
        <w:t>years</w:t>
      </w:r>
      <w:r w:rsidR="00330B63" w:rsidRPr="009819D0">
        <w:rPr>
          <w:b/>
          <w:bCs/>
        </w:rPr>
        <w:t xml:space="preserve"> </w:t>
      </w:r>
      <w:r w:rsidR="00D93BE4" w:rsidRPr="009819D0">
        <w:rPr>
          <w:b/>
          <w:bCs/>
        </w:rPr>
        <w:t xml:space="preserve">of schooling </w:t>
      </w:r>
      <w:r w:rsidR="001461EC" w:rsidRPr="009819D0">
        <w:rPr>
          <w:b/>
          <w:bCs/>
        </w:rPr>
        <w:t>and above</w:t>
      </w:r>
    </w:p>
    <w:p w:rsidR="00D93BE4" w:rsidRPr="009819D0" w:rsidRDefault="00D93BE4" w:rsidP="00E7171C">
      <w:pPr>
        <w:bidi w:val="0"/>
        <w:jc w:val="lowKashida"/>
        <w:textAlignment w:val="top"/>
        <w:rPr>
          <w:rFonts w:cs="Simplified Arabic"/>
        </w:rPr>
      </w:pPr>
      <w:r w:rsidRPr="009819D0">
        <w:rPr>
          <w:rFonts w:cs="Simplified Arabic"/>
        </w:rPr>
        <w:t>Unemploy</w:t>
      </w:r>
      <w:r w:rsidR="00415948" w:rsidRPr="009819D0">
        <w:rPr>
          <w:rFonts w:cs="Simplified Arabic"/>
        </w:rPr>
        <w:t>m</w:t>
      </w:r>
      <w:r w:rsidR="00E7171C" w:rsidRPr="009819D0">
        <w:rPr>
          <w:rFonts w:cs="Simplified Arabic"/>
        </w:rPr>
        <w:t>ent</w:t>
      </w:r>
      <w:r w:rsidRPr="009819D0">
        <w:rPr>
          <w:rFonts w:cs="Simplified Arabic"/>
        </w:rPr>
        <w:t xml:space="preserve"> rate was 35.0 percent in 2013 against to 13.8 percent among females in 2001 in comparison to 20.6 percent  among males in 2013.</w:t>
      </w:r>
    </w:p>
    <w:p w:rsidR="00D93BE4" w:rsidRPr="009819D0" w:rsidRDefault="00D93BE4" w:rsidP="00E7171C">
      <w:pPr>
        <w:bidi w:val="0"/>
        <w:jc w:val="lowKashida"/>
        <w:textAlignment w:val="top"/>
        <w:rPr>
          <w:rFonts w:cs="Simplified Arabic"/>
        </w:rPr>
      </w:pPr>
      <w:r w:rsidRPr="009819D0">
        <w:rPr>
          <w:rFonts w:cs="Simplified Arabic"/>
        </w:rPr>
        <w:t>Needless to say that females unemploy</w:t>
      </w:r>
      <w:r w:rsidR="00415948" w:rsidRPr="009819D0">
        <w:rPr>
          <w:rFonts w:cs="Simplified Arabic"/>
        </w:rPr>
        <w:t>m</w:t>
      </w:r>
      <w:r w:rsidR="00E7171C" w:rsidRPr="009819D0">
        <w:rPr>
          <w:rFonts w:cs="Simplified Arabic"/>
        </w:rPr>
        <w:t>en</w:t>
      </w:r>
      <w:r w:rsidRPr="009819D0">
        <w:rPr>
          <w:rFonts w:cs="Simplified Arabic"/>
        </w:rPr>
        <w:t>t rate was the highest among females with 13 years</w:t>
      </w:r>
      <w:r w:rsidR="003009DD" w:rsidRPr="009819D0">
        <w:rPr>
          <w:rFonts w:cs="Simplified Arabic"/>
        </w:rPr>
        <w:t xml:space="preserve"> </w:t>
      </w:r>
      <w:r w:rsidRPr="009819D0">
        <w:rPr>
          <w:rFonts w:cs="Simplified Arabic"/>
        </w:rPr>
        <w:t xml:space="preserve">of schooling </w:t>
      </w:r>
      <w:r w:rsidR="001461EC" w:rsidRPr="009819D0">
        <w:rPr>
          <w:rFonts w:cs="Simplified Arabic"/>
        </w:rPr>
        <w:t xml:space="preserve">and above </w:t>
      </w:r>
      <w:r w:rsidRPr="009819D0">
        <w:rPr>
          <w:rFonts w:cs="Simplified Arabic"/>
        </w:rPr>
        <w:t>and reached 47.0 percent</w:t>
      </w:r>
      <w:r w:rsidR="00B211E4" w:rsidRPr="009819D0">
        <w:rPr>
          <w:rFonts w:cs="Simplified Arabic"/>
        </w:rPr>
        <w:t xml:space="preserve"> in 2013</w:t>
      </w:r>
      <w:r w:rsidRPr="009819D0">
        <w:rPr>
          <w:rFonts w:cs="Simplified Arabic"/>
        </w:rPr>
        <w:t>.</w:t>
      </w:r>
    </w:p>
    <w:p w:rsidR="00D93BE4" w:rsidRPr="009819D0" w:rsidRDefault="00D93BE4" w:rsidP="00D93BE4">
      <w:pPr>
        <w:bidi w:val="0"/>
        <w:jc w:val="lowKashida"/>
        <w:textAlignment w:val="top"/>
        <w:rPr>
          <w:rFonts w:cs="Simplified Arabic"/>
        </w:rPr>
      </w:pPr>
      <w:r w:rsidRPr="009819D0">
        <w:rPr>
          <w:rFonts w:cs="Simplified Arabic"/>
        </w:rPr>
        <w:t xml:space="preserve"> </w:t>
      </w:r>
    </w:p>
    <w:p w:rsidR="00747B71" w:rsidRDefault="00747B71" w:rsidP="00005FA2">
      <w:pPr>
        <w:bidi w:val="0"/>
        <w:jc w:val="center"/>
        <w:rPr>
          <w:b/>
          <w:bCs/>
        </w:rPr>
      </w:pPr>
      <w:r w:rsidRPr="009819D0">
        <w:rPr>
          <w:b/>
          <w:bCs/>
        </w:rPr>
        <w:t>Unemploy</w:t>
      </w:r>
      <w:r w:rsidR="00415948" w:rsidRPr="009819D0">
        <w:rPr>
          <w:b/>
          <w:bCs/>
        </w:rPr>
        <w:t>m</w:t>
      </w:r>
      <w:r w:rsidR="00E7171C" w:rsidRPr="009819D0">
        <w:rPr>
          <w:b/>
          <w:bCs/>
        </w:rPr>
        <w:t>en</w:t>
      </w:r>
      <w:r w:rsidRPr="009819D0">
        <w:rPr>
          <w:b/>
          <w:bCs/>
        </w:rPr>
        <w:t xml:space="preserve">t rate among </w:t>
      </w:r>
      <w:r w:rsidR="00170CA3" w:rsidRPr="009819D0">
        <w:rPr>
          <w:rFonts w:cs="Simplified Arabic"/>
          <w:b/>
          <w:bCs/>
        </w:rPr>
        <w:t xml:space="preserve">men and women </w:t>
      </w:r>
      <w:r w:rsidRPr="009819D0">
        <w:rPr>
          <w:b/>
          <w:bCs/>
        </w:rPr>
        <w:t>15 years and above 200</w:t>
      </w:r>
      <w:r w:rsidR="00B82644" w:rsidRPr="009819D0">
        <w:rPr>
          <w:b/>
          <w:bCs/>
        </w:rPr>
        <w:t>1</w:t>
      </w:r>
      <w:r w:rsidRPr="009819D0">
        <w:rPr>
          <w:b/>
          <w:bCs/>
        </w:rPr>
        <w:t>-201</w:t>
      </w:r>
      <w:r w:rsidR="00AF36F2" w:rsidRPr="009819D0">
        <w:rPr>
          <w:b/>
          <w:bCs/>
        </w:rPr>
        <w:t>3</w:t>
      </w:r>
      <w:r w:rsidRPr="009819D0">
        <w:rPr>
          <w:b/>
          <w:bCs/>
        </w:rPr>
        <w:t>.</w:t>
      </w:r>
    </w:p>
    <w:p w:rsidR="00005FA2" w:rsidRPr="009819D0" w:rsidRDefault="00005FA2" w:rsidP="00005FA2">
      <w:pPr>
        <w:bidi w:val="0"/>
        <w:jc w:val="center"/>
        <w:rPr>
          <w:b/>
          <w:bCs/>
        </w:rPr>
      </w:pPr>
    </w:p>
    <w:p w:rsidR="00DE6149" w:rsidRPr="00F6465B" w:rsidRDefault="00D74E6C" w:rsidP="00DE6149">
      <w:pPr>
        <w:bidi w:val="0"/>
        <w:jc w:val="center"/>
        <w:rPr>
          <w:b/>
          <w:bCs/>
          <w:sz w:val="22"/>
          <w:szCs w:val="22"/>
        </w:rPr>
      </w:pPr>
      <w:r w:rsidRPr="00F6465B">
        <w:rPr>
          <w:b/>
          <w:bCs/>
          <w:noProof/>
          <w:sz w:val="22"/>
          <w:szCs w:val="22"/>
          <w:lang w:eastAsia="en-US"/>
        </w:rPr>
        <w:drawing>
          <wp:inline distT="0" distB="0" distL="0" distR="0">
            <wp:extent cx="2706624" cy="1784909"/>
            <wp:effectExtent l="0" t="0" r="0" b="0"/>
            <wp:docPr id="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6AC7" w:rsidRPr="00F6465B" w:rsidRDefault="001E6AC7" w:rsidP="003B19C5">
      <w:pPr>
        <w:bidi w:val="0"/>
        <w:ind w:left="27" w:right="142"/>
        <w:jc w:val="both"/>
        <w:rPr>
          <w:rFonts w:cs="Simplified Arabic"/>
          <w:b/>
          <w:bCs/>
          <w:sz w:val="20"/>
          <w:szCs w:val="20"/>
        </w:rPr>
      </w:pPr>
    </w:p>
    <w:p w:rsidR="001E6AC7" w:rsidRPr="00F6465B" w:rsidRDefault="001E6AC7" w:rsidP="001E6AC7">
      <w:pPr>
        <w:bidi w:val="0"/>
        <w:ind w:left="27" w:right="142"/>
        <w:jc w:val="both"/>
        <w:rPr>
          <w:rFonts w:cs="Simplified Arabic"/>
          <w:b/>
          <w:bCs/>
          <w:sz w:val="20"/>
          <w:szCs w:val="20"/>
        </w:rPr>
      </w:pPr>
    </w:p>
    <w:p w:rsidR="001E6AC7" w:rsidRPr="00F6465B" w:rsidRDefault="001E6AC7" w:rsidP="001E6AC7">
      <w:pPr>
        <w:bidi w:val="0"/>
        <w:ind w:left="27" w:right="142"/>
        <w:jc w:val="both"/>
        <w:rPr>
          <w:rFonts w:cs="Simplified Arabic"/>
          <w:b/>
          <w:bCs/>
          <w:sz w:val="20"/>
          <w:szCs w:val="20"/>
        </w:rPr>
      </w:pPr>
    </w:p>
    <w:p w:rsidR="009819D0" w:rsidRDefault="009819D0" w:rsidP="009819D0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Default="00005FA2" w:rsidP="00005FA2">
      <w:pPr>
        <w:bidi w:val="0"/>
        <w:ind w:right="142"/>
        <w:jc w:val="both"/>
        <w:rPr>
          <w:rFonts w:cs="Simplified Arabic"/>
          <w:b/>
          <w:bCs/>
          <w:sz w:val="20"/>
          <w:szCs w:val="20"/>
        </w:rPr>
      </w:pPr>
    </w:p>
    <w:p w:rsidR="00005FA2" w:rsidRPr="009819D0" w:rsidRDefault="00005FA2" w:rsidP="00005FA2">
      <w:pPr>
        <w:bidi w:val="0"/>
        <w:ind w:right="142"/>
        <w:jc w:val="both"/>
        <w:rPr>
          <w:rFonts w:cs="Simplified Arabic"/>
          <w:b/>
          <w:bCs/>
        </w:rPr>
      </w:pPr>
    </w:p>
    <w:p w:rsidR="00166498" w:rsidRPr="009819D0" w:rsidRDefault="00F16D7F" w:rsidP="00F6465B">
      <w:pPr>
        <w:bidi w:val="0"/>
        <w:jc w:val="both"/>
        <w:rPr>
          <w:b/>
          <w:bCs/>
        </w:rPr>
      </w:pPr>
      <w:r w:rsidRPr="009819D0">
        <w:rPr>
          <w:b/>
          <w:bCs/>
        </w:rPr>
        <w:lastRenderedPageBreak/>
        <w:t>women</w:t>
      </w:r>
      <w:r w:rsidR="00166498" w:rsidRPr="009819D0">
        <w:rPr>
          <w:b/>
          <w:bCs/>
        </w:rPr>
        <w:t xml:space="preserve"> and poverty</w:t>
      </w:r>
    </w:p>
    <w:p w:rsidR="009819D0" w:rsidRDefault="008E6410" w:rsidP="00005FA2">
      <w:pPr>
        <w:bidi w:val="0"/>
        <w:jc w:val="both"/>
        <w:rPr>
          <w:rFonts w:cs="Simplified Arabic"/>
        </w:rPr>
      </w:pPr>
      <w:r w:rsidRPr="009819D0">
        <w:rPr>
          <w:rFonts w:cs="Simplified Arabic"/>
        </w:rPr>
        <w:t>T</w:t>
      </w:r>
      <w:r w:rsidR="00166498" w:rsidRPr="009819D0">
        <w:rPr>
          <w:rFonts w:cs="Simplified Arabic"/>
        </w:rPr>
        <w:t xml:space="preserve">he proportion of poor </w:t>
      </w:r>
      <w:r w:rsidR="00E66CE8" w:rsidRPr="009819D0">
        <w:rPr>
          <w:rFonts w:cs="Simplified Arabic"/>
        </w:rPr>
        <w:t>households</w:t>
      </w:r>
      <w:r w:rsidR="00166498" w:rsidRPr="009819D0">
        <w:rPr>
          <w:rFonts w:cs="Simplified Arabic"/>
        </w:rPr>
        <w:t xml:space="preserve"> headed by</w:t>
      </w:r>
      <w:r w:rsidR="001E3AF7" w:rsidRPr="009819D0">
        <w:rPr>
          <w:rFonts w:cs="Simplified Arabic"/>
        </w:rPr>
        <w:t xml:space="preserve"> </w:t>
      </w:r>
      <w:r w:rsidR="00166498" w:rsidRPr="009819D0">
        <w:rPr>
          <w:rFonts w:cs="Simplified Arabic"/>
        </w:rPr>
        <w:t xml:space="preserve"> </w:t>
      </w:r>
      <w:r w:rsidR="006453A9" w:rsidRPr="009819D0">
        <w:rPr>
          <w:rFonts w:cs="Simplified Arabic"/>
        </w:rPr>
        <w:t xml:space="preserve">a </w:t>
      </w:r>
      <w:r w:rsidR="00166498" w:rsidRPr="009819D0">
        <w:rPr>
          <w:rFonts w:cs="Simplified Arabic"/>
        </w:rPr>
        <w:t xml:space="preserve">female </w:t>
      </w:r>
      <w:r w:rsidR="006453A9" w:rsidRPr="009819D0">
        <w:rPr>
          <w:rFonts w:cs="Simplified Arabic"/>
        </w:rPr>
        <w:t xml:space="preserve">is higher </w:t>
      </w:r>
      <w:r w:rsidR="002A54DD" w:rsidRPr="009819D0">
        <w:rPr>
          <w:rFonts w:cs="Simplified Arabic"/>
        </w:rPr>
        <w:t>in</w:t>
      </w:r>
      <w:r w:rsidR="00166498" w:rsidRPr="009819D0">
        <w:rPr>
          <w:rFonts w:cs="Simplified Arabic"/>
        </w:rPr>
        <w:t xml:space="preserve"> Gaza Strip</w:t>
      </w:r>
      <w:r w:rsidRPr="009819D0">
        <w:rPr>
          <w:rFonts w:cs="Simplified Arabic"/>
        </w:rPr>
        <w:t xml:space="preserve"> </w:t>
      </w:r>
      <w:r w:rsidR="006453A9" w:rsidRPr="009819D0">
        <w:rPr>
          <w:rFonts w:cs="Simplified Arabic"/>
        </w:rPr>
        <w:t>at</w:t>
      </w:r>
      <w:r w:rsidR="00166498" w:rsidRPr="009819D0">
        <w:rPr>
          <w:rFonts w:cs="Simplified Arabic"/>
        </w:rPr>
        <w:t xml:space="preserve"> </w:t>
      </w:r>
      <w:r w:rsidR="00E94779" w:rsidRPr="009819D0">
        <w:rPr>
          <w:rFonts w:cs="Simplified Arabic"/>
        </w:rPr>
        <w:t xml:space="preserve">29.7 </w:t>
      </w:r>
      <w:r w:rsidR="005002BE" w:rsidRPr="009819D0">
        <w:rPr>
          <w:rFonts w:cs="Simplified Arabic"/>
        </w:rPr>
        <w:t xml:space="preserve">percent </w:t>
      </w:r>
      <w:r w:rsidR="00283B13" w:rsidRPr="009819D0">
        <w:rPr>
          <w:rFonts w:cs="Simplified Arabic"/>
        </w:rPr>
        <w:t>compared to</w:t>
      </w:r>
      <w:r w:rsidR="005002BE" w:rsidRPr="009819D0">
        <w:rPr>
          <w:rFonts w:cs="Simplified Arabic"/>
        </w:rPr>
        <w:t xml:space="preserve"> </w:t>
      </w:r>
      <w:r w:rsidR="006453A9" w:rsidRPr="009819D0">
        <w:rPr>
          <w:rFonts w:cs="Simplified Arabic"/>
        </w:rPr>
        <w:t xml:space="preserve">22.5 percent in </w:t>
      </w:r>
      <w:r w:rsidR="00166498" w:rsidRPr="009819D0">
        <w:rPr>
          <w:rFonts w:cs="Simplified Arabic"/>
        </w:rPr>
        <w:t xml:space="preserve"> West Bank</w:t>
      </w:r>
      <w:r w:rsidR="004A6BCC" w:rsidRPr="009819D0">
        <w:rPr>
          <w:rFonts w:cs="Simplified Arabic"/>
        </w:rPr>
        <w:t xml:space="preserve"> in 201</w:t>
      </w:r>
      <w:r w:rsidR="00E66CE8" w:rsidRPr="009819D0">
        <w:rPr>
          <w:rFonts w:cs="Simplified Arabic"/>
        </w:rPr>
        <w:t>1</w:t>
      </w:r>
      <w:r w:rsidR="00005FA2">
        <w:rPr>
          <w:rFonts w:cs="Simplified Arabic"/>
        </w:rPr>
        <w:t>.</w:t>
      </w:r>
    </w:p>
    <w:p w:rsidR="00005FA2" w:rsidRDefault="00005FA2" w:rsidP="00005FA2">
      <w:pPr>
        <w:bidi w:val="0"/>
        <w:jc w:val="both"/>
        <w:rPr>
          <w:rFonts w:cs="Simplified Arabic"/>
        </w:rPr>
      </w:pPr>
    </w:p>
    <w:p w:rsidR="009819D0" w:rsidRDefault="009819D0" w:rsidP="00005FA2">
      <w:pPr>
        <w:bidi w:val="0"/>
        <w:rPr>
          <w:b/>
          <w:bCs/>
        </w:rPr>
      </w:pPr>
    </w:p>
    <w:p w:rsidR="009819D0" w:rsidRPr="009819D0" w:rsidRDefault="009819D0" w:rsidP="009819D0">
      <w:pPr>
        <w:bidi w:val="0"/>
        <w:jc w:val="center"/>
        <w:rPr>
          <w:b/>
          <w:bCs/>
        </w:rPr>
      </w:pPr>
    </w:p>
    <w:p w:rsidR="00747B71" w:rsidRPr="009819D0" w:rsidRDefault="006233D5" w:rsidP="00E54A68">
      <w:pPr>
        <w:bidi w:val="0"/>
        <w:jc w:val="center"/>
        <w:rPr>
          <w:b/>
          <w:bCs/>
        </w:rPr>
      </w:pPr>
      <w:r w:rsidRPr="009819D0">
        <w:rPr>
          <w:b/>
          <w:bCs/>
        </w:rPr>
        <w:t xml:space="preserve">Percentage of </w:t>
      </w:r>
      <w:r w:rsidR="00747B71" w:rsidRPr="009819D0">
        <w:rPr>
          <w:b/>
          <w:bCs/>
        </w:rPr>
        <w:t xml:space="preserve"> poverty </w:t>
      </w:r>
      <w:r w:rsidR="008E6410" w:rsidRPr="009819D0">
        <w:rPr>
          <w:b/>
          <w:bCs/>
        </w:rPr>
        <w:t>b</w:t>
      </w:r>
      <w:r w:rsidR="00747B71" w:rsidRPr="009819D0">
        <w:rPr>
          <w:b/>
          <w:bCs/>
        </w:rPr>
        <w:t>y sex of household</w:t>
      </w:r>
      <w:r w:rsidR="004906C2" w:rsidRPr="009819D0">
        <w:rPr>
          <w:b/>
          <w:bCs/>
        </w:rPr>
        <w:t xml:space="preserve"> head</w:t>
      </w:r>
      <w:r w:rsidR="00940DB3" w:rsidRPr="009819D0">
        <w:rPr>
          <w:b/>
          <w:bCs/>
        </w:rPr>
        <w:t>s in</w:t>
      </w:r>
      <w:r w:rsidR="00747B71" w:rsidRPr="009819D0">
        <w:rPr>
          <w:b/>
          <w:bCs/>
        </w:rPr>
        <w:t xml:space="preserve"> 201</w:t>
      </w:r>
      <w:r w:rsidR="00E54A68" w:rsidRPr="009819D0">
        <w:rPr>
          <w:b/>
          <w:bCs/>
        </w:rPr>
        <w:t>1</w:t>
      </w:r>
    </w:p>
    <w:p w:rsidR="00DE6149" w:rsidRPr="00F6465B" w:rsidRDefault="000169FB" w:rsidP="00DE6149">
      <w:pPr>
        <w:bidi w:val="0"/>
        <w:jc w:val="center"/>
        <w:rPr>
          <w:b/>
          <w:bCs/>
          <w:sz w:val="20"/>
          <w:szCs w:val="20"/>
        </w:rPr>
      </w:pPr>
      <w:r w:rsidRPr="00F6465B">
        <w:rPr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655570" cy="1735081"/>
            <wp:effectExtent l="0" t="0" r="0" b="0"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3780" w:rsidRPr="009819D0" w:rsidRDefault="003A3780" w:rsidP="00553C48">
      <w:pPr>
        <w:pStyle w:val="BodyText2"/>
        <w:jc w:val="both"/>
      </w:pPr>
    </w:p>
    <w:p w:rsidR="00FB3387" w:rsidRPr="009819D0" w:rsidRDefault="00FB3387" w:rsidP="00504F9D">
      <w:pPr>
        <w:bidi w:val="0"/>
        <w:jc w:val="both"/>
        <w:rPr>
          <w:b/>
          <w:bCs/>
        </w:rPr>
      </w:pPr>
      <w:r w:rsidRPr="009819D0">
        <w:rPr>
          <w:b/>
          <w:bCs/>
        </w:rPr>
        <w:t xml:space="preserve">Violence against </w:t>
      </w:r>
      <w:r w:rsidR="00504F9D" w:rsidRPr="009819D0">
        <w:rPr>
          <w:b/>
          <w:bCs/>
        </w:rPr>
        <w:t>women</w:t>
      </w:r>
    </w:p>
    <w:p w:rsidR="00FB3387" w:rsidRPr="009819D0" w:rsidRDefault="000B181B" w:rsidP="00115253">
      <w:pPr>
        <w:bidi w:val="0"/>
        <w:jc w:val="both"/>
      </w:pPr>
      <w:r w:rsidRPr="009819D0">
        <w:t xml:space="preserve">An increase in murder crimes against </w:t>
      </w:r>
      <w:r w:rsidR="00415948" w:rsidRPr="009819D0">
        <w:t>female</w:t>
      </w:r>
      <w:r w:rsidR="00504F9D" w:rsidRPr="009819D0">
        <w:t>s</w:t>
      </w:r>
      <w:r w:rsidRPr="009819D0">
        <w:t xml:space="preserve"> </w:t>
      </w:r>
      <w:r w:rsidR="00A9703F" w:rsidRPr="009819D0">
        <w:t>was noticed a</w:t>
      </w:r>
      <w:r w:rsidR="00FB3387" w:rsidRPr="009819D0">
        <w:t xml:space="preserve">ccording to </w:t>
      </w:r>
      <w:r w:rsidR="00115253" w:rsidRPr="009819D0">
        <w:t>Women</w:t>
      </w:r>
      <w:r w:rsidR="00FB3387" w:rsidRPr="009819D0">
        <w:t>'s centre for legal aid counseling,</w:t>
      </w:r>
      <w:r w:rsidR="00A9703F" w:rsidRPr="009819D0">
        <w:t xml:space="preserve"> as</w:t>
      </w:r>
      <w:r w:rsidR="00FB3387" w:rsidRPr="009819D0">
        <w:t xml:space="preserve"> </w:t>
      </w:r>
      <w:r w:rsidR="00C55661" w:rsidRPr="009819D0">
        <w:rPr>
          <w:rFonts w:hint="cs"/>
          <w:rtl/>
        </w:rPr>
        <w:t>2</w:t>
      </w:r>
      <w:r w:rsidR="009218E0" w:rsidRPr="009819D0">
        <w:t>7</w:t>
      </w:r>
      <w:r w:rsidR="00FB3387" w:rsidRPr="009819D0">
        <w:t xml:space="preserve"> </w:t>
      </w:r>
      <w:r w:rsidR="00415948" w:rsidRPr="009819D0">
        <w:t>female</w:t>
      </w:r>
      <w:r w:rsidR="00115253" w:rsidRPr="009819D0">
        <w:t>s</w:t>
      </w:r>
      <w:r w:rsidR="00FB3387" w:rsidRPr="009819D0">
        <w:t xml:space="preserve"> were killed in </w:t>
      </w:r>
      <w:r w:rsidR="00840876" w:rsidRPr="009819D0">
        <w:t>P</w:t>
      </w:r>
      <w:r w:rsidR="00FB3387" w:rsidRPr="009819D0">
        <w:t>alestine in 201</w:t>
      </w:r>
      <w:r w:rsidR="00C55661" w:rsidRPr="009819D0">
        <w:rPr>
          <w:rFonts w:hint="cs"/>
          <w:rtl/>
        </w:rPr>
        <w:t>3</w:t>
      </w:r>
      <w:r w:rsidR="00FB3387" w:rsidRPr="009819D0">
        <w:t xml:space="preserve"> for different reasons</w:t>
      </w:r>
      <w:r w:rsidR="004319B3" w:rsidRPr="009819D0">
        <w:t xml:space="preserve"> (15 </w:t>
      </w:r>
      <w:r w:rsidR="00415948" w:rsidRPr="009819D0">
        <w:t>female</w:t>
      </w:r>
      <w:r w:rsidR="00115253" w:rsidRPr="009819D0">
        <w:t>s</w:t>
      </w:r>
      <w:r w:rsidR="004319B3" w:rsidRPr="009819D0">
        <w:t xml:space="preserve"> in West Bank and 12 </w:t>
      </w:r>
      <w:r w:rsidR="00415948" w:rsidRPr="009819D0">
        <w:t>female</w:t>
      </w:r>
      <w:r w:rsidR="00115253" w:rsidRPr="009819D0">
        <w:t>s</w:t>
      </w:r>
      <w:r w:rsidR="004319B3" w:rsidRPr="009819D0">
        <w:t xml:space="preserve"> in Gaza strip) which is </w:t>
      </w:r>
      <w:r w:rsidR="0070680A" w:rsidRPr="009819D0">
        <w:t xml:space="preserve">a </w:t>
      </w:r>
      <w:r w:rsidR="004319B3" w:rsidRPr="009819D0">
        <w:t>double</w:t>
      </w:r>
      <w:r w:rsidR="0070680A" w:rsidRPr="009819D0">
        <w:t xml:space="preserve"> of that in </w:t>
      </w:r>
      <w:r w:rsidR="0054748A" w:rsidRPr="009819D0">
        <w:t xml:space="preserve">2012 </w:t>
      </w:r>
      <w:r w:rsidR="004319B3" w:rsidRPr="009819D0">
        <w:t xml:space="preserve"> </w:t>
      </w:r>
      <w:r w:rsidR="00F52A08" w:rsidRPr="009819D0">
        <w:t xml:space="preserve">as </w:t>
      </w:r>
      <w:r w:rsidR="0054748A" w:rsidRPr="009819D0">
        <w:t xml:space="preserve"> </w:t>
      </w:r>
      <w:r w:rsidR="004319B3" w:rsidRPr="009819D0">
        <w:t xml:space="preserve">13 </w:t>
      </w:r>
      <w:r w:rsidR="00415948" w:rsidRPr="009819D0">
        <w:t>female</w:t>
      </w:r>
      <w:r w:rsidR="0054748A" w:rsidRPr="009819D0">
        <w:t xml:space="preserve"> were killed</w:t>
      </w:r>
      <w:r w:rsidR="004319B3" w:rsidRPr="009819D0">
        <w:t xml:space="preserve">. </w:t>
      </w:r>
    </w:p>
    <w:p w:rsidR="00FB3387" w:rsidRPr="009819D0" w:rsidRDefault="00FB3387" w:rsidP="00FB3387">
      <w:pPr>
        <w:bidi w:val="0"/>
        <w:jc w:val="both"/>
      </w:pPr>
    </w:p>
    <w:p w:rsidR="00E45DF7" w:rsidRPr="009819D0" w:rsidRDefault="005B699A" w:rsidP="000D60F7">
      <w:pPr>
        <w:pStyle w:val="BodyText2"/>
        <w:jc w:val="both"/>
      </w:pPr>
      <w:r w:rsidRPr="009819D0">
        <w:t>Health sector</w:t>
      </w:r>
    </w:p>
    <w:p w:rsidR="004C7F2B" w:rsidRPr="009819D0" w:rsidRDefault="00C22574" w:rsidP="00ED07FD">
      <w:pPr>
        <w:bidi w:val="0"/>
        <w:jc w:val="both"/>
        <w:rPr>
          <w:rFonts w:cs="Simplified Arabic"/>
        </w:rPr>
      </w:pPr>
      <w:r w:rsidRPr="009819D0">
        <w:rPr>
          <w:rFonts w:cs="Simplified Arabic"/>
        </w:rPr>
        <w:t>13.6% of</w:t>
      </w:r>
      <w:r w:rsidR="00EF7A58" w:rsidRPr="009819D0">
        <w:rPr>
          <w:rFonts w:cs="Simplified Arabic"/>
        </w:rPr>
        <w:t xml:space="preserve"> Palestinian Medical Association members</w:t>
      </w:r>
      <w:r w:rsidR="00EF7A58" w:rsidRPr="009819D0">
        <w:rPr>
          <w:rFonts w:cs="Simplified Arabic"/>
          <w:color w:val="FF0000"/>
        </w:rPr>
        <w:t xml:space="preserve"> </w:t>
      </w:r>
      <w:r w:rsidR="004D6AC3" w:rsidRPr="009819D0">
        <w:rPr>
          <w:rFonts w:cs="Simplified Arabic"/>
        </w:rPr>
        <w:t>were females</w:t>
      </w:r>
      <w:r w:rsidRPr="009819D0">
        <w:rPr>
          <w:rFonts w:cs="Simplified Arabic"/>
        </w:rPr>
        <w:t xml:space="preserve"> compared with 86.4% </w:t>
      </w:r>
      <w:r w:rsidR="00C84FE4" w:rsidRPr="009819D0">
        <w:rPr>
          <w:rFonts w:cs="Simplified Arabic"/>
        </w:rPr>
        <w:t xml:space="preserve">were </w:t>
      </w:r>
      <w:r w:rsidR="004D6AC3" w:rsidRPr="009819D0">
        <w:rPr>
          <w:rFonts w:cs="Simplified Arabic"/>
        </w:rPr>
        <w:t>males</w:t>
      </w:r>
      <w:r w:rsidRPr="009819D0">
        <w:rPr>
          <w:rFonts w:cs="Simplified Arabic"/>
        </w:rPr>
        <w:t xml:space="preserve">. </w:t>
      </w:r>
      <w:r w:rsidR="004D6AC3" w:rsidRPr="009819D0">
        <w:rPr>
          <w:rFonts w:cs="Simplified Arabic"/>
        </w:rPr>
        <w:t xml:space="preserve">This </w:t>
      </w:r>
      <w:r w:rsidRPr="009819D0">
        <w:rPr>
          <w:rFonts w:cs="Simplified Arabic"/>
        </w:rPr>
        <w:t xml:space="preserve">proportion of female </w:t>
      </w:r>
      <w:r w:rsidR="00EF7A58" w:rsidRPr="009819D0">
        <w:rPr>
          <w:rFonts w:cs="Simplified Arabic"/>
        </w:rPr>
        <w:t>physicians</w:t>
      </w:r>
      <w:r w:rsidRPr="009819D0">
        <w:rPr>
          <w:rFonts w:cs="Simplified Arabic"/>
        </w:rPr>
        <w:t xml:space="preserve"> </w:t>
      </w:r>
      <w:r w:rsidR="004D6AC3" w:rsidRPr="009819D0">
        <w:rPr>
          <w:rFonts w:cs="Simplified Arabic"/>
        </w:rPr>
        <w:t>in</w:t>
      </w:r>
      <w:r w:rsidRPr="009819D0">
        <w:rPr>
          <w:rFonts w:cs="Simplified Arabic"/>
        </w:rPr>
        <w:t xml:space="preserve"> West Bank </w:t>
      </w:r>
      <w:r w:rsidR="004D6AC3" w:rsidRPr="009819D0">
        <w:rPr>
          <w:rFonts w:cs="Simplified Arabic"/>
        </w:rPr>
        <w:t xml:space="preserve"> is higher </w:t>
      </w:r>
      <w:r w:rsidRPr="009819D0">
        <w:rPr>
          <w:rFonts w:cs="Simplified Arabic"/>
        </w:rPr>
        <w:t>than in Gaza Strip</w:t>
      </w:r>
      <w:r w:rsidR="004D6AC3" w:rsidRPr="009819D0">
        <w:rPr>
          <w:rFonts w:cs="Simplified Arabic"/>
        </w:rPr>
        <w:t xml:space="preserve"> at </w:t>
      </w:r>
      <w:r w:rsidRPr="009819D0">
        <w:rPr>
          <w:rFonts w:cs="Simplified Arabic"/>
        </w:rPr>
        <w:t xml:space="preserve">16.6% and 10.8% respectively </w:t>
      </w:r>
      <w:r w:rsidR="004D6AC3" w:rsidRPr="009819D0">
        <w:rPr>
          <w:rFonts w:cs="Simplified Arabic"/>
        </w:rPr>
        <w:t xml:space="preserve">in </w:t>
      </w:r>
      <w:r w:rsidRPr="009819D0">
        <w:rPr>
          <w:rFonts w:cs="Simplified Arabic"/>
        </w:rPr>
        <w:t>2012.</w:t>
      </w:r>
    </w:p>
    <w:p w:rsidR="008B53D1" w:rsidRPr="009819D0" w:rsidRDefault="00C22574" w:rsidP="00716AB4">
      <w:pPr>
        <w:bidi w:val="0"/>
        <w:jc w:val="both"/>
        <w:rPr>
          <w:rFonts w:cs="Simplified Arabic"/>
        </w:rPr>
      </w:pPr>
      <w:r w:rsidRPr="009819D0">
        <w:rPr>
          <w:rFonts w:cs="Simplified Arabic"/>
        </w:rPr>
        <w:t xml:space="preserve"> </w:t>
      </w:r>
      <w:r w:rsidRPr="009819D0">
        <w:rPr>
          <w:rFonts w:cs="Simplified Arabic"/>
        </w:rPr>
        <w:br/>
        <w:t xml:space="preserve">27.3% of </w:t>
      </w:r>
      <w:r w:rsidR="00761117" w:rsidRPr="009819D0">
        <w:rPr>
          <w:rFonts w:cs="Simplified Arabic"/>
        </w:rPr>
        <w:t xml:space="preserve">Palestinian </w:t>
      </w:r>
      <w:r w:rsidR="00716AB4" w:rsidRPr="009819D0">
        <w:rPr>
          <w:rFonts w:cs="Simplified Arabic"/>
        </w:rPr>
        <w:t>D</w:t>
      </w:r>
      <w:r w:rsidRPr="009819D0">
        <w:rPr>
          <w:rFonts w:cs="Simplified Arabic"/>
        </w:rPr>
        <w:t>en</w:t>
      </w:r>
      <w:r w:rsidR="00761117" w:rsidRPr="009819D0">
        <w:rPr>
          <w:rFonts w:cs="Simplified Arabic"/>
        </w:rPr>
        <w:t>tal Association members</w:t>
      </w:r>
      <w:r w:rsidRPr="009819D0">
        <w:rPr>
          <w:rFonts w:cs="Simplified Arabic"/>
        </w:rPr>
        <w:t xml:space="preserve"> </w:t>
      </w:r>
      <w:r w:rsidR="001004D5" w:rsidRPr="009819D0">
        <w:rPr>
          <w:rFonts w:cs="Simplified Arabic"/>
        </w:rPr>
        <w:t>are females</w:t>
      </w:r>
      <w:r w:rsidRPr="009819D0">
        <w:rPr>
          <w:rFonts w:cs="Simplified Arabic"/>
        </w:rPr>
        <w:t xml:space="preserve"> compared with 72.7% </w:t>
      </w:r>
      <w:r w:rsidR="001004D5" w:rsidRPr="009819D0">
        <w:rPr>
          <w:rFonts w:cs="Simplified Arabic"/>
        </w:rPr>
        <w:t>males</w:t>
      </w:r>
      <w:r w:rsidRPr="009819D0">
        <w:rPr>
          <w:rFonts w:cs="Simplified Arabic"/>
        </w:rPr>
        <w:t>.</w:t>
      </w:r>
      <w:r w:rsidR="00CB35E2" w:rsidRPr="009819D0">
        <w:rPr>
          <w:rFonts w:cs="Simplified Arabic"/>
        </w:rPr>
        <w:t xml:space="preserve"> </w:t>
      </w:r>
      <w:r w:rsidR="001004D5" w:rsidRPr="009819D0">
        <w:rPr>
          <w:rFonts w:cs="Simplified Arabic"/>
        </w:rPr>
        <w:t>This</w:t>
      </w:r>
      <w:r w:rsidRPr="009819D0">
        <w:rPr>
          <w:rFonts w:cs="Simplified Arabic"/>
        </w:rPr>
        <w:t xml:space="preserve"> proportion of female </w:t>
      </w:r>
      <w:r w:rsidR="001004D5" w:rsidRPr="009819D0">
        <w:rPr>
          <w:rFonts w:cs="Simplified Arabic"/>
        </w:rPr>
        <w:t>dentists</w:t>
      </w:r>
      <w:r w:rsidRPr="009819D0">
        <w:rPr>
          <w:rFonts w:cs="Simplified Arabic"/>
        </w:rPr>
        <w:t xml:space="preserve"> </w:t>
      </w:r>
      <w:r w:rsidR="001004D5" w:rsidRPr="009819D0">
        <w:rPr>
          <w:rFonts w:cs="Simplified Arabic"/>
        </w:rPr>
        <w:t>in</w:t>
      </w:r>
      <w:r w:rsidRPr="009819D0">
        <w:rPr>
          <w:rFonts w:cs="Simplified Arabic"/>
        </w:rPr>
        <w:t xml:space="preserve"> West Bank </w:t>
      </w:r>
      <w:r w:rsidR="001004D5" w:rsidRPr="009819D0">
        <w:rPr>
          <w:rFonts w:cs="Simplified Arabic"/>
        </w:rPr>
        <w:t>is higher than</w:t>
      </w:r>
      <w:r w:rsidR="00761117" w:rsidRPr="009819D0">
        <w:rPr>
          <w:rFonts w:cs="Simplified Arabic"/>
        </w:rPr>
        <w:t xml:space="preserve"> in</w:t>
      </w:r>
      <w:r w:rsidR="001004D5" w:rsidRPr="009819D0">
        <w:rPr>
          <w:rFonts w:cs="Simplified Arabic"/>
        </w:rPr>
        <w:t xml:space="preserve"> Gaza Strip at</w:t>
      </w:r>
      <w:r w:rsidRPr="009819D0">
        <w:rPr>
          <w:rFonts w:cs="Simplified Arabic"/>
        </w:rPr>
        <w:t xml:space="preserve"> 32.5% and 20.5% respectively </w:t>
      </w:r>
      <w:r w:rsidR="001004D5" w:rsidRPr="009819D0">
        <w:rPr>
          <w:rFonts w:cs="Simplified Arabic"/>
        </w:rPr>
        <w:t>in</w:t>
      </w:r>
      <w:r w:rsidRPr="009819D0">
        <w:rPr>
          <w:rFonts w:cs="Simplified Arabic"/>
        </w:rPr>
        <w:t xml:space="preserve"> 2012.</w:t>
      </w:r>
    </w:p>
    <w:p w:rsidR="00C22574" w:rsidRPr="009819D0" w:rsidRDefault="00C22574" w:rsidP="00C22574">
      <w:pPr>
        <w:bidi w:val="0"/>
        <w:rPr>
          <w:rFonts w:cs="Simplified Arabic"/>
        </w:rPr>
      </w:pPr>
    </w:p>
    <w:p w:rsidR="00712944" w:rsidRPr="009819D0" w:rsidRDefault="00081C3A" w:rsidP="008B53D1">
      <w:pPr>
        <w:bidi w:val="0"/>
        <w:rPr>
          <w:rFonts w:cs="Simplified Arabic"/>
          <w:b/>
          <w:bCs/>
        </w:rPr>
      </w:pPr>
      <w:r w:rsidRPr="009819D0">
        <w:rPr>
          <w:rFonts w:cs="Simplified Arabic"/>
          <w:b/>
          <w:bCs/>
          <w:lang w:val="en-IE"/>
        </w:rPr>
        <w:t>W</w:t>
      </w:r>
      <w:r w:rsidR="00F16D7F" w:rsidRPr="009819D0">
        <w:rPr>
          <w:rFonts w:cs="Simplified Arabic"/>
          <w:b/>
          <w:bCs/>
        </w:rPr>
        <w:t>omen</w:t>
      </w:r>
      <w:r w:rsidR="00712944" w:rsidRPr="009819D0">
        <w:rPr>
          <w:rFonts w:cs="Simplified Arabic"/>
          <w:b/>
          <w:bCs/>
        </w:rPr>
        <w:t xml:space="preserve"> in public life</w:t>
      </w:r>
    </w:p>
    <w:p w:rsidR="00005FA2" w:rsidRDefault="00610E4A" w:rsidP="00005FA2">
      <w:pPr>
        <w:bidi w:val="0"/>
        <w:jc w:val="both"/>
        <w:rPr>
          <w:rFonts w:cs="Simplified Arabic"/>
        </w:rPr>
      </w:pPr>
      <w:r w:rsidRPr="009819D0">
        <w:rPr>
          <w:rFonts w:cs="Simplified Arabic"/>
        </w:rPr>
        <w:t xml:space="preserve">21.0% of the members of the local </w:t>
      </w:r>
      <w:r w:rsidR="00C84FE4" w:rsidRPr="009819D0">
        <w:rPr>
          <w:rFonts w:cs="Simplified Arabic"/>
        </w:rPr>
        <w:t>councils</w:t>
      </w:r>
      <w:r w:rsidRPr="009819D0">
        <w:rPr>
          <w:rFonts w:cs="Simplified Arabic"/>
        </w:rPr>
        <w:t xml:space="preserve"> are </w:t>
      </w:r>
      <w:r w:rsidR="00071919" w:rsidRPr="009819D0">
        <w:rPr>
          <w:rFonts w:cs="Simplified Arabic"/>
        </w:rPr>
        <w:t>females</w:t>
      </w:r>
      <w:r w:rsidRPr="009819D0">
        <w:rPr>
          <w:rFonts w:cs="Simplified Arabic"/>
        </w:rPr>
        <w:t xml:space="preserve"> in West Bank compared with 79.0% </w:t>
      </w:r>
      <w:r w:rsidR="00071919" w:rsidRPr="009819D0">
        <w:rPr>
          <w:rFonts w:cs="Simplified Arabic"/>
        </w:rPr>
        <w:t xml:space="preserve">males in 2012 </w:t>
      </w:r>
      <w:r w:rsidR="00FA6178" w:rsidRPr="009819D0">
        <w:rPr>
          <w:rFonts w:cs="Simplified Arabic"/>
        </w:rPr>
        <w:t xml:space="preserve">and </w:t>
      </w:r>
      <w:r w:rsidRPr="009819D0">
        <w:rPr>
          <w:rFonts w:cs="Simplified Arabic"/>
        </w:rPr>
        <w:t xml:space="preserve">26.8% of the members of the student councils at Palestinian universities </w:t>
      </w:r>
      <w:r w:rsidR="00071919" w:rsidRPr="009819D0">
        <w:rPr>
          <w:rFonts w:cs="Simplified Arabic"/>
        </w:rPr>
        <w:t xml:space="preserve">were </w:t>
      </w:r>
      <w:r w:rsidR="00FA6178" w:rsidRPr="009819D0">
        <w:rPr>
          <w:rFonts w:cs="Simplified Arabic"/>
        </w:rPr>
        <w:t>females</w:t>
      </w:r>
      <w:r w:rsidRPr="009819D0">
        <w:rPr>
          <w:rFonts w:cs="Simplified Arabic"/>
        </w:rPr>
        <w:t xml:space="preserve"> </w:t>
      </w:r>
      <w:r w:rsidR="00071919" w:rsidRPr="009819D0">
        <w:rPr>
          <w:rFonts w:cs="Simplified Arabic"/>
        </w:rPr>
        <w:t>against</w:t>
      </w:r>
      <w:r w:rsidRPr="009819D0">
        <w:rPr>
          <w:rFonts w:cs="Simplified Arabic"/>
        </w:rPr>
        <w:t xml:space="preserve"> 73.2% </w:t>
      </w:r>
      <w:r w:rsidR="00FA6178" w:rsidRPr="009819D0">
        <w:rPr>
          <w:rFonts w:cs="Simplified Arabic"/>
        </w:rPr>
        <w:t>males in 2011</w:t>
      </w:r>
      <w:r w:rsidRPr="009819D0">
        <w:rPr>
          <w:rFonts w:cs="Simplified Arabic"/>
        </w:rPr>
        <w:t xml:space="preserve">. And 26.2% of journalists in Palestine </w:t>
      </w:r>
      <w:r w:rsidR="00FA6178" w:rsidRPr="009819D0">
        <w:rPr>
          <w:rFonts w:cs="Simplified Arabic"/>
        </w:rPr>
        <w:t xml:space="preserve">were females against </w:t>
      </w:r>
      <w:r w:rsidRPr="009819D0">
        <w:rPr>
          <w:rFonts w:cs="Simplified Arabic"/>
        </w:rPr>
        <w:t xml:space="preserve">73.8% </w:t>
      </w:r>
      <w:r w:rsidR="00FA6178" w:rsidRPr="009819D0">
        <w:rPr>
          <w:rFonts w:cs="Simplified Arabic"/>
        </w:rPr>
        <w:t xml:space="preserve">males in 2012. While the proportion of female ambassadors in Palestine </w:t>
      </w:r>
      <w:r w:rsidRPr="009819D0">
        <w:rPr>
          <w:rFonts w:cs="Simplified Arabic"/>
        </w:rPr>
        <w:t>also did not</w:t>
      </w:r>
      <w:r w:rsidR="00FA6178" w:rsidRPr="009819D0">
        <w:rPr>
          <w:rFonts w:cs="Simplified Arabic"/>
        </w:rPr>
        <w:t xml:space="preserve"> exceed</w:t>
      </w:r>
      <w:r w:rsidRPr="009819D0">
        <w:rPr>
          <w:rFonts w:cs="Simplified Arabic"/>
        </w:rPr>
        <w:t xml:space="preserve"> </w:t>
      </w:r>
      <w:r w:rsidR="00FA6178" w:rsidRPr="009819D0">
        <w:rPr>
          <w:rFonts w:cs="Simplified Arabic"/>
        </w:rPr>
        <w:t>4.3% compared with 95.7% for male</w:t>
      </w:r>
      <w:r w:rsidRPr="009819D0">
        <w:rPr>
          <w:rFonts w:cs="Simplified Arabic"/>
        </w:rPr>
        <w:t xml:space="preserve"> ambassadors, there are 40.6% of e</w:t>
      </w:r>
      <w:r w:rsidR="007C17F0" w:rsidRPr="009819D0">
        <w:rPr>
          <w:rFonts w:cs="Simplified Arabic"/>
        </w:rPr>
        <w:t xml:space="preserve">mployees in </w:t>
      </w:r>
      <w:r w:rsidRPr="009819D0">
        <w:rPr>
          <w:rFonts w:cs="Simplified Arabic"/>
        </w:rPr>
        <w:t xml:space="preserve"> public sector </w:t>
      </w:r>
      <w:r w:rsidR="007C17F0" w:rsidRPr="009819D0">
        <w:rPr>
          <w:rFonts w:cs="Simplified Arabic"/>
        </w:rPr>
        <w:t xml:space="preserve">were females </w:t>
      </w:r>
      <w:r w:rsidR="00415948" w:rsidRPr="009819D0">
        <w:rPr>
          <w:rFonts w:cs="Simplified Arabic"/>
        </w:rPr>
        <w:t>female</w:t>
      </w:r>
      <w:r w:rsidRPr="009819D0">
        <w:rPr>
          <w:rFonts w:cs="Simplified Arabic"/>
        </w:rPr>
        <w:t xml:space="preserve"> </w:t>
      </w:r>
      <w:r w:rsidR="007C17F0" w:rsidRPr="009819D0">
        <w:rPr>
          <w:rFonts w:cs="Simplified Arabic"/>
        </w:rPr>
        <w:t xml:space="preserve">against </w:t>
      </w:r>
      <w:r w:rsidRPr="009819D0">
        <w:rPr>
          <w:rFonts w:cs="Simplified Arabic"/>
        </w:rPr>
        <w:t xml:space="preserve"> 59.4%</w:t>
      </w:r>
      <w:r w:rsidR="007C17F0" w:rsidRPr="009819D0">
        <w:rPr>
          <w:rFonts w:cs="Simplified Arabic"/>
        </w:rPr>
        <w:t xml:space="preserve"> males </w:t>
      </w:r>
      <w:r w:rsidRPr="009819D0">
        <w:rPr>
          <w:rFonts w:cs="Simplified Arabic"/>
        </w:rPr>
        <w:t xml:space="preserve"> in </w:t>
      </w:r>
      <w:r w:rsidR="001E3AF7" w:rsidRPr="009819D0">
        <w:rPr>
          <w:rFonts w:cs="Simplified Arabic"/>
        </w:rPr>
        <w:t>2012</w:t>
      </w:r>
      <w:r w:rsidRPr="009819D0">
        <w:rPr>
          <w:rFonts w:cs="Simplified Arabic"/>
        </w:rPr>
        <w:t>.</w:t>
      </w:r>
    </w:p>
    <w:p w:rsidR="00005FA2" w:rsidRPr="00005FA2" w:rsidRDefault="00005FA2" w:rsidP="00005FA2">
      <w:pPr>
        <w:bidi w:val="0"/>
        <w:jc w:val="both"/>
        <w:rPr>
          <w:rFonts w:cs="Simplified Arabic"/>
          <w:rtl/>
        </w:rPr>
      </w:pPr>
    </w:p>
    <w:p w:rsidR="00F57D7F" w:rsidRPr="009819D0" w:rsidRDefault="00612A73" w:rsidP="003127DE">
      <w:pPr>
        <w:pStyle w:val="Heading3"/>
        <w:jc w:val="center"/>
        <w:rPr>
          <w:sz w:val="24"/>
          <w:szCs w:val="24"/>
          <w:rtl/>
        </w:rPr>
      </w:pPr>
      <w:r w:rsidRPr="009819D0">
        <w:rPr>
          <w:sz w:val="24"/>
          <w:szCs w:val="24"/>
        </w:rPr>
        <w:t xml:space="preserve">Percentage </w:t>
      </w:r>
      <w:r w:rsidR="0057500A" w:rsidRPr="009819D0">
        <w:rPr>
          <w:sz w:val="24"/>
          <w:szCs w:val="24"/>
        </w:rPr>
        <w:t xml:space="preserve">distribution of </w:t>
      </w:r>
      <w:r w:rsidR="003127DE" w:rsidRPr="009819D0">
        <w:rPr>
          <w:sz w:val="24"/>
          <w:szCs w:val="24"/>
        </w:rPr>
        <w:t>employed persons</w:t>
      </w:r>
      <w:r w:rsidR="0057500A" w:rsidRPr="009819D0">
        <w:rPr>
          <w:sz w:val="24"/>
          <w:szCs w:val="24"/>
        </w:rPr>
        <w:t xml:space="preserve"> 15 years and over by sex and economic activity</w:t>
      </w:r>
      <w:r w:rsidR="00FA58C7" w:rsidRPr="009819D0">
        <w:rPr>
          <w:sz w:val="24"/>
          <w:szCs w:val="24"/>
        </w:rPr>
        <w:t xml:space="preserve"> in </w:t>
      </w:r>
      <w:r w:rsidR="0057500A" w:rsidRPr="009819D0">
        <w:rPr>
          <w:sz w:val="24"/>
          <w:szCs w:val="24"/>
        </w:rPr>
        <w:t>2013</w:t>
      </w:r>
    </w:p>
    <w:p w:rsidR="00F57D7F" w:rsidRPr="009819D0" w:rsidRDefault="00F57D7F" w:rsidP="00F57D7F">
      <w:pPr>
        <w:bidi w:val="0"/>
        <w:jc w:val="center"/>
      </w:pPr>
      <w:r w:rsidRPr="009819D0">
        <w:rPr>
          <w:noProof/>
          <w:lang w:eastAsia="en-US"/>
        </w:rPr>
        <w:drawing>
          <wp:inline distT="0" distB="0" distL="0" distR="0">
            <wp:extent cx="2724150" cy="2009775"/>
            <wp:effectExtent l="19050" t="0" r="0" b="0"/>
            <wp:docPr id="2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0463" w:rsidRPr="00005FA2" w:rsidRDefault="00FA58C7" w:rsidP="00005FA2">
      <w:pPr>
        <w:bidi w:val="0"/>
        <w:ind w:left="74"/>
        <w:jc w:val="both"/>
      </w:pPr>
      <w:r w:rsidRPr="009819D0">
        <w:t xml:space="preserve">Services  and </w:t>
      </w:r>
      <w:r w:rsidR="0057500A" w:rsidRPr="009819D0">
        <w:t>agriculture</w:t>
      </w:r>
      <w:r w:rsidRPr="009819D0">
        <w:t xml:space="preserve"> sectors comprise a main operator ( job absorber) for females  by 59.3% and </w:t>
      </w:r>
      <w:r w:rsidR="0057500A" w:rsidRPr="009819D0">
        <w:t xml:space="preserve">20.9% </w:t>
      </w:r>
      <w:r w:rsidRPr="009819D0">
        <w:t>respectively in 2013.</w:t>
      </w:r>
    </w:p>
    <w:sectPr w:rsidR="00980463" w:rsidRPr="00005FA2" w:rsidSect="00005FA2">
      <w:headerReference w:type="default" r:id="rId12"/>
      <w:pgSz w:w="11909" w:h="16834" w:code="9"/>
      <w:pgMar w:top="720" w:right="720" w:bottom="720" w:left="720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13" w:rsidRDefault="00FB5D13" w:rsidP="00F65404">
      <w:r>
        <w:separator/>
      </w:r>
    </w:p>
  </w:endnote>
  <w:endnote w:type="continuationSeparator" w:id="0">
    <w:p w:rsidR="00FB5D13" w:rsidRDefault="00FB5D13" w:rsidP="00F65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13" w:rsidRDefault="00FB5D13" w:rsidP="00F65404">
      <w:r>
        <w:separator/>
      </w:r>
    </w:p>
  </w:footnote>
  <w:footnote w:type="continuationSeparator" w:id="0">
    <w:p w:rsidR="00FB5D13" w:rsidRDefault="00FB5D13" w:rsidP="00F65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18" w:rsidRDefault="00D23D18" w:rsidP="00005FA2">
    <w:pPr>
      <w:pStyle w:val="Header"/>
      <w:jc w:val="center"/>
      <w:rPr>
        <w:rtl/>
      </w:rPr>
    </w:pPr>
  </w:p>
  <w:p w:rsidR="00E46B01" w:rsidRDefault="00E46B01" w:rsidP="00BD0C07">
    <w:pPr>
      <w:bidi w:val="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53C48"/>
    <w:rsid w:val="00005FA2"/>
    <w:rsid w:val="000169FB"/>
    <w:rsid w:val="00034D8A"/>
    <w:rsid w:val="000524E2"/>
    <w:rsid w:val="00054FCB"/>
    <w:rsid w:val="00061830"/>
    <w:rsid w:val="000709EB"/>
    <w:rsid w:val="00071919"/>
    <w:rsid w:val="00081C3A"/>
    <w:rsid w:val="00081FFB"/>
    <w:rsid w:val="000856C3"/>
    <w:rsid w:val="000A310E"/>
    <w:rsid w:val="000B181B"/>
    <w:rsid w:val="000D60F7"/>
    <w:rsid w:val="000F1648"/>
    <w:rsid w:val="000F3FAE"/>
    <w:rsid w:val="000F4DD6"/>
    <w:rsid w:val="0010045A"/>
    <w:rsid w:val="001004D5"/>
    <w:rsid w:val="001124C1"/>
    <w:rsid w:val="00115253"/>
    <w:rsid w:val="001159D5"/>
    <w:rsid w:val="00122B33"/>
    <w:rsid w:val="00132130"/>
    <w:rsid w:val="00135536"/>
    <w:rsid w:val="001357B4"/>
    <w:rsid w:val="00140CE1"/>
    <w:rsid w:val="001461EC"/>
    <w:rsid w:val="001530D9"/>
    <w:rsid w:val="001621A3"/>
    <w:rsid w:val="00166498"/>
    <w:rsid w:val="00170CA3"/>
    <w:rsid w:val="00173693"/>
    <w:rsid w:val="0018318F"/>
    <w:rsid w:val="001921B7"/>
    <w:rsid w:val="001959C9"/>
    <w:rsid w:val="001B1445"/>
    <w:rsid w:val="001B1AA2"/>
    <w:rsid w:val="001B3763"/>
    <w:rsid w:val="001B442F"/>
    <w:rsid w:val="001B604B"/>
    <w:rsid w:val="001B7A7E"/>
    <w:rsid w:val="001C1246"/>
    <w:rsid w:val="001C4286"/>
    <w:rsid w:val="001E3AF7"/>
    <w:rsid w:val="001E4F9E"/>
    <w:rsid w:val="001E5190"/>
    <w:rsid w:val="001E5BAE"/>
    <w:rsid w:val="001E6AC7"/>
    <w:rsid w:val="001F0B2B"/>
    <w:rsid w:val="001F34C1"/>
    <w:rsid w:val="00203125"/>
    <w:rsid w:val="00216D8A"/>
    <w:rsid w:val="00225B2A"/>
    <w:rsid w:val="00236BEB"/>
    <w:rsid w:val="00240E26"/>
    <w:rsid w:val="0024651E"/>
    <w:rsid w:val="00255AD1"/>
    <w:rsid w:val="002668C2"/>
    <w:rsid w:val="00271DD2"/>
    <w:rsid w:val="0028310A"/>
    <w:rsid w:val="00283B13"/>
    <w:rsid w:val="0028717C"/>
    <w:rsid w:val="00290AB1"/>
    <w:rsid w:val="00297586"/>
    <w:rsid w:val="00297B49"/>
    <w:rsid w:val="002A54DD"/>
    <w:rsid w:val="002A6207"/>
    <w:rsid w:val="002B483E"/>
    <w:rsid w:val="002B4BDF"/>
    <w:rsid w:val="002B642B"/>
    <w:rsid w:val="002C6AE8"/>
    <w:rsid w:val="002D16A9"/>
    <w:rsid w:val="002E3F79"/>
    <w:rsid w:val="002E64CD"/>
    <w:rsid w:val="002F1632"/>
    <w:rsid w:val="002F5D0B"/>
    <w:rsid w:val="003009DD"/>
    <w:rsid w:val="003125EE"/>
    <w:rsid w:val="003127DE"/>
    <w:rsid w:val="00314448"/>
    <w:rsid w:val="00316132"/>
    <w:rsid w:val="003235A7"/>
    <w:rsid w:val="00330B63"/>
    <w:rsid w:val="0034025E"/>
    <w:rsid w:val="00343340"/>
    <w:rsid w:val="0034598D"/>
    <w:rsid w:val="00350B7B"/>
    <w:rsid w:val="003526E8"/>
    <w:rsid w:val="0035334B"/>
    <w:rsid w:val="00354C08"/>
    <w:rsid w:val="0035516C"/>
    <w:rsid w:val="00367ADD"/>
    <w:rsid w:val="00367CF2"/>
    <w:rsid w:val="00384545"/>
    <w:rsid w:val="00387865"/>
    <w:rsid w:val="00396485"/>
    <w:rsid w:val="003A3780"/>
    <w:rsid w:val="003A4D35"/>
    <w:rsid w:val="003B19C5"/>
    <w:rsid w:val="003B2110"/>
    <w:rsid w:val="003B3584"/>
    <w:rsid w:val="003B3B8F"/>
    <w:rsid w:val="003C6368"/>
    <w:rsid w:val="003D7422"/>
    <w:rsid w:val="003D7480"/>
    <w:rsid w:val="003E0508"/>
    <w:rsid w:val="003E0E6D"/>
    <w:rsid w:val="003F1C5B"/>
    <w:rsid w:val="003F46CF"/>
    <w:rsid w:val="00401B0E"/>
    <w:rsid w:val="00402ECA"/>
    <w:rsid w:val="004119CF"/>
    <w:rsid w:val="00415948"/>
    <w:rsid w:val="004319B3"/>
    <w:rsid w:val="00436995"/>
    <w:rsid w:val="004460DB"/>
    <w:rsid w:val="00451F1C"/>
    <w:rsid w:val="00453BC9"/>
    <w:rsid w:val="004568AF"/>
    <w:rsid w:val="004573E0"/>
    <w:rsid w:val="004609C9"/>
    <w:rsid w:val="004628A0"/>
    <w:rsid w:val="004812ED"/>
    <w:rsid w:val="004833BB"/>
    <w:rsid w:val="004906C2"/>
    <w:rsid w:val="004A6BCC"/>
    <w:rsid w:val="004A7520"/>
    <w:rsid w:val="004B239B"/>
    <w:rsid w:val="004B4535"/>
    <w:rsid w:val="004B5E01"/>
    <w:rsid w:val="004C0316"/>
    <w:rsid w:val="004C55C3"/>
    <w:rsid w:val="004C7F2B"/>
    <w:rsid w:val="004D1536"/>
    <w:rsid w:val="004D6AC3"/>
    <w:rsid w:val="004D6DF5"/>
    <w:rsid w:val="004E5F41"/>
    <w:rsid w:val="004F0C7D"/>
    <w:rsid w:val="004F2418"/>
    <w:rsid w:val="004F6721"/>
    <w:rsid w:val="005002BE"/>
    <w:rsid w:val="0050436E"/>
    <w:rsid w:val="00504F9D"/>
    <w:rsid w:val="0051087F"/>
    <w:rsid w:val="00516211"/>
    <w:rsid w:val="00527B44"/>
    <w:rsid w:val="0053364F"/>
    <w:rsid w:val="00535230"/>
    <w:rsid w:val="0054660E"/>
    <w:rsid w:val="0054748A"/>
    <w:rsid w:val="00550CB1"/>
    <w:rsid w:val="00553C48"/>
    <w:rsid w:val="005568F4"/>
    <w:rsid w:val="00564628"/>
    <w:rsid w:val="0057500A"/>
    <w:rsid w:val="00575107"/>
    <w:rsid w:val="005872DE"/>
    <w:rsid w:val="005B699A"/>
    <w:rsid w:val="005F35BE"/>
    <w:rsid w:val="005F508E"/>
    <w:rsid w:val="005F7BB6"/>
    <w:rsid w:val="006056F2"/>
    <w:rsid w:val="00605D07"/>
    <w:rsid w:val="00605FFB"/>
    <w:rsid w:val="00610BE1"/>
    <w:rsid w:val="00610E4A"/>
    <w:rsid w:val="00612A73"/>
    <w:rsid w:val="00612E43"/>
    <w:rsid w:val="00615030"/>
    <w:rsid w:val="006233D5"/>
    <w:rsid w:val="006310E4"/>
    <w:rsid w:val="00641E85"/>
    <w:rsid w:val="00641F12"/>
    <w:rsid w:val="006453A9"/>
    <w:rsid w:val="00653901"/>
    <w:rsid w:val="00653A09"/>
    <w:rsid w:val="0066174A"/>
    <w:rsid w:val="00661E6B"/>
    <w:rsid w:val="00667D6A"/>
    <w:rsid w:val="0067579A"/>
    <w:rsid w:val="00680DB5"/>
    <w:rsid w:val="00680E2F"/>
    <w:rsid w:val="006932F8"/>
    <w:rsid w:val="00693EBD"/>
    <w:rsid w:val="00695CC0"/>
    <w:rsid w:val="006A0BBF"/>
    <w:rsid w:val="006B00A3"/>
    <w:rsid w:val="006B0BD7"/>
    <w:rsid w:val="006B0E0D"/>
    <w:rsid w:val="006C37F3"/>
    <w:rsid w:val="006C4908"/>
    <w:rsid w:val="006C6C43"/>
    <w:rsid w:val="0070680A"/>
    <w:rsid w:val="00712944"/>
    <w:rsid w:val="00714557"/>
    <w:rsid w:val="0071549B"/>
    <w:rsid w:val="00716AB4"/>
    <w:rsid w:val="00725925"/>
    <w:rsid w:val="0073028F"/>
    <w:rsid w:val="007310F5"/>
    <w:rsid w:val="00735052"/>
    <w:rsid w:val="00737830"/>
    <w:rsid w:val="00740A30"/>
    <w:rsid w:val="00744D3D"/>
    <w:rsid w:val="00747B71"/>
    <w:rsid w:val="00761117"/>
    <w:rsid w:val="00765762"/>
    <w:rsid w:val="00784928"/>
    <w:rsid w:val="0078794E"/>
    <w:rsid w:val="0079032F"/>
    <w:rsid w:val="00791EDA"/>
    <w:rsid w:val="007A1F48"/>
    <w:rsid w:val="007B12CA"/>
    <w:rsid w:val="007B5480"/>
    <w:rsid w:val="007B6AE8"/>
    <w:rsid w:val="007B6C90"/>
    <w:rsid w:val="007C17F0"/>
    <w:rsid w:val="007D0112"/>
    <w:rsid w:val="007D5E97"/>
    <w:rsid w:val="007D711E"/>
    <w:rsid w:val="00804E0D"/>
    <w:rsid w:val="00813819"/>
    <w:rsid w:val="00817B11"/>
    <w:rsid w:val="008251B2"/>
    <w:rsid w:val="00840876"/>
    <w:rsid w:val="008502CE"/>
    <w:rsid w:val="00866C47"/>
    <w:rsid w:val="00866EBA"/>
    <w:rsid w:val="008826CA"/>
    <w:rsid w:val="008873BF"/>
    <w:rsid w:val="0089084A"/>
    <w:rsid w:val="0089341A"/>
    <w:rsid w:val="008A07D1"/>
    <w:rsid w:val="008A2550"/>
    <w:rsid w:val="008B25C7"/>
    <w:rsid w:val="008B3927"/>
    <w:rsid w:val="008B53D1"/>
    <w:rsid w:val="008C1065"/>
    <w:rsid w:val="008C7C02"/>
    <w:rsid w:val="008D240F"/>
    <w:rsid w:val="008D4063"/>
    <w:rsid w:val="008E2FA7"/>
    <w:rsid w:val="008E6410"/>
    <w:rsid w:val="00905B09"/>
    <w:rsid w:val="0090755A"/>
    <w:rsid w:val="00911842"/>
    <w:rsid w:val="00912C3E"/>
    <w:rsid w:val="009218E0"/>
    <w:rsid w:val="00925EA8"/>
    <w:rsid w:val="0092694B"/>
    <w:rsid w:val="009322ED"/>
    <w:rsid w:val="00932554"/>
    <w:rsid w:val="0093330E"/>
    <w:rsid w:val="00935047"/>
    <w:rsid w:val="00940D07"/>
    <w:rsid w:val="00940DB3"/>
    <w:rsid w:val="009424E3"/>
    <w:rsid w:val="009426DA"/>
    <w:rsid w:val="009528C0"/>
    <w:rsid w:val="0096789E"/>
    <w:rsid w:val="00980463"/>
    <w:rsid w:val="009819D0"/>
    <w:rsid w:val="00987C88"/>
    <w:rsid w:val="0099214A"/>
    <w:rsid w:val="00994B95"/>
    <w:rsid w:val="00997550"/>
    <w:rsid w:val="009975FB"/>
    <w:rsid w:val="009A4AD8"/>
    <w:rsid w:val="009C1E99"/>
    <w:rsid w:val="009D1085"/>
    <w:rsid w:val="009E17BD"/>
    <w:rsid w:val="009F22E8"/>
    <w:rsid w:val="00A07251"/>
    <w:rsid w:val="00A075E4"/>
    <w:rsid w:val="00A131B7"/>
    <w:rsid w:val="00A2055E"/>
    <w:rsid w:val="00A212B5"/>
    <w:rsid w:val="00A22842"/>
    <w:rsid w:val="00A26427"/>
    <w:rsid w:val="00A27CD8"/>
    <w:rsid w:val="00A31BC2"/>
    <w:rsid w:val="00A31DF9"/>
    <w:rsid w:val="00A358FD"/>
    <w:rsid w:val="00A42663"/>
    <w:rsid w:val="00A4550D"/>
    <w:rsid w:val="00A45D41"/>
    <w:rsid w:val="00A47C9A"/>
    <w:rsid w:val="00A67FB9"/>
    <w:rsid w:val="00A7401C"/>
    <w:rsid w:val="00A77AAA"/>
    <w:rsid w:val="00A77D3A"/>
    <w:rsid w:val="00A87A07"/>
    <w:rsid w:val="00A9224B"/>
    <w:rsid w:val="00A9703F"/>
    <w:rsid w:val="00A97F09"/>
    <w:rsid w:val="00AB0720"/>
    <w:rsid w:val="00AB093A"/>
    <w:rsid w:val="00AC0B62"/>
    <w:rsid w:val="00AD4573"/>
    <w:rsid w:val="00AD7CB4"/>
    <w:rsid w:val="00AF212D"/>
    <w:rsid w:val="00AF214D"/>
    <w:rsid w:val="00AF36F2"/>
    <w:rsid w:val="00AF4ABF"/>
    <w:rsid w:val="00B0172F"/>
    <w:rsid w:val="00B044D0"/>
    <w:rsid w:val="00B11595"/>
    <w:rsid w:val="00B178D9"/>
    <w:rsid w:val="00B203B5"/>
    <w:rsid w:val="00B211E4"/>
    <w:rsid w:val="00B4020E"/>
    <w:rsid w:val="00B45F97"/>
    <w:rsid w:val="00B50E39"/>
    <w:rsid w:val="00B51707"/>
    <w:rsid w:val="00B539BF"/>
    <w:rsid w:val="00B65C8F"/>
    <w:rsid w:val="00B66C55"/>
    <w:rsid w:val="00B71B79"/>
    <w:rsid w:val="00B7352C"/>
    <w:rsid w:val="00B742DF"/>
    <w:rsid w:val="00B74F49"/>
    <w:rsid w:val="00B7585A"/>
    <w:rsid w:val="00B81469"/>
    <w:rsid w:val="00B82644"/>
    <w:rsid w:val="00B86AAA"/>
    <w:rsid w:val="00B91FF7"/>
    <w:rsid w:val="00BA0915"/>
    <w:rsid w:val="00BA2B12"/>
    <w:rsid w:val="00BA41EE"/>
    <w:rsid w:val="00BB1F20"/>
    <w:rsid w:val="00BB31CC"/>
    <w:rsid w:val="00BB6652"/>
    <w:rsid w:val="00BC2895"/>
    <w:rsid w:val="00BC3737"/>
    <w:rsid w:val="00BC3AAA"/>
    <w:rsid w:val="00BD0C07"/>
    <w:rsid w:val="00BD5E1A"/>
    <w:rsid w:val="00BD7B18"/>
    <w:rsid w:val="00BE044A"/>
    <w:rsid w:val="00BE2CDC"/>
    <w:rsid w:val="00BE491B"/>
    <w:rsid w:val="00BE7BA1"/>
    <w:rsid w:val="00BF12DC"/>
    <w:rsid w:val="00C12FE7"/>
    <w:rsid w:val="00C22574"/>
    <w:rsid w:val="00C324B7"/>
    <w:rsid w:val="00C352E8"/>
    <w:rsid w:val="00C55661"/>
    <w:rsid w:val="00C561E7"/>
    <w:rsid w:val="00C637F7"/>
    <w:rsid w:val="00C662A9"/>
    <w:rsid w:val="00C71393"/>
    <w:rsid w:val="00C84FE4"/>
    <w:rsid w:val="00C85084"/>
    <w:rsid w:val="00C92391"/>
    <w:rsid w:val="00C935D0"/>
    <w:rsid w:val="00C96E43"/>
    <w:rsid w:val="00CA567D"/>
    <w:rsid w:val="00CB0024"/>
    <w:rsid w:val="00CB35E2"/>
    <w:rsid w:val="00CB653D"/>
    <w:rsid w:val="00CC143B"/>
    <w:rsid w:val="00CC32DE"/>
    <w:rsid w:val="00CE0417"/>
    <w:rsid w:val="00CE114B"/>
    <w:rsid w:val="00CE1B7C"/>
    <w:rsid w:val="00CF54D1"/>
    <w:rsid w:val="00D007A7"/>
    <w:rsid w:val="00D0685B"/>
    <w:rsid w:val="00D136E8"/>
    <w:rsid w:val="00D23D18"/>
    <w:rsid w:val="00D335D4"/>
    <w:rsid w:val="00D40058"/>
    <w:rsid w:val="00D40D1E"/>
    <w:rsid w:val="00D4174F"/>
    <w:rsid w:val="00D518DD"/>
    <w:rsid w:val="00D51A1E"/>
    <w:rsid w:val="00D67F2A"/>
    <w:rsid w:val="00D720C0"/>
    <w:rsid w:val="00D73704"/>
    <w:rsid w:val="00D74E6C"/>
    <w:rsid w:val="00D82677"/>
    <w:rsid w:val="00D93BE4"/>
    <w:rsid w:val="00DB66F9"/>
    <w:rsid w:val="00DB7F76"/>
    <w:rsid w:val="00DC2725"/>
    <w:rsid w:val="00DC594D"/>
    <w:rsid w:val="00DD6511"/>
    <w:rsid w:val="00DE0A5C"/>
    <w:rsid w:val="00DE6149"/>
    <w:rsid w:val="00DF66BC"/>
    <w:rsid w:val="00E06E54"/>
    <w:rsid w:val="00E11602"/>
    <w:rsid w:val="00E12113"/>
    <w:rsid w:val="00E33A0F"/>
    <w:rsid w:val="00E33FCA"/>
    <w:rsid w:val="00E37EF1"/>
    <w:rsid w:val="00E45DF7"/>
    <w:rsid w:val="00E46B01"/>
    <w:rsid w:val="00E54A68"/>
    <w:rsid w:val="00E646F0"/>
    <w:rsid w:val="00E66CE8"/>
    <w:rsid w:val="00E676DF"/>
    <w:rsid w:val="00E70C7B"/>
    <w:rsid w:val="00E7171C"/>
    <w:rsid w:val="00E77351"/>
    <w:rsid w:val="00E811C1"/>
    <w:rsid w:val="00E851AF"/>
    <w:rsid w:val="00E9220F"/>
    <w:rsid w:val="00E94779"/>
    <w:rsid w:val="00EA460D"/>
    <w:rsid w:val="00EB122C"/>
    <w:rsid w:val="00EC4F56"/>
    <w:rsid w:val="00ED07FD"/>
    <w:rsid w:val="00EE044E"/>
    <w:rsid w:val="00EE0B81"/>
    <w:rsid w:val="00EF071A"/>
    <w:rsid w:val="00EF3455"/>
    <w:rsid w:val="00EF3561"/>
    <w:rsid w:val="00EF4A25"/>
    <w:rsid w:val="00EF7A58"/>
    <w:rsid w:val="00F06B9A"/>
    <w:rsid w:val="00F13E44"/>
    <w:rsid w:val="00F16D7F"/>
    <w:rsid w:val="00F36FF5"/>
    <w:rsid w:val="00F50411"/>
    <w:rsid w:val="00F52A08"/>
    <w:rsid w:val="00F57D7F"/>
    <w:rsid w:val="00F6465B"/>
    <w:rsid w:val="00F65404"/>
    <w:rsid w:val="00F816FF"/>
    <w:rsid w:val="00F87000"/>
    <w:rsid w:val="00F911E8"/>
    <w:rsid w:val="00F9266D"/>
    <w:rsid w:val="00FA58C7"/>
    <w:rsid w:val="00FA6178"/>
    <w:rsid w:val="00FB0905"/>
    <w:rsid w:val="00FB3387"/>
    <w:rsid w:val="00FB5D13"/>
    <w:rsid w:val="00FC6D1C"/>
    <w:rsid w:val="00FD796F"/>
    <w:rsid w:val="00FE17C4"/>
    <w:rsid w:val="00FF1392"/>
    <w:rsid w:val="00FF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53C48"/>
    <w:pPr>
      <w:keepNext/>
      <w:bidi w:val="0"/>
      <w:jc w:val="lowKashida"/>
      <w:outlineLvl w:val="1"/>
    </w:pPr>
    <w:rPr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53C48"/>
    <w:pPr>
      <w:keepNext/>
      <w:bidi w:val="0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53C48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3C4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53C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53C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rsid w:val="00553C48"/>
    <w:pPr>
      <w:bidi w:val="0"/>
      <w:jc w:val="lowKashida"/>
    </w:pPr>
    <w:rPr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53C48"/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semiHidden/>
    <w:rsid w:val="00553C48"/>
    <w:pPr>
      <w:bidi w:val="0"/>
      <w:ind w:right="-318"/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553C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3">
    <w:name w:val="Body Text 3"/>
    <w:basedOn w:val="Normal"/>
    <w:link w:val="BodyText3Char"/>
    <w:semiHidden/>
    <w:rsid w:val="00553C48"/>
    <w:pPr>
      <w:bidi w:val="0"/>
    </w:pPr>
    <w:rPr>
      <w:b/>
      <w:bCs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semiHidden/>
    <w:rsid w:val="00553C48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styleId="Hyperlink">
    <w:name w:val="Hyperlink"/>
    <w:basedOn w:val="DefaultParagraphFont"/>
    <w:semiHidden/>
    <w:rsid w:val="00553C48"/>
    <w:rPr>
      <w:color w:val="0000FF"/>
      <w:u w:val="single"/>
    </w:rPr>
  </w:style>
  <w:style w:type="character" w:customStyle="1" w:styleId="longtext">
    <w:name w:val="long_text"/>
    <w:basedOn w:val="DefaultParagraphFont"/>
    <w:rsid w:val="00553C48"/>
  </w:style>
  <w:style w:type="paragraph" w:styleId="BodyTextIndent">
    <w:name w:val="Body Text Indent"/>
    <w:basedOn w:val="Normal"/>
    <w:link w:val="BodyTextIndentChar"/>
    <w:semiHidden/>
    <w:rsid w:val="00553C48"/>
    <w:pPr>
      <w:bidi w:val="0"/>
      <w:ind w:left="-18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553C48"/>
    <w:rPr>
      <w:rFonts w:ascii="Arial" w:eastAsia="Times New Roman" w:hAnsi="Arial" w:cs="Arial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4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ps">
    <w:name w:val="hps"/>
    <w:basedOn w:val="DefaultParagraphFont"/>
    <w:rsid w:val="00FC6D1C"/>
  </w:style>
  <w:style w:type="character" w:customStyle="1" w:styleId="shorttext">
    <w:name w:val="short_text"/>
    <w:basedOn w:val="DefaultParagraphFont"/>
    <w:rsid w:val="00FF1392"/>
  </w:style>
  <w:style w:type="paragraph" w:styleId="ListParagraph">
    <w:name w:val="List Paragraph"/>
    <w:basedOn w:val="Normal"/>
    <w:uiPriority w:val="34"/>
    <w:qFormat/>
    <w:rsid w:val="00FF139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FF1392"/>
  </w:style>
  <w:style w:type="paragraph" w:styleId="Header">
    <w:name w:val="header"/>
    <w:basedOn w:val="Normal"/>
    <w:link w:val="HeaderChar"/>
    <w:unhideWhenUsed/>
    <w:rsid w:val="00F654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654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F654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4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tn">
    <w:name w:val="atn"/>
    <w:basedOn w:val="DefaultParagraphFont"/>
    <w:rsid w:val="00B66C55"/>
  </w:style>
  <w:style w:type="character" w:styleId="CommentReference">
    <w:name w:val="annotation reference"/>
    <w:basedOn w:val="DefaultParagraphFont"/>
    <w:uiPriority w:val="99"/>
    <w:semiHidden/>
    <w:unhideWhenUsed/>
    <w:rsid w:val="006C3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7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7F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26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ediumList1-Accent6">
    <w:name w:val="Medium List 1 Accent 6"/>
    <w:basedOn w:val="TableNormal"/>
    <w:uiPriority w:val="65"/>
    <w:rsid w:val="00F57D7F"/>
    <w:pPr>
      <w:spacing w:after="0" w:line="240" w:lineRule="auto"/>
    </w:pPr>
    <w:rPr>
      <w:rFonts w:ascii="Calibri" w:eastAsia="Calibri" w:hAnsi="Calibri" w:cs="Arial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F3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704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09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7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1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1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144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6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5825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7752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3713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2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377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8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0970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8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0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3414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61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3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03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7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Worksheet4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Worksheet5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3671367637596271"/>
          <c:y val="3.9932573083537051E-2"/>
          <c:w val="0.82533515976888761"/>
          <c:h val="0.69415895263979199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mens</c:v>
                </c:pt>
              </c:strCache>
            </c:strRef>
          </c:tx>
          <c:spPr>
            <a:ln w="12700"/>
          </c:spPr>
          <c:dLbls>
            <c:dLbl>
              <c:idx val="0"/>
              <c:layout>
                <c:manualLayout>
                  <c:x val="-3.6246986354583496E-2"/>
                  <c:y val="7.5704136120916518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3.9252307635390768E-2"/>
                  <c:y val="5.9281835460222615E-2"/>
                </c:manualLayout>
              </c:layout>
              <c:dLblPos val="r"/>
              <c:showVal val="1"/>
            </c:dLbl>
            <c:txPr>
              <a:bodyPr rot="0" vert="horz"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95.3</c:v>
                </c:pt>
                <c:pt idx="1">
                  <c:v>95.7</c:v>
                </c:pt>
                <c:pt idx="2">
                  <c:v>96.3</c:v>
                </c:pt>
                <c:pt idx="3">
                  <c:v>96.5</c:v>
                </c:pt>
                <c:pt idx="4">
                  <c:v>96.9</c:v>
                </c:pt>
                <c:pt idx="5">
                  <c:v>97.1</c:v>
                </c:pt>
                <c:pt idx="6">
                  <c:v>97.2</c:v>
                </c:pt>
                <c:pt idx="7">
                  <c:v>97.1</c:v>
                </c:pt>
                <c:pt idx="8">
                  <c:v>97.4</c:v>
                </c:pt>
                <c:pt idx="9">
                  <c:v>97.6</c:v>
                </c:pt>
                <c:pt idx="10">
                  <c:v>97.9</c:v>
                </c:pt>
                <c:pt idx="11">
                  <c:v>98.2</c:v>
                </c:pt>
                <c:pt idx="12">
                  <c:v>98.4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womens</c:v>
                </c:pt>
              </c:strCache>
            </c:strRef>
          </c:tx>
          <c:spPr>
            <a:ln w="12700"/>
          </c:spPr>
          <c:dLbls>
            <c:dLbl>
              <c:idx val="0"/>
              <c:layout>
                <c:manualLayout>
                  <c:x val="-4.9736866574977084E-2"/>
                  <c:y val="0.12231537135385606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 rot="0" vert="horz"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84.7</c:v>
                </c:pt>
                <c:pt idx="1">
                  <c:v>86.4</c:v>
                </c:pt>
                <c:pt idx="2">
                  <c:v>87.4</c:v>
                </c:pt>
                <c:pt idx="3" formatCode="0.0">
                  <c:v>88</c:v>
                </c:pt>
                <c:pt idx="4">
                  <c:v>88.9</c:v>
                </c:pt>
                <c:pt idx="5">
                  <c:v>89.8</c:v>
                </c:pt>
                <c:pt idx="6">
                  <c:v>90.5</c:v>
                </c:pt>
                <c:pt idx="7">
                  <c:v>90.9</c:v>
                </c:pt>
                <c:pt idx="8">
                  <c:v>91.7</c:v>
                </c:pt>
                <c:pt idx="9">
                  <c:v>92.2</c:v>
                </c:pt>
                <c:pt idx="10">
                  <c:v>92.6</c:v>
                </c:pt>
                <c:pt idx="11">
                  <c:v>93.6</c:v>
                </c:pt>
                <c:pt idx="12">
                  <c:v>94.1</c:v>
                </c:pt>
              </c:numCache>
            </c:numRef>
          </c:val>
        </c:ser>
        <c:marker val="1"/>
        <c:axId val="86886656"/>
        <c:axId val="87056768"/>
      </c:lineChart>
      <c:catAx>
        <c:axId val="86886656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r>
                  <a:rPr lang="en-US" sz="800" b="0">
                    <a:latin typeface="Arial" pitchFamily="34" charset="0"/>
                    <a:cs typeface="Arial" pitchFamily="34" charset="0"/>
                  </a:rPr>
                  <a:t>Year</a:t>
                </a:r>
              </a:p>
            </c:rich>
          </c:tx>
        </c:title>
        <c:numFmt formatCode="General" sourceLinked="1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7056768"/>
        <c:crosses val="autoZero"/>
        <c:auto val="1"/>
        <c:lblAlgn val="ctr"/>
        <c:lblOffset val="100"/>
      </c:catAx>
      <c:valAx>
        <c:axId val="87056768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800" b="0">
                    <a:latin typeface="Arial" pitchFamily="34" charset="0"/>
                    <a:cs typeface="Arial" pitchFamily="34" charset="0"/>
                  </a:rPr>
                  <a:t>Rate</a:t>
                </a:r>
                <a:endParaRPr lang="en-US" sz="900" b="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26949659939023635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6886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8397165222941065"/>
          <c:y val="0.45982955503267642"/>
          <c:w val="0.57599843382929383"/>
          <c:h val="8.7159923975021231E-2"/>
        </c:manualLayout>
      </c:layout>
      <c:txPr>
        <a:bodyPr/>
        <a:lstStyle/>
        <a:p>
          <a:pPr>
            <a:defRPr sz="800"/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5066823779466754"/>
          <c:y val="3.7930190852840245E-2"/>
          <c:w val="0.81093063725961301"/>
          <c:h val="0.6724092126627117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mens</c:v>
                </c:pt>
              </c:strCache>
            </c:strRef>
          </c:tx>
          <c:spPr>
            <a:ln w="12700"/>
          </c:spPr>
          <c:marker>
            <c:symbol val="diamond"/>
            <c:size val="5"/>
          </c:marker>
          <c:dLbls>
            <c:dLbl>
              <c:idx val="0"/>
              <c:layout>
                <c:manualLayout>
                  <c:x val="-5.6587161539821323E-2"/>
                  <c:y val="8.5083075022861956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 rot="0" vert="horz"/>
              <a:lstStyle/>
              <a:p>
                <a:pPr>
                  <a:defRPr sz="7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Sheet1!$B$2:$B$14</c:f>
              <c:numCache>
                <c:formatCode>0.0</c:formatCode>
                <c:ptCount val="13"/>
                <c:pt idx="0">
                  <c:v>66.8</c:v>
                </c:pt>
                <c:pt idx="1">
                  <c:v>65.5</c:v>
                </c:pt>
                <c:pt idx="2">
                  <c:v>67.5</c:v>
                </c:pt>
                <c:pt idx="3" formatCode="General">
                  <c:v>66.900000000000006</c:v>
                </c:pt>
                <c:pt idx="4" formatCode="General">
                  <c:v>67.599999999999994</c:v>
                </c:pt>
                <c:pt idx="5" formatCode="General">
                  <c:v>67.7</c:v>
                </c:pt>
                <c:pt idx="6" formatCode="General">
                  <c:v>67.7</c:v>
                </c:pt>
                <c:pt idx="7" formatCode="General">
                  <c:v>66.8</c:v>
                </c:pt>
                <c:pt idx="8" formatCode="General">
                  <c:v>67</c:v>
                </c:pt>
                <c:pt idx="9" formatCode="General">
                  <c:v>66.8</c:v>
                </c:pt>
                <c:pt idx="10" formatCode="General">
                  <c:v>68.7</c:v>
                </c:pt>
                <c:pt idx="11" formatCode="General">
                  <c:v>69.099999999999994</c:v>
                </c:pt>
                <c:pt idx="12" formatCode="General">
                  <c:v>69.3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womens</c:v>
                </c:pt>
              </c:strCache>
            </c:strRef>
          </c:tx>
          <c:spPr>
            <a:ln w="12700">
              <a:solidFill>
                <a:srgbClr val="C0504D">
                  <a:shade val="95000"/>
                  <a:satMod val="105000"/>
                </a:srgbClr>
              </a:solidFill>
              <a:headEnd type="none"/>
              <a:tailEnd w="sm" len="sm"/>
            </a:ln>
          </c:spPr>
          <c:marker>
            <c:symbol val="square"/>
            <c:size val="4"/>
          </c:marker>
          <c:dLbls>
            <c:dLbl>
              <c:idx val="0"/>
              <c:layout>
                <c:manualLayout>
                  <c:x val="-4.8710044564634222E-2"/>
                  <c:y val="-8.5083075022861956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 rot="0" vert="horz"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t"/>
            <c:showVal val="1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Sheet1!$C$2:$C$14</c:f>
              <c:numCache>
                <c:formatCode>0.0</c:formatCode>
                <c:ptCount val="13"/>
                <c:pt idx="0">
                  <c:v>10.3</c:v>
                </c:pt>
                <c:pt idx="1">
                  <c:v>10.3</c:v>
                </c:pt>
                <c:pt idx="2">
                  <c:v>12.8</c:v>
                </c:pt>
                <c:pt idx="3" formatCode="General">
                  <c:v>13.5</c:v>
                </c:pt>
                <c:pt idx="4" formatCode="General">
                  <c:v>13.4</c:v>
                </c:pt>
                <c:pt idx="5" formatCode="General">
                  <c:v>14.5</c:v>
                </c:pt>
                <c:pt idx="6" formatCode="General">
                  <c:v>15.7</c:v>
                </c:pt>
                <c:pt idx="7" formatCode="General">
                  <c:v>15.2</c:v>
                </c:pt>
                <c:pt idx="8" formatCode="General">
                  <c:v>15.5</c:v>
                </c:pt>
                <c:pt idx="9" formatCode="General">
                  <c:v>14.7</c:v>
                </c:pt>
                <c:pt idx="10" formatCode="General">
                  <c:v>16.600000000000001</c:v>
                </c:pt>
                <c:pt idx="11" formatCode="General">
                  <c:v>17.399999999999999</c:v>
                </c:pt>
                <c:pt idx="12" formatCode="General">
                  <c:v>17.3</c:v>
                </c:pt>
              </c:numCache>
            </c:numRef>
          </c:val>
        </c:ser>
        <c:marker val="1"/>
        <c:axId val="95598080"/>
        <c:axId val="95600000"/>
      </c:lineChart>
      <c:catAx>
        <c:axId val="95598080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800" b="0">
                    <a:latin typeface="Arial" pitchFamily="34" charset="0"/>
                    <a:cs typeface="Arial" pitchFamily="34" charset="0"/>
                  </a:rPr>
                  <a:t>Year</a:t>
                </a:r>
              </a:p>
            </c:rich>
          </c:tx>
        </c:title>
        <c:numFmt formatCode="General" sourceLinked="1"/>
        <c:tickLblPos val="nextTo"/>
        <c:spPr>
          <a:noFill/>
        </c:spPr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5600000"/>
        <c:crosses val="autoZero"/>
        <c:auto val="1"/>
        <c:lblAlgn val="ctr"/>
        <c:lblOffset val="100"/>
      </c:catAx>
      <c:valAx>
        <c:axId val="95600000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800" b="0">
                    <a:latin typeface="Arial" pitchFamily="34" charset="0"/>
                    <a:cs typeface="Arial" pitchFamily="34" charset="0"/>
                  </a:rPr>
                  <a:t>Percentage</a:t>
                </a:r>
              </a:p>
            </c:rich>
          </c:tx>
          <c:layout>
            <c:manualLayout>
              <c:xMode val="edge"/>
              <c:yMode val="edge"/>
              <c:x val="1.4477575461782561E-2"/>
              <c:y val="0.18561898141759825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559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704009577403776"/>
          <c:y val="0.34424195684610914"/>
          <c:w val="0.5299525460596205"/>
          <c:h val="6.986230528068342E-2"/>
        </c:manualLayout>
      </c:layout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5505899600391"/>
          <c:y val="8.0162597003894373E-2"/>
          <c:w val="0.81254396621030478"/>
          <c:h val="0.59770663614034703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mens</c:v>
                </c:pt>
              </c:strCache>
            </c:strRef>
          </c:tx>
          <c:spPr>
            <a:ln w="12700"/>
          </c:spPr>
          <c:dLbls>
            <c:dLbl>
              <c:idx val="0"/>
              <c:layout>
                <c:manualLayout>
                  <c:x val="-5.0657674246960174E-2"/>
                  <c:y val="7.1038993166359227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3.3200030739400817E-2"/>
                  <c:y val="6.4911992712233524E-2"/>
                </c:manualLayout>
              </c:layout>
              <c:dLblPos val="r"/>
              <c:showVal val="1"/>
            </c:dLbl>
            <c:txPr>
              <a:bodyPr rot="0" vert="horz"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t"/>
            <c:showVal val="1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Sheet1!$B$2:$B$14</c:f>
              <c:numCache>
                <c:formatCode>0.0</c:formatCode>
                <c:ptCount val="13"/>
                <c:pt idx="0">
                  <c:v>27.1</c:v>
                </c:pt>
                <c:pt idx="1">
                  <c:v>33.5</c:v>
                </c:pt>
                <c:pt idx="2">
                  <c:v>26.9</c:v>
                </c:pt>
                <c:pt idx="3">
                  <c:v>28.1</c:v>
                </c:pt>
                <c:pt idx="4">
                  <c:v>23.7</c:v>
                </c:pt>
                <c:pt idx="5">
                  <c:v>24.2</c:v>
                </c:pt>
                <c:pt idx="6">
                  <c:v>22.1</c:v>
                </c:pt>
                <c:pt idx="7">
                  <c:v>26.5</c:v>
                </c:pt>
                <c:pt idx="8">
                  <c:v>24.1</c:v>
                </c:pt>
                <c:pt idx="9">
                  <c:v>23.1</c:v>
                </c:pt>
                <c:pt idx="10">
                  <c:v>19.2</c:v>
                </c:pt>
                <c:pt idx="11">
                  <c:v>20.5</c:v>
                </c:pt>
                <c:pt idx="12">
                  <c:v>20.6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womens</c:v>
                </c:pt>
              </c:strCache>
            </c:strRef>
          </c:tx>
          <c:spPr>
            <a:ln w="12700"/>
          </c:spPr>
          <c:dLbls>
            <c:dLbl>
              <c:idx val="0"/>
              <c:layout>
                <c:manualLayout>
                  <c:x val="-7.1673299904423823E-2"/>
                  <c:y val="9.55055005996379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3.5153244716517242E-2"/>
                  <c:y val="0.10789479533658673"/>
                </c:manualLayout>
              </c:layout>
              <c:dLblPos val="r"/>
              <c:showVal val="1"/>
            </c:dLbl>
            <c:spPr>
              <a:noFill/>
            </c:spPr>
            <c:txPr>
              <a:bodyPr rot="0" vert="horz"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Sheet1!$C$2:$C$14</c:f>
              <c:numCache>
                <c:formatCode>0.0</c:formatCode>
                <c:ptCount val="13"/>
                <c:pt idx="0">
                  <c:v>13.8</c:v>
                </c:pt>
                <c:pt idx="1">
                  <c:v>17</c:v>
                </c:pt>
                <c:pt idx="2">
                  <c:v>18.5</c:v>
                </c:pt>
                <c:pt idx="3">
                  <c:v>20.100000000000001</c:v>
                </c:pt>
                <c:pt idx="4">
                  <c:v>22.3</c:v>
                </c:pt>
                <c:pt idx="5">
                  <c:v>20.5</c:v>
                </c:pt>
                <c:pt idx="6">
                  <c:v>19</c:v>
                </c:pt>
                <c:pt idx="7">
                  <c:v>23.8</c:v>
                </c:pt>
                <c:pt idx="8">
                  <c:v>26.4</c:v>
                </c:pt>
                <c:pt idx="9">
                  <c:v>26.8</c:v>
                </c:pt>
                <c:pt idx="10">
                  <c:v>28.4</c:v>
                </c:pt>
                <c:pt idx="11">
                  <c:v>32.9</c:v>
                </c:pt>
                <c:pt idx="12">
                  <c:v>35</c:v>
                </c:pt>
              </c:numCache>
            </c:numRef>
          </c:val>
        </c:ser>
        <c:marker val="1"/>
        <c:axId val="87071360"/>
        <c:axId val="87085824"/>
      </c:lineChart>
      <c:catAx>
        <c:axId val="87071360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00" b="0">
                    <a:latin typeface="Arial" pitchFamily="34" charset="0"/>
                    <a:cs typeface="Arial" pitchFamily="34" charset="0"/>
                  </a:rPr>
                  <a:t>Year</a:t>
                </a:r>
              </a:p>
            </c:rich>
          </c:tx>
        </c:title>
        <c:numFmt formatCode="General" sourceLinked="1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7085824"/>
        <c:crosses val="autoZero"/>
        <c:auto val="1"/>
        <c:lblAlgn val="ctr"/>
        <c:lblOffset val="100"/>
      </c:catAx>
      <c:valAx>
        <c:axId val="87085824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r>
                  <a:rPr lang="en-US" sz="800" b="0">
                    <a:latin typeface="Arial" pitchFamily="34" charset="0"/>
                    <a:cs typeface="Arial" pitchFamily="34" charset="0"/>
                  </a:rPr>
                  <a:t>Percentage</a:t>
                </a:r>
              </a:p>
            </c:rich>
          </c:tx>
          <c:layout>
            <c:manualLayout>
              <c:xMode val="edge"/>
              <c:yMode val="edge"/>
              <c:x val="1.5441006951833727E-2"/>
              <c:y val="0.22233906602521472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7071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752394850476366"/>
          <c:y val="0.51427278604520577"/>
          <c:w val="0.49275108545434698"/>
          <c:h val="9.4888841597503243E-2"/>
        </c:manualLayout>
      </c:layout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15284251591936948"/>
          <c:y val="3.0641381094968792E-2"/>
          <c:w val="0.80896304748133152"/>
          <c:h val="0.7675851786132367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mens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-2.0756666916579632E-2"/>
                  <c:y val="-2.649617220177595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25.9</c:v>
                </c:pt>
                <c:pt idx="1">
                  <c:v>17.5</c:v>
                </c:pt>
                <c:pt idx="2">
                  <c:v>39.4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womens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2.0083272270613971E-2"/>
                  <c:y val="-2.484685001312179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768402136521699E-2"/>
                  <c:y val="-2.408039683477345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 formatCode="0.0">
                  <c:v>25</c:v>
                </c:pt>
                <c:pt idx="1">
                  <c:v>22.5</c:v>
                </c:pt>
                <c:pt idx="2">
                  <c:v>29.7</c:v>
                </c:pt>
              </c:numCache>
            </c:numRef>
          </c:val>
        </c:ser>
        <c:dLbls>
          <c:showVal val="1"/>
        </c:dLbls>
        <c:axId val="88426368"/>
        <c:axId val="88449024"/>
      </c:barChart>
      <c:catAx>
        <c:axId val="88426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en-US" sz="800" b="0">
                    <a:latin typeface="Arial" pitchFamily="34" charset="0"/>
                    <a:cs typeface="Arial" pitchFamily="34" charset="0"/>
                  </a:rPr>
                  <a:t>Region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8449024"/>
        <c:crosses val="autoZero"/>
        <c:auto val="1"/>
        <c:lblAlgn val="ctr"/>
        <c:lblOffset val="100"/>
        <c:tickLblSkip val="1"/>
        <c:tickMarkSkip val="1"/>
      </c:catAx>
      <c:valAx>
        <c:axId val="88449024"/>
        <c:scaling>
          <c:orientation val="minMax"/>
        </c:scaling>
        <c:axPos val="l"/>
        <c:majorGridlines>
          <c:spPr>
            <a:ln>
              <a:solidFill>
                <a:schemeClr val="accent6">
                  <a:lumMod val="40000"/>
                  <a:lumOff val="60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en-US" sz="800" b="0">
                    <a:latin typeface="Arial" pitchFamily="34" charset="0"/>
                    <a:cs typeface="Arial" pitchFamily="34" charset="0"/>
                  </a:rPr>
                  <a:t>Percentage</a:t>
                </a:r>
                <a:endParaRPr lang="en-US" sz="1000"/>
              </a:p>
            </c:rich>
          </c:tx>
          <c:layout>
            <c:manualLayout>
              <c:xMode val="edge"/>
              <c:yMode val="edge"/>
              <c:x val="6.3865761399624539E-4"/>
              <c:y val="0.2599273463313816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8426368"/>
        <c:crosses val="autoZero"/>
        <c:crossBetween val="between"/>
        <c:minorUnit val="10"/>
      </c:valAx>
    </c:plotArea>
    <c:legend>
      <c:legendPos val="r"/>
      <c:layout>
        <c:manualLayout>
          <c:xMode val="edge"/>
          <c:yMode val="edge"/>
          <c:x val="0.26480492085728841"/>
          <c:y val="6.2597809076682318E-2"/>
          <c:w val="0.35069444444444442"/>
          <c:h val="0.10389610389610412"/>
        </c:manualLayout>
      </c:layout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42828148229723212"/>
          <c:y val="6.6111118735474608E-2"/>
          <c:w val="0.52559954481214"/>
          <c:h val="0.73128740637610745"/>
        </c:manualLayout>
      </c:layout>
      <c:barChart>
        <c:barDir val="bar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mens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Agriculture and fishing</c:v>
                </c:pt>
                <c:pt idx="1">
                  <c:v>Mining and manufacturing</c:v>
                </c:pt>
                <c:pt idx="2">
                  <c:v>Constrution</c:v>
                </c:pt>
                <c:pt idx="3">
                  <c:v>Commerce-Hotels </c:v>
                </c:pt>
                <c:pt idx="4">
                  <c:v>Transport-storage</c:v>
                </c:pt>
                <c:pt idx="5">
                  <c:v>Services and ther branches </c:v>
                </c:pt>
              </c:strCache>
            </c:strRef>
          </c:cat>
          <c:val>
            <c:numRef>
              <c:f>Sheet1!$B$3:$G$3</c:f>
              <c:numCache>
                <c:formatCode>0.0</c:formatCode>
                <c:ptCount val="6"/>
                <c:pt idx="0">
                  <c:v>8.5</c:v>
                </c:pt>
                <c:pt idx="1">
                  <c:v>12.6</c:v>
                </c:pt>
                <c:pt idx="2">
                  <c:v>18.600000000000001</c:v>
                </c:pt>
                <c:pt idx="3">
                  <c:v>21.9</c:v>
                </c:pt>
                <c:pt idx="4">
                  <c:v>7.5</c:v>
                </c:pt>
                <c:pt idx="5">
                  <c:v>30.9</c:v>
                </c:pt>
              </c:numCache>
            </c:numRef>
          </c:val>
        </c:ser>
        <c:ser>
          <c:idx val="2"/>
          <c:order val="1"/>
          <c:tx>
            <c:strRef>
              <c:f>Sheet1!$A$2</c:f>
              <c:strCache>
                <c:ptCount val="1"/>
                <c:pt idx="0">
                  <c:v>womens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1"/>
              <c:layout>
                <c:manualLayout>
                  <c:x val="0"/>
                  <c:y val="-7.4832393116363149E-3"/>
                </c:manualLayout>
              </c:layout>
              <c:showVal val="1"/>
            </c:dLbl>
            <c:dLbl>
              <c:idx val="2"/>
              <c:layout>
                <c:manualLayout>
                  <c:x val="4.0410211374042933E-3"/>
                  <c:y val="-1.4957268732065265E-2"/>
                </c:manualLayout>
              </c:layout>
              <c:showVal val="1"/>
            </c:dLbl>
            <c:dLbl>
              <c:idx val="3"/>
              <c:layout>
                <c:manualLayout>
                  <c:x val="4.0410211374042933E-3"/>
                  <c:y val="-1.4957268732065265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1.4957268732065265E-2"/>
                </c:manualLayout>
              </c:layout>
              <c:showVal val="1"/>
            </c:dLbl>
            <c:txPr>
              <a:bodyPr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Agriculture and fishing</c:v>
                </c:pt>
                <c:pt idx="1">
                  <c:v>Mining and manufacturing</c:v>
                </c:pt>
                <c:pt idx="2">
                  <c:v>Constrution</c:v>
                </c:pt>
                <c:pt idx="3">
                  <c:v>Commerce-Hotels </c:v>
                </c:pt>
                <c:pt idx="4">
                  <c:v>Transport-storage</c:v>
                </c:pt>
                <c:pt idx="5">
                  <c:v>Services and ther branches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20.9</c:v>
                </c:pt>
                <c:pt idx="1">
                  <c:v>9.9</c:v>
                </c:pt>
                <c:pt idx="2" formatCode="0.0">
                  <c:v>0.2</c:v>
                </c:pt>
                <c:pt idx="3">
                  <c:v>8.4</c:v>
                </c:pt>
                <c:pt idx="4" formatCode="0.0">
                  <c:v>1.3</c:v>
                </c:pt>
                <c:pt idx="5" formatCode="0.0">
                  <c:v>59.3</c:v>
                </c:pt>
              </c:numCache>
            </c:numRef>
          </c:val>
        </c:ser>
        <c:dLbls>
          <c:showVal val="1"/>
        </c:dLbls>
        <c:gapWidth val="75"/>
        <c:axId val="86528768"/>
        <c:axId val="86530304"/>
      </c:barChart>
      <c:catAx>
        <c:axId val="8652876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 rtl="0">
              <a:defRPr sz="7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6530304"/>
        <c:crosses val="autoZero"/>
        <c:auto val="1"/>
        <c:lblAlgn val="ctr"/>
        <c:lblOffset val="0"/>
        <c:tickLblSkip val="1"/>
        <c:tickMarkSkip val="1"/>
      </c:catAx>
      <c:valAx>
        <c:axId val="86530304"/>
        <c:scaling>
          <c:orientation val="minMax"/>
          <c:max val="70"/>
          <c:min val="0"/>
        </c:scaling>
        <c:axPos val="b"/>
        <c:majorGridlines>
          <c:spPr>
            <a:ln>
              <a:solidFill>
                <a:schemeClr val="accent6">
                  <a:lumMod val="60000"/>
                  <a:lumOff val="40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700" b="0">
                    <a:latin typeface="Arial" pitchFamily="34" charset="0"/>
                    <a:cs typeface="Arial" pitchFamily="34" charset="0"/>
                  </a:rPr>
                  <a:t>Percentage</a:t>
                </a:r>
              </a:p>
            </c:rich>
          </c:tx>
        </c:title>
        <c:numFmt formatCode="0" sourceLinked="0"/>
        <c:majorTickMark val="none"/>
        <c:tickLblPos val="nextTo"/>
        <c:txPr>
          <a:bodyPr rot="0" vert="horz"/>
          <a:lstStyle/>
          <a:p>
            <a:pPr>
              <a:defRPr sz="7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6528768"/>
        <c:crosses val="autoZero"/>
        <c:crossBetween val="between"/>
        <c:majorUnit val="10"/>
        <c:minorUnit val="1"/>
      </c:valAx>
    </c:plotArea>
    <c:legend>
      <c:legendPos val="b"/>
      <c:layout>
        <c:manualLayout>
          <c:xMode val="edge"/>
          <c:yMode val="edge"/>
          <c:x val="0.74780287492973863"/>
          <c:y val="0.29836984272936473"/>
          <c:w val="0.17070056080875068"/>
          <c:h val="0.17910396753099156"/>
        </c:manualLayout>
      </c:layout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3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F3E5-242F-4816-B7C5-B7AFCBCB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mdeeb</dc:creator>
  <cp:lastModifiedBy>hbadran</cp:lastModifiedBy>
  <cp:revision>4</cp:revision>
  <cp:lastPrinted>2014-03-05T13:01:00Z</cp:lastPrinted>
  <dcterms:created xsi:type="dcterms:W3CDTF">2014-03-05T13:02:00Z</dcterms:created>
  <dcterms:modified xsi:type="dcterms:W3CDTF">2014-03-06T09:05:00Z</dcterms:modified>
</cp:coreProperties>
</file>