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E9" w:rsidRDefault="00927FE9" w:rsidP="00CD0138">
      <w:pPr>
        <w:bidi w:val="0"/>
        <w:spacing w:after="0" w:line="240" w:lineRule="auto"/>
        <w:jc w:val="center"/>
        <w:rPr>
          <w:rFonts w:ascii="Times New Roman" w:eastAsia="Times New Roman" w:hAnsi="Times New Roman" w:cs="Times New Roman"/>
          <w:b/>
          <w:bCs/>
          <w:noProof w:val="0"/>
          <w:color w:val="0E101A"/>
          <w:sz w:val="32"/>
          <w:szCs w:val="32"/>
          <w:rtl/>
          <w:lang w:val="en-US"/>
        </w:rPr>
      </w:pPr>
      <w:r w:rsidRPr="00CD0138">
        <w:rPr>
          <w:rFonts w:ascii="Times New Roman" w:eastAsia="Times New Roman" w:hAnsi="Times New Roman" w:cs="Times New Roman"/>
          <w:b/>
          <w:bCs/>
          <w:noProof w:val="0"/>
          <w:color w:val="0E101A"/>
          <w:sz w:val="32"/>
          <w:szCs w:val="32"/>
          <w:lang w:val="en-US"/>
        </w:rPr>
        <w:t>The Palestinian Central Bureau of Statistics (PCBS) and the Palestinian Meteorological Directorate (PMD) jointly issued a press release on the Occasion of World Meteorological Day (WMD) under the theme "At the Frontline of Climate Action."</w:t>
      </w:r>
    </w:p>
    <w:p w:rsidR="00CD0138" w:rsidRPr="00CD0138" w:rsidRDefault="00CD0138" w:rsidP="00CD0138">
      <w:pPr>
        <w:bidi w:val="0"/>
        <w:spacing w:after="0" w:line="240" w:lineRule="auto"/>
        <w:jc w:val="center"/>
        <w:rPr>
          <w:rFonts w:ascii="Times New Roman" w:eastAsia="Times New Roman" w:hAnsi="Times New Roman" w:cs="Times New Roman"/>
          <w:noProof w:val="0"/>
          <w:color w:val="0E101A"/>
          <w:sz w:val="32"/>
          <w:szCs w:val="32"/>
          <w:lang w:val="en-US"/>
        </w:rPr>
      </w:pPr>
    </w:p>
    <w:p w:rsidR="00927FE9" w:rsidRP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r w:rsidRPr="00927FE9">
        <w:rPr>
          <w:rFonts w:ascii="Times New Roman" w:eastAsia="Times New Roman" w:hAnsi="Times New Roman" w:cs="Times New Roman"/>
          <w:noProof w:val="0"/>
          <w:color w:val="0E101A"/>
          <w:sz w:val="24"/>
          <w:szCs w:val="24"/>
          <w:lang w:val="en-US"/>
        </w:rPr>
        <w:t> </w:t>
      </w:r>
    </w:p>
    <w:p w:rsidR="00927FE9" w:rsidRDefault="00927FE9" w:rsidP="00CD0138">
      <w:pPr>
        <w:bidi w:val="0"/>
        <w:spacing w:after="0" w:line="240" w:lineRule="auto"/>
        <w:jc w:val="both"/>
        <w:outlineLvl w:val="1"/>
        <w:rPr>
          <w:rFonts w:ascii="Times New Roman" w:eastAsia="Times New Roman" w:hAnsi="Times New Roman" w:cs="Times New Roman"/>
          <w:b/>
          <w:bCs/>
          <w:noProof w:val="0"/>
          <w:color w:val="0E101A"/>
          <w:sz w:val="28"/>
          <w:szCs w:val="28"/>
          <w:rtl/>
          <w:lang w:val="en-US"/>
        </w:rPr>
      </w:pPr>
      <w:r w:rsidRPr="00CD0138">
        <w:rPr>
          <w:rFonts w:ascii="Times New Roman" w:eastAsia="Times New Roman" w:hAnsi="Times New Roman" w:cs="Times New Roman"/>
          <w:b/>
          <w:bCs/>
          <w:noProof w:val="0"/>
          <w:color w:val="0E101A"/>
          <w:sz w:val="28"/>
          <w:szCs w:val="28"/>
          <w:lang w:val="en-US"/>
        </w:rPr>
        <w:t>Every year on March 23rd, the World Meteorological Organization (WMO) celebrates World Meteorological Day. This year's theme is "At the Frontline of Climate Action"."</w:t>
      </w:r>
    </w:p>
    <w:p w:rsidR="00CD0138" w:rsidRPr="00CD0138" w:rsidRDefault="00CD0138" w:rsidP="00CD0138">
      <w:pPr>
        <w:bidi w:val="0"/>
        <w:spacing w:after="0" w:line="240" w:lineRule="auto"/>
        <w:jc w:val="both"/>
        <w:outlineLvl w:val="1"/>
        <w:rPr>
          <w:rFonts w:ascii="Times New Roman" w:eastAsia="Times New Roman" w:hAnsi="Times New Roman" w:cs="Times New Roman"/>
          <w:b/>
          <w:bCs/>
          <w:noProof w:val="0"/>
          <w:color w:val="0E101A"/>
          <w:sz w:val="28"/>
          <w:szCs w:val="28"/>
          <w:lang w:val="en-US"/>
        </w:rPr>
      </w:pPr>
    </w:p>
    <w:p w:rsidR="00927FE9" w:rsidRP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927FE9">
      <w:pPr>
        <w:bidi w:val="0"/>
        <w:spacing w:after="0" w:line="240" w:lineRule="auto"/>
        <w:rPr>
          <w:rFonts w:ascii="Times New Roman" w:eastAsia="Times New Roman" w:hAnsi="Times New Roman" w:cs="Times New Roman"/>
          <w:b/>
          <w:bCs/>
          <w:noProof w:val="0"/>
          <w:color w:val="0E101A"/>
          <w:sz w:val="26"/>
          <w:szCs w:val="26"/>
          <w:rtl/>
          <w:lang w:val="en-US"/>
        </w:rPr>
      </w:pPr>
      <w:r w:rsidRPr="00CD0138">
        <w:rPr>
          <w:rFonts w:ascii="Times New Roman" w:eastAsia="Times New Roman" w:hAnsi="Times New Roman" w:cs="Times New Roman"/>
          <w:b/>
          <w:bCs/>
          <w:noProof w:val="0"/>
          <w:color w:val="0E101A"/>
          <w:sz w:val="26"/>
          <w:szCs w:val="26"/>
          <w:lang w:val="en-US"/>
        </w:rPr>
        <w:t>The following are the most prominent features of the weather in Palestine. </w:t>
      </w:r>
    </w:p>
    <w:p w:rsidR="00CD0138" w:rsidRPr="00CD0138" w:rsidRDefault="00CD0138" w:rsidP="00CD0138">
      <w:pPr>
        <w:bidi w:val="0"/>
        <w:spacing w:after="0" w:line="240" w:lineRule="auto"/>
        <w:rPr>
          <w:rFonts w:ascii="Times New Roman" w:eastAsia="Times New Roman" w:hAnsi="Times New Roman" w:cs="Times New Roman"/>
          <w:b/>
          <w:bCs/>
          <w:noProof w:val="0"/>
          <w:color w:val="0E101A"/>
          <w:sz w:val="26"/>
          <w:szCs w:val="26"/>
          <w:lang w:val="en-US"/>
        </w:rPr>
      </w:pPr>
    </w:p>
    <w:p w:rsidR="00927FE9" w:rsidRP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927FE9">
      <w:pPr>
        <w:bidi w:val="0"/>
        <w:spacing w:after="0" w:line="240" w:lineRule="auto"/>
        <w:rPr>
          <w:rFonts w:ascii="Times New Roman" w:eastAsia="Times New Roman" w:hAnsi="Times New Roman" w:cs="Times New Roman"/>
          <w:noProof w:val="0"/>
          <w:color w:val="0E101A"/>
          <w:sz w:val="28"/>
          <w:szCs w:val="28"/>
          <w:rtl/>
          <w:lang w:val="en-US"/>
        </w:rPr>
      </w:pPr>
      <w:r w:rsidRPr="00CD0138">
        <w:rPr>
          <w:rFonts w:ascii="Times New Roman" w:eastAsia="Times New Roman" w:hAnsi="Times New Roman" w:cs="Times New Roman"/>
          <w:b/>
          <w:bCs/>
          <w:noProof w:val="0"/>
          <w:color w:val="0E101A"/>
          <w:sz w:val="28"/>
          <w:szCs w:val="28"/>
          <w:lang w:val="en-US"/>
        </w:rPr>
        <w:t>The Israeli occupation aggression on the Gaza Strip has destroyed all rain metrological stations</w:t>
      </w:r>
      <w:r w:rsidRPr="00CD0138">
        <w:rPr>
          <w:rFonts w:ascii="Times New Roman" w:eastAsia="Times New Roman" w:hAnsi="Times New Roman" w:cs="Times New Roman"/>
          <w:noProof w:val="0"/>
          <w:color w:val="0E101A"/>
          <w:sz w:val="28"/>
          <w:szCs w:val="28"/>
          <w:lang w:val="en-US"/>
        </w:rPr>
        <w:t>.</w:t>
      </w:r>
    </w:p>
    <w:p w:rsidR="00CD0138" w:rsidRPr="00CD0138" w:rsidRDefault="00CD0138" w:rsidP="00CD0138">
      <w:pPr>
        <w:bidi w:val="0"/>
        <w:spacing w:after="0" w:line="240" w:lineRule="auto"/>
        <w:rPr>
          <w:rFonts w:ascii="Times New Roman" w:eastAsia="Times New Roman" w:hAnsi="Times New Roman" w:cs="Times New Roman"/>
          <w:noProof w:val="0"/>
          <w:color w:val="0E101A"/>
          <w:sz w:val="28"/>
          <w:szCs w:val="28"/>
          <w:lang w:val="en-US"/>
        </w:rPr>
      </w:pP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In the Gaza Strip, there were 12 stations set up to monitor rainfall levels from the north of the region to its south. Unfortunately, due to the Israeli occupation aggression that began on October 7th, 2023, all of these stations were destroyed. Unfortunately, we cannot include data from these stations in the press release as we do not have it.</w:t>
      </w:r>
    </w:p>
    <w:p w:rsidR="00927FE9" w:rsidRP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Pr="00CD0138" w:rsidRDefault="00927FE9" w:rsidP="00927FE9">
      <w:pPr>
        <w:bidi w:val="0"/>
        <w:spacing w:after="0" w:line="240" w:lineRule="auto"/>
        <w:rPr>
          <w:rFonts w:ascii="Times New Roman" w:eastAsia="Times New Roman" w:hAnsi="Times New Roman" w:cs="Times New Roman"/>
          <w:b/>
          <w:bCs/>
          <w:noProof w:val="0"/>
          <w:color w:val="0E101A"/>
          <w:sz w:val="26"/>
          <w:szCs w:val="26"/>
          <w:lang w:val="en-US"/>
        </w:rPr>
      </w:pPr>
      <w:r w:rsidRPr="00CD0138">
        <w:rPr>
          <w:rFonts w:ascii="Times New Roman" w:eastAsia="Times New Roman" w:hAnsi="Times New Roman" w:cs="Times New Roman"/>
          <w:b/>
          <w:bCs/>
          <w:noProof w:val="0"/>
          <w:color w:val="0E101A"/>
          <w:sz w:val="26"/>
          <w:szCs w:val="26"/>
          <w:lang w:val="en-US"/>
        </w:rPr>
        <w:t>The following are the most important features of the climate that prevailed during the year 2023:</w:t>
      </w:r>
    </w:p>
    <w:p w:rsidR="00927FE9" w:rsidRP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927FE9">
      <w:pPr>
        <w:bidi w:val="0"/>
        <w:spacing w:after="0" w:line="240" w:lineRule="auto"/>
        <w:rPr>
          <w:rFonts w:ascii="Times New Roman" w:eastAsia="Times New Roman" w:hAnsi="Times New Roman" w:cs="Times New Roman"/>
          <w:b/>
          <w:bCs/>
          <w:noProof w:val="0"/>
          <w:color w:val="0E101A"/>
          <w:sz w:val="28"/>
          <w:szCs w:val="28"/>
          <w:rtl/>
          <w:lang w:val="en-US"/>
        </w:rPr>
      </w:pPr>
      <w:r w:rsidRPr="00CD0138">
        <w:rPr>
          <w:rFonts w:ascii="Times New Roman" w:eastAsia="Times New Roman" w:hAnsi="Times New Roman" w:cs="Times New Roman"/>
          <w:b/>
          <w:bCs/>
          <w:noProof w:val="0"/>
          <w:color w:val="0E101A"/>
          <w:sz w:val="28"/>
          <w:szCs w:val="28"/>
          <w:lang w:val="en-US"/>
        </w:rPr>
        <w:t>Variation in rainfall amounts during the rainy season</w:t>
      </w:r>
    </w:p>
    <w:p w:rsidR="00CD0138" w:rsidRPr="00CD0138" w:rsidRDefault="00CD0138" w:rsidP="00CD0138">
      <w:pPr>
        <w:bidi w:val="0"/>
        <w:spacing w:after="0" w:line="240" w:lineRule="auto"/>
        <w:rPr>
          <w:rFonts w:ascii="Times New Roman" w:eastAsia="Times New Roman" w:hAnsi="Times New Roman" w:cs="Times New Roman"/>
          <w:noProof w:val="0"/>
          <w:color w:val="0E101A"/>
          <w:sz w:val="28"/>
          <w:szCs w:val="28"/>
          <w:lang w:val="en-US"/>
        </w:rPr>
      </w:pPr>
    </w:p>
    <w:p w:rsidR="00927FE9" w:rsidRDefault="00927FE9" w:rsidP="00CD0138">
      <w:pPr>
        <w:bidi w:val="0"/>
        <w:spacing w:after="0" w:line="240" w:lineRule="auto"/>
        <w:jc w:val="both"/>
        <w:rPr>
          <w:rFonts w:ascii="Times New Roman" w:eastAsia="Times New Roman" w:hAnsi="Times New Roman" w:cs="Times New Roman"/>
          <w:noProof w:val="0"/>
          <w:color w:val="0E101A"/>
          <w:sz w:val="26"/>
          <w:szCs w:val="26"/>
          <w:rtl/>
          <w:lang w:val="en-US"/>
        </w:rPr>
      </w:pPr>
      <w:r w:rsidRPr="00CD0138">
        <w:rPr>
          <w:rFonts w:ascii="Times New Roman" w:eastAsia="Times New Roman" w:hAnsi="Times New Roman" w:cs="Times New Roman"/>
          <w:noProof w:val="0"/>
          <w:color w:val="0E101A"/>
          <w:sz w:val="26"/>
          <w:szCs w:val="26"/>
          <w:lang w:val="en-US"/>
        </w:rPr>
        <w:t>Based on the PMD (Palestinian Meteorological Department) data, the recent rainy season (2023/2024) in the West Bank was characterized by an uneven rainfall distribution. The northern and central parts of the West Bank received more rainfall than the southern areas, which were affected by weather depressions that were mostly concentrated in the northern and northwestern regions. The data shows that Tulkarm station received the highest rainfall during the rainy season, totaling 866.7 mm, representing 144% of the mean average. On the other hand, Jericho station received the lowest rainfall during the season, with only 78.4 mm, representing 47% of the mean average.</w:t>
      </w: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CD0138" w:rsidRDefault="00CD0138" w:rsidP="00CD0138">
      <w:pPr>
        <w:bidi w:val="0"/>
        <w:spacing w:after="0" w:line="240" w:lineRule="auto"/>
        <w:jc w:val="both"/>
        <w:rPr>
          <w:rFonts w:ascii="Times New Roman" w:eastAsia="Times New Roman" w:hAnsi="Times New Roman" w:cs="Times New Roman"/>
          <w:noProof w:val="0"/>
          <w:color w:val="0E101A"/>
          <w:sz w:val="26"/>
          <w:szCs w:val="26"/>
          <w:rtl/>
          <w:lang w:val="en-US"/>
        </w:rPr>
      </w:pPr>
    </w:p>
    <w:p w:rsidR="00E10AAA" w:rsidRPr="00CD0138" w:rsidRDefault="00E10AAA" w:rsidP="00E10AAA">
      <w:pPr>
        <w:pStyle w:val="BodyText2"/>
        <w:bidi w:val="0"/>
        <w:spacing w:after="0" w:line="240" w:lineRule="auto"/>
        <w:ind w:left="-284" w:right="-30"/>
        <w:jc w:val="center"/>
        <w:rPr>
          <w:b/>
          <w:bCs/>
          <w:color w:val="000000"/>
          <w:sz w:val="22"/>
          <w:szCs w:val="22"/>
        </w:rPr>
      </w:pPr>
      <w:r w:rsidRPr="00CD0138">
        <w:rPr>
          <w:b/>
          <w:bCs/>
          <w:color w:val="000000"/>
          <w:sz w:val="22"/>
          <w:szCs w:val="22"/>
        </w:rPr>
        <w:lastRenderedPageBreak/>
        <w:t>Cumulative Amounts of Rainfall Recorded at West Bank Stations from the Beginning of the Current Rain Season</w:t>
      </w:r>
      <w:r w:rsidRPr="00CD0138">
        <w:rPr>
          <w:rFonts w:hint="cs"/>
          <w:b/>
          <w:bCs/>
          <w:color w:val="000000"/>
          <w:sz w:val="22"/>
          <w:szCs w:val="22"/>
          <w:rtl/>
        </w:rPr>
        <w:t xml:space="preserve"> </w:t>
      </w:r>
      <w:r w:rsidRPr="00CD0138">
        <w:rPr>
          <w:b/>
          <w:bCs/>
          <w:color w:val="000000"/>
          <w:sz w:val="22"/>
          <w:szCs w:val="22"/>
        </w:rPr>
        <w:t xml:space="preserve">2023/2024 till </w:t>
      </w:r>
      <w:r w:rsidRPr="00CD0138">
        <w:rPr>
          <w:rFonts w:hint="cs"/>
          <w:b/>
          <w:bCs/>
          <w:color w:val="000000"/>
          <w:sz w:val="22"/>
          <w:szCs w:val="22"/>
          <w:rtl/>
        </w:rPr>
        <w:t>21</w:t>
      </w:r>
      <w:r w:rsidRPr="00CD0138">
        <w:rPr>
          <w:b/>
          <w:bCs/>
          <w:color w:val="000000"/>
          <w:sz w:val="22"/>
          <w:szCs w:val="22"/>
        </w:rPr>
        <w:t>/03/2024 Compared with General Average by Station Location</w:t>
      </w:r>
    </w:p>
    <w:tbl>
      <w:tblPr>
        <w:tblW w:w="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1082"/>
        <w:gridCol w:w="892"/>
        <w:gridCol w:w="892"/>
      </w:tblGrid>
      <w:tr w:rsidR="00E10AAA" w:rsidRPr="004A3BF6" w:rsidTr="006D5544">
        <w:trPr>
          <w:trHeight w:val="20"/>
          <w:jc w:val="center"/>
        </w:trPr>
        <w:tc>
          <w:tcPr>
            <w:tcW w:w="1697" w:type="dxa"/>
          </w:tcPr>
          <w:p w:rsidR="00E10AAA" w:rsidRPr="00251336" w:rsidRDefault="00E10AAA" w:rsidP="006D5544">
            <w:pPr>
              <w:autoSpaceDE w:val="0"/>
              <w:autoSpaceDN w:val="0"/>
              <w:bidi w:val="0"/>
              <w:adjustRightInd w:val="0"/>
              <w:jc w:val="center"/>
              <w:rPr>
                <w:b/>
                <w:bCs/>
                <w:color w:val="000000"/>
                <w:sz w:val="19"/>
                <w:szCs w:val="19"/>
              </w:rPr>
            </w:pPr>
            <w:r>
              <w:rPr>
                <w:b/>
                <w:bCs/>
                <w:color w:val="000000"/>
                <w:sz w:val="19"/>
                <w:szCs w:val="19"/>
              </w:rPr>
              <w:t>Station Location</w:t>
            </w:r>
          </w:p>
        </w:tc>
        <w:tc>
          <w:tcPr>
            <w:tcW w:w="1052" w:type="dxa"/>
          </w:tcPr>
          <w:p w:rsidR="00E10AAA" w:rsidRPr="00965BC1" w:rsidRDefault="00E10AAA" w:rsidP="006D5544">
            <w:pPr>
              <w:pStyle w:val="BodyText2"/>
              <w:bidi w:val="0"/>
              <w:spacing w:after="0" w:line="240" w:lineRule="auto"/>
              <w:ind w:right="-30"/>
              <w:jc w:val="center"/>
              <w:rPr>
                <w:b/>
                <w:bCs/>
                <w:color w:val="000000"/>
                <w:sz w:val="19"/>
                <w:szCs w:val="19"/>
                <w:lang w:eastAsia="en-US"/>
              </w:rPr>
            </w:pPr>
            <w:r w:rsidRPr="00DC2CE6">
              <w:rPr>
                <w:b/>
                <w:bCs/>
                <w:color w:val="000000"/>
                <w:sz w:val="19"/>
                <w:szCs w:val="19"/>
                <w:lang w:eastAsia="en-US"/>
              </w:rPr>
              <w:t xml:space="preserve">Quantity of </w:t>
            </w:r>
            <w:r>
              <w:rPr>
                <w:b/>
                <w:bCs/>
                <w:color w:val="000000"/>
                <w:sz w:val="19"/>
                <w:szCs w:val="19"/>
                <w:lang w:eastAsia="en-US"/>
              </w:rPr>
              <w:t xml:space="preserve">  </w:t>
            </w:r>
            <w:r w:rsidRPr="00DC2CE6">
              <w:rPr>
                <w:b/>
                <w:bCs/>
                <w:color w:val="000000"/>
                <w:sz w:val="19"/>
                <w:szCs w:val="19"/>
                <w:lang w:eastAsia="en-US"/>
              </w:rPr>
              <w:t xml:space="preserve">Rainfall </w:t>
            </w:r>
            <w:r>
              <w:rPr>
                <w:b/>
                <w:bCs/>
                <w:color w:val="000000"/>
                <w:sz w:val="19"/>
                <w:szCs w:val="19"/>
                <w:lang w:eastAsia="en-US"/>
              </w:rPr>
              <w:t xml:space="preserve"> </w:t>
            </w:r>
            <w:r w:rsidRPr="00965BC1">
              <w:rPr>
                <w:b/>
                <w:bCs/>
                <w:color w:val="000000"/>
                <w:sz w:val="19"/>
                <w:szCs w:val="19"/>
                <w:lang w:eastAsia="en-US"/>
              </w:rPr>
              <w:t xml:space="preserve">till </w:t>
            </w:r>
            <w:r>
              <w:rPr>
                <w:rFonts w:hint="cs"/>
                <w:b/>
                <w:bCs/>
                <w:color w:val="000000"/>
                <w:sz w:val="19"/>
                <w:szCs w:val="19"/>
                <w:rtl/>
                <w:lang w:eastAsia="en-US"/>
              </w:rPr>
              <w:t>21</w:t>
            </w:r>
            <w:r w:rsidRPr="00965BC1">
              <w:rPr>
                <w:b/>
                <w:bCs/>
                <w:color w:val="000000"/>
                <w:sz w:val="19"/>
                <w:szCs w:val="19"/>
                <w:lang w:eastAsia="en-US"/>
              </w:rPr>
              <w:t>/03/</w:t>
            </w:r>
            <w:r>
              <w:rPr>
                <w:b/>
                <w:bCs/>
                <w:color w:val="000000"/>
                <w:sz w:val="19"/>
                <w:szCs w:val="19"/>
                <w:lang w:eastAsia="en-US"/>
              </w:rPr>
              <w:t>2024</w:t>
            </w:r>
          </w:p>
          <w:p w:rsidR="00E10AAA" w:rsidRPr="00251336" w:rsidRDefault="00E10AAA" w:rsidP="006D5544">
            <w:pPr>
              <w:autoSpaceDE w:val="0"/>
              <w:autoSpaceDN w:val="0"/>
              <w:bidi w:val="0"/>
              <w:adjustRightInd w:val="0"/>
              <w:jc w:val="center"/>
              <w:rPr>
                <w:b/>
                <w:bCs/>
                <w:color w:val="000000"/>
                <w:sz w:val="19"/>
                <w:szCs w:val="19"/>
                <w:rtl/>
              </w:rPr>
            </w:pPr>
            <w:r w:rsidRPr="00DC2CE6">
              <w:rPr>
                <w:b/>
                <w:bCs/>
                <w:color w:val="000000"/>
                <w:sz w:val="19"/>
                <w:szCs w:val="19"/>
              </w:rPr>
              <w:t>(mm)</w:t>
            </w:r>
          </w:p>
        </w:tc>
        <w:tc>
          <w:tcPr>
            <w:tcW w:w="892" w:type="dxa"/>
          </w:tcPr>
          <w:p w:rsidR="00E10AAA" w:rsidRPr="00251336" w:rsidRDefault="00E10AAA" w:rsidP="006D5544">
            <w:pPr>
              <w:pStyle w:val="BodyText2"/>
              <w:bidi w:val="0"/>
              <w:spacing w:after="0" w:line="240" w:lineRule="auto"/>
              <w:ind w:right="-30"/>
              <w:jc w:val="center"/>
              <w:rPr>
                <w:b/>
                <w:bCs/>
                <w:color w:val="000000"/>
                <w:sz w:val="19"/>
                <w:szCs w:val="19"/>
                <w:rtl/>
                <w:lang w:eastAsia="en-US"/>
              </w:rPr>
            </w:pPr>
            <w:r w:rsidRPr="00251336">
              <w:rPr>
                <w:b/>
                <w:bCs/>
                <w:color w:val="000000"/>
                <w:sz w:val="19"/>
                <w:szCs w:val="19"/>
                <w:lang w:eastAsia="en-US"/>
              </w:rPr>
              <w:t>Mean Average</w:t>
            </w:r>
          </w:p>
          <w:p w:rsidR="00E10AAA" w:rsidRPr="00251336" w:rsidRDefault="00E10AAA" w:rsidP="006D5544">
            <w:pPr>
              <w:pStyle w:val="BodyText2"/>
              <w:bidi w:val="0"/>
              <w:spacing w:after="0" w:line="240" w:lineRule="auto"/>
              <w:ind w:right="-30"/>
              <w:jc w:val="center"/>
              <w:rPr>
                <w:b/>
                <w:bCs/>
                <w:color w:val="000000"/>
                <w:sz w:val="19"/>
                <w:szCs w:val="19"/>
                <w:rtl/>
                <w:lang w:eastAsia="en-US"/>
              </w:rPr>
            </w:pPr>
            <w:r w:rsidRPr="00DC2CE6">
              <w:rPr>
                <w:b/>
                <w:bCs/>
                <w:color w:val="000000"/>
                <w:sz w:val="19"/>
                <w:szCs w:val="19"/>
                <w:lang w:eastAsia="en-US"/>
              </w:rPr>
              <w:t>(mm</w:t>
            </w:r>
          </w:p>
        </w:tc>
        <w:tc>
          <w:tcPr>
            <w:tcW w:w="851" w:type="dxa"/>
          </w:tcPr>
          <w:p w:rsidR="00E10AAA" w:rsidRPr="00DC2CE6" w:rsidRDefault="00E10AAA" w:rsidP="006D5544">
            <w:pPr>
              <w:pStyle w:val="BodyText2"/>
              <w:bidi w:val="0"/>
              <w:spacing w:after="0" w:line="240" w:lineRule="auto"/>
              <w:ind w:right="-30"/>
              <w:jc w:val="center"/>
              <w:rPr>
                <w:b/>
                <w:bCs/>
                <w:color w:val="000000"/>
                <w:sz w:val="19"/>
                <w:szCs w:val="19"/>
                <w:lang w:eastAsia="en-US"/>
              </w:rPr>
            </w:pPr>
            <w:r w:rsidRPr="00DC2CE6">
              <w:rPr>
                <w:b/>
                <w:bCs/>
                <w:color w:val="000000"/>
                <w:sz w:val="19"/>
                <w:szCs w:val="19"/>
                <w:lang w:eastAsia="en-US"/>
              </w:rPr>
              <w:t>%</w:t>
            </w:r>
            <w:r>
              <w:rPr>
                <w:b/>
                <w:bCs/>
                <w:color w:val="000000"/>
                <w:sz w:val="19"/>
                <w:szCs w:val="19"/>
                <w:lang w:eastAsia="en-US"/>
              </w:rPr>
              <w:t xml:space="preserve"> of Mean</w:t>
            </w:r>
            <w:r w:rsidRPr="00DC2CE6">
              <w:rPr>
                <w:b/>
                <w:bCs/>
                <w:color w:val="000000"/>
                <w:sz w:val="19"/>
                <w:szCs w:val="19"/>
                <w:lang w:eastAsia="en-US"/>
              </w:rPr>
              <w:t xml:space="preserve"> Average</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Tulkarm</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866.7</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602.4</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143.9</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Qalqiliya</w:t>
            </w:r>
          </w:p>
        </w:tc>
        <w:tc>
          <w:tcPr>
            <w:tcW w:w="1052" w:type="dxa"/>
            <w:vAlign w:val="bottom"/>
          </w:tcPr>
          <w:p w:rsidR="00E10AAA" w:rsidRPr="00055A3B" w:rsidRDefault="00E10AAA" w:rsidP="006D5544">
            <w:pPr>
              <w:bidi w:val="0"/>
              <w:jc w:val="center"/>
              <w:rPr>
                <w:rFonts w:ascii="Simplified Arabic" w:hAnsi="Simplified Arabic" w:cs="Simplified Arabic"/>
                <w:color w:val="000000"/>
              </w:rPr>
            </w:pPr>
            <w:r>
              <w:rPr>
                <w:rFonts w:ascii="Simplified Arabic" w:hAnsi="Simplified Arabic" w:cs="Simplified Arabic" w:hint="cs"/>
                <w:color w:val="000000"/>
                <w:rtl/>
              </w:rPr>
              <w:t>856.0</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624.9</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137.0</w:t>
            </w:r>
          </w:p>
        </w:tc>
      </w:tr>
      <w:tr w:rsidR="00E10AAA" w:rsidRPr="004A3BF6" w:rsidTr="006D5544">
        <w:trPr>
          <w:trHeight w:hRule="exact" w:val="363"/>
          <w:jc w:val="center"/>
        </w:trPr>
        <w:tc>
          <w:tcPr>
            <w:tcW w:w="1697" w:type="dxa"/>
          </w:tcPr>
          <w:p w:rsidR="00E10AAA" w:rsidRPr="008A1B32" w:rsidRDefault="00E10AAA" w:rsidP="006D5544">
            <w:pPr>
              <w:bidi w:val="0"/>
              <w:rPr>
                <w:color w:val="000000"/>
              </w:rPr>
            </w:pPr>
            <w:r w:rsidRPr="008A1B32">
              <w:rPr>
                <w:color w:val="000000"/>
              </w:rPr>
              <w:t>Nablus</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777.5</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660.1</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117.8</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Salfit</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758.5</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698.1</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108.7</w:t>
            </w:r>
          </w:p>
        </w:tc>
      </w:tr>
      <w:tr w:rsidR="00E10AAA" w:rsidRPr="004A3BF6" w:rsidTr="006D5544">
        <w:trPr>
          <w:trHeight w:hRule="exact" w:val="601"/>
          <w:jc w:val="center"/>
        </w:trPr>
        <w:tc>
          <w:tcPr>
            <w:tcW w:w="1697" w:type="dxa"/>
            <w:vAlign w:val="bottom"/>
          </w:tcPr>
          <w:p w:rsidR="00E10AAA" w:rsidRPr="008A1B32" w:rsidRDefault="00E10AAA" w:rsidP="006D5544">
            <w:pPr>
              <w:bidi w:val="0"/>
              <w:rPr>
                <w:color w:val="000000"/>
                <w:rtl/>
              </w:rPr>
            </w:pPr>
            <w:r w:rsidRPr="008A1B32">
              <w:rPr>
                <w:color w:val="000000"/>
              </w:rPr>
              <w:t>Ramallah and  Al-Bireh</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656.1</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615.2</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106.6</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Jenin</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593.7</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468.2</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126.8</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Tubas</w:t>
            </w:r>
          </w:p>
        </w:tc>
        <w:tc>
          <w:tcPr>
            <w:tcW w:w="1052" w:type="dxa"/>
            <w:vAlign w:val="bottom"/>
          </w:tcPr>
          <w:p w:rsidR="00E10AAA" w:rsidRPr="00055A3B" w:rsidRDefault="00E10AAA" w:rsidP="006D5544">
            <w:pPr>
              <w:bidi w:val="0"/>
              <w:jc w:val="center"/>
              <w:rPr>
                <w:rFonts w:ascii="Simplified Arabic" w:hAnsi="Simplified Arabic" w:cs="Simplified Arabic"/>
                <w:color w:val="000000"/>
              </w:rPr>
            </w:pPr>
            <w:r>
              <w:rPr>
                <w:rFonts w:ascii="Simplified Arabic" w:hAnsi="Simplified Arabic" w:cs="Simplified Arabic" w:hint="cs"/>
                <w:color w:val="000000"/>
                <w:rtl/>
              </w:rPr>
              <w:t>510.7</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431.2</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118.4</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Hebron</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444.7</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595.9</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74.6</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Jerusalem</w:t>
            </w:r>
          </w:p>
        </w:tc>
        <w:tc>
          <w:tcPr>
            <w:tcW w:w="1052" w:type="dxa"/>
            <w:vAlign w:val="bottom"/>
          </w:tcPr>
          <w:p w:rsidR="00E10AAA" w:rsidRPr="00055A3B" w:rsidRDefault="00E10AAA" w:rsidP="006D5544">
            <w:pPr>
              <w:bidi w:val="0"/>
              <w:jc w:val="center"/>
              <w:rPr>
                <w:rFonts w:ascii="Simplified Arabic" w:hAnsi="Simplified Arabic" w:cs="Simplified Arabic"/>
                <w:color w:val="000000"/>
              </w:rPr>
            </w:pPr>
            <w:r>
              <w:rPr>
                <w:rFonts w:ascii="Simplified Arabic" w:hAnsi="Simplified Arabic" w:cs="Simplified Arabic" w:hint="cs"/>
                <w:color w:val="000000"/>
                <w:rtl/>
              </w:rPr>
              <w:t>458.9</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537.0</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85.5</w:t>
            </w:r>
          </w:p>
        </w:tc>
      </w:tr>
      <w:tr w:rsidR="00E10AAA" w:rsidRPr="004A3BF6" w:rsidTr="006D5544">
        <w:trPr>
          <w:trHeight w:hRule="exact" w:val="340"/>
          <w:jc w:val="center"/>
        </w:trPr>
        <w:tc>
          <w:tcPr>
            <w:tcW w:w="1697" w:type="dxa"/>
          </w:tcPr>
          <w:p w:rsidR="00E10AAA" w:rsidRPr="008A1B32" w:rsidRDefault="00E10AAA" w:rsidP="006D5544">
            <w:pPr>
              <w:bidi w:val="0"/>
              <w:rPr>
                <w:color w:val="000000"/>
              </w:rPr>
            </w:pPr>
            <w:r w:rsidRPr="008A1B32">
              <w:rPr>
                <w:color w:val="000000"/>
              </w:rPr>
              <w:t>Bethlehem</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425.6</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518.4</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82.1</w:t>
            </w:r>
          </w:p>
        </w:tc>
      </w:tr>
      <w:tr w:rsidR="00E10AAA" w:rsidRPr="004A3BF6" w:rsidTr="006D5544">
        <w:trPr>
          <w:trHeight w:hRule="exact" w:val="340"/>
          <w:jc w:val="center"/>
        </w:trPr>
        <w:tc>
          <w:tcPr>
            <w:tcW w:w="1697" w:type="dxa"/>
            <w:vAlign w:val="bottom"/>
          </w:tcPr>
          <w:p w:rsidR="00E10AAA" w:rsidRPr="008A1B32" w:rsidRDefault="00E10AAA" w:rsidP="006D5544">
            <w:pPr>
              <w:bidi w:val="0"/>
              <w:rPr>
                <w:color w:val="000000"/>
                <w:rtl/>
              </w:rPr>
            </w:pPr>
            <w:r w:rsidRPr="008A1B32">
              <w:rPr>
                <w:color w:val="000000"/>
              </w:rPr>
              <w:t>Jericho</w:t>
            </w:r>
          </w:p>
        </w:tc>
        <w:tc>
          <w:tcPr>
            <w:tcW w:w="1052" w:type="dxa"/>
            <w:vAlign w:val="bottom"/>
          </w:tcPr>
          <w:p w:rsidR="00E10AAA" w:rsidRPr="00055A3B" w:rsidRDefault="00E10AAA" w:rsidP="006D5544">
            <w:pPr>
              <w:bidi w:val="0"/>
              <w:jc w:val="center"/>
              <w:rPr>
                <w:rFonts w:ascii="Simplified Arabic" w:hAnsi="Simplified Arabic" w:cs="Simplified Arabic"/>
                <w:color w:val="000000"/>
                <w:rtl/>
              </w:rPr>
            </w:pPr>
            <w:r>
              <w:rPr>
                <w:rFonts w:ascii="Simplified Arabic" w:hAnsi="Simplified Arabic" w:cs="Simplified Arabic" w:hint="cs"/>
                <w:color w:val="000000"/>
                <w:rtl/>
              </w:rPr>
              <w:t>78.4</w:t>
            </w:r>
          </w:p>
        </w:tc>
        <w:tc>
          <w:tcPr>
            <w:tcW w:w="892" w:type="dxa"/>
            <w:vAlign w:val="bottom"/>
          </w:tcPr>
          <w:p w:rsidR="00E10AAA" w:rsidRPr="00431452" w:rsidRDefault="00E10AAA" w:rsidP="006D5544">
            <w:pPr>
              <w:bidi w:val="0"/>
              <w:jc w:val="center"/>
              <w:rPr>
                <w:rFonts w:ascii="Simplified Arabic" w:hAnsi="Simplified Arabic" w:cs="Simplified Arabic"/>
                <w:color w:val="000000"/>
              </w:rPr>
            </w:pPr>
            <w:r w:rsidRPr="00431452">
              <w:rPr>
                <w:rFonts w:ascii="Simplified Arabic" w:hAnsi="Simplified Arabic" w:cs="Simplified Arabic"/>
                <w:color w:val="000000"/>
              </w:rPr>
              <w:t>166.0</w:t>
            </w:r>
          </w:p>
        </w:tc>
        <w:tc>
          <w:tcPr>
            <w:tcW w:w="892" w:type="dxa"/>
            <w:vAlign w:val="bottom"/>
          </w:tcPr>
          <w:p w:rsidR="00E10AAA" w:rsidRPr="00C05D6E" w:rsidRDefault="00E10AAA" w:rsidP="006D5544">
            <w:pPr>
              <w:bidi w:val="0"/>
              <w:jc w:val="center"/>
              <w:rPr>
                <w:rFonts w:ascii="Simplified Arabic" w:hAnsi="Simplified Arabic" w:cs="Simplified Arabic"/>
                <w:color w:val="000000"/>
              </w:rPr>
            </w:pPr>
            <w:r w:rsidRPr="00C05D6E">
              <w:rPr>
                <w:rFonts w:ascii="Simplified Arabic" w:hAnsi="Simplified Arabic" w:cs="Simplified Arabic"/>
                <w:color w:val="000000"/>
              </w:rPr>
              <w:t>47.2</w:t>
            </w:r>
          </w:p>
        </w:tc>
      </w:tr>
    </w:tbl>
    <w:p w:rsidR="00E10AAA" w:rsidRPr="00CD0138" w:rsidRDefault="00E10AAA" w:rsidP="00E10AAA">
      <w:pPr>
        <w:bidi w:val="0"/>
        <w:spacing w:after="0" w:line="240" w:lineRule="auto"/>
        <w:rPr>
          <w:rFonts w:ascii="Times New Roman" w:eastAsia="Times New Roman" w:hAnsi="Times New Roman" w:cs="Times New Roman"/>
          <w:noProof w:val="0"/>
          <w:color w:val="0E101A"/>
          <w:sz w:val="10"/>
          <w:szCs w:val="10"/>
          <w:rtl/>
          <w:lang w:val="en-US"/>
        </w:rPr>
      </w:pPr>
    </w:p>
    <w:p w:rsidR="00927FE9" w:rsidRDefault="00927FE9" w:rsidP="00927FE9">
      <w:pPr>
        <w:bidi w:val="0"/>
        <w:spacing w:after="0" w:line="240" w:lineRule="auto"/>
        <w:rPr>
          <w:rFonts w:ascii="Times New Roman" w:eastAsia="Times New Roman" w:hAnsi="Times New Roman" w:cs="Times New Roman"/>
          <w:noProof w:val="0"/>
          <w:color w:val="0E101A"/>
          <w:sz w:val="24"/>
          <w:szCs w:val="24"/>
          <w:rtl/>
          <w:lang w:val="en-US"/>
        </w:rPr>
      </w:pPr>
    </w:p>
    <w:p w:rsidR="00927FE9" w:rsidRPr="00CD0138" w:rsidRDefault="00927FE9" w:rsidP="00927FE9">
      <w:pPr>
        <w:pStyle w:val="NormalWeb"/>
        <w:spacing w:before="0" w:beforeAutospacing="0" w:after="0" w:afterAutospacing="0"/>
        <w:rPr>
          <w:rStyle w:val="Strong"/>
          <w:color w:val="0E101A"/>
          <w:sz w:val="28"/>
          <w:szCs w:val="28"/>
          <w:rtl/>
        </w:rPr>
      </w:pPr>
      <w:r w:rsidRPr="00CD0138">
        <w:rPr>
          <w:rStyle w:val="Strong"/>
          <w:color w:val="0E101A"/>
          <w:sz w:val="28"/>
          <w:szCs w:val="28"/>
        </w:rPr>
        <w:t>The highest annual humidity was in Hebron, and the lowest was in Jericho</w:t>
      </w:r>
    </w:p>
    <w:p w:rsidR="00CD0138" w:rsidRPr="00CD0138" w:rsidRDefault="00CD0138" w:rsidP="00927FE9">
      <w:pPr>
        <w:pStyle w:val="NormalWeb"/>
        <w:spacing w:before="0" w:beforeAutospacing="0" w:after="0" w:afterAutospacing="0"/>
        <w:rPr>
          <w:color w:val="0E101A"/>
          <w:sz w:val="26"/>
          <w:szCs w:val="26"/>
        </w:rPr>
      </w:pPr>
    </w:p>
    <w:p w:rsidR="00927FE9" w:rsidRPr="00CD0138" w:rsidRDefault="00927FE9" w:rsidP="00CD0138">
      <w:pPr>
        <w:pStyle w:val="NormalWeb"/>
        <w:spacing w:before="0" w:beforeAutospacing="0" w:after="0" w:afterAutospacing="0"/>
        <w:jc w:val="both"/>
        <w:rPr>
          <w:color w:val="0E101A"/>
          <w:sz w:val="26"/>
          <w:szCs w:val="26"/>
        </w:rPr>
      </w:pPr>
      <w:r w:rsidRPr="00CD0138">
        <w:rPr>
          <w:color w:val="0E101A"/>
          <w:sz w:val="26"/>
          <w:szCs w:val="26"/>
        </w:rPr>
        <w:t>Data showed that in 2023, the relative humidity varied between 71% in Hebron Station and 44% in Jericho Station. It is important to note that high humidity levels do not necessarily indicate rainfall and could be in the form of other water phenomena such as fog, clouds touching the earth's surface, or dew formation.</w:t>
      </w:r>
    </w:p>
    <w:p w:rsidR="00E10AAA" w:rsidRDefault="00E10AAA" w:rsidP="00927FE9">
      <w:pPr>
        <w:pStyle w:val="NormalWeb"/>
        <w:spacing w:before="0" w:beforeAutospacing="0" w:after="0" w:afterAutospacing="0"/>
        <w:rPr>
          <w:color w:val="0E101A"/>
        </w:rPr>
      </w:pPr>
    </w:p>
    <w:p w:rsidR="00E10AAA" w:rsidRDefault="00E10AAA" w:rsidP="00E10AAA">
      <w:pPr>
        <w:pStyle w:val="BodyText2"/>
        <w:bidi w:val="0"/>
        <w:spacing w:after="0" w:line="240" w:lineRule="auto"/>
        <w:ind w:left="90" w:right="135" w:hanging="232"/>
        <w:jc w:val="center"/>
        <w:rPr>
          <w:b/>
          <w:bCs/>
          <w:color w:val="000000"/>
        </w:rPr>
      </w:pPr>
      <w:r w:rsidRPr="00F82412">
        <w:rPr>
          <w:b/>
          <w:bCs/>
          <w:color w:val="000000"/>
        </w:rPr>
        <w:t xml:space="preserve">Mean Relative Humidity (%) in </w:t>
      </w:r>
      <w:r>
        <w:rPr>
          <w:b/>
          <w:bCs/>
          <w:color w:val="000000"/>
        </w:rPr>
        <w:t>2023</w:t>
      </w:r>
      <w:r w:rsidRPr="00F82412">
        <w:rPr>
          <w:b/>
          <w:bCs/>
          <w:color w:val="000000"/>
        </w:rPr>
        <w:t xml:space="preserve"> and Mean</w:t>
      </w:r>
      <w:r>
        <w:rPr>
          <w:b/>
          <w:bCs/>
          <w:color w:val="000000"/>
        </w:rPr>
        <w:t xml:space="preserve"> </w:t>
      </w:r>
      <w:r w:rsidRPr="00F82412">
        <w:rPr>
          <w:b/>
          <w:bCs/>
          <w:color w:val="000000"/>
        </w:rPr>
        <w:t>Average in Some West Bank Stations</w:t>
      </w:r>
    </w:p>
    <w:tbl>
      <w:tblPr>
        <w:tblW w:w="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121"/>
        <w:gridCol w:w="998"/>
        <w:gridCol w:w="981"/>
      </w:tblGrid>
      <w:tr w:rsidR="00E10AAA" w:rsidRPr="00706AD8" w:rsidTr="006D5544">
        <w:trPr>
          <w:jc w:val="center"/>
        </w:trPr>
        <w:tc>
          <w:tcPr>
            <w:tcW w:w="1343" w:type="dxa"/>
            <w:vAlign w:val="center"/>
          </w:tcPr>
          <w:p w:rsidR="00E10AAA" w:rsidRPr="00706AD8" w:rsidRDefault="00E10AAA" w:rsidP="006D5544">
            <w:pPr>
              <w:autoSpaceDE w:val="0"/>
              <w:autoSpaceDN w:val="0"/>
              <w:bidi w:val="0"/>
              <w:adjustRightInd w:val="0"/>
              <w:jc w:val="center"/>
              <w:rPr>
                <w:rFonts w:eastAsia="Calibri"/>
                <w:b/>
                <w:bCs/>
                <w:color w:val="000000"/>
              </w:rPr>
            </w:pPr>
            <w:r w:rsidRPr="00706AD8">
              <w:rPr>
                <w:rFonts w:eastAsia="Calibri"/>
                <w:b/>
                <w:bCs/>
                <w:color w:val="000000"/>
              </w:rPr>
              <w:t>Station</w:t>
            </w:r>
          </w:p>
        </w:tc>
        <w:tc>
          <w:tcPr>
            <w:tcW w:w="1121" w:type="dxa"/>
            <w:vAlign w:val="center"/>
          </w:tcPr>
          <w:p w:rsidR="00E10AAA" w:rsidRPr="00706AD8" w:rsidRDefault="00E10AAA" w:rsidP="006D5544">
            <w:pPr>
              <w:autoSpaceDE w:val="0"/>
              <w:autoSpaceDN w:val="0"/>
              <w:bidi w:val="0"/>
              <w:adjustRightInd w:val="0"/>
              <w:jc w:val="center"/>
              <w:rPr>
                <w:rFonts w:eastAsia="Calibri"/>
                <w:b/>
                <w:bCs/>
                <w:color w:val="000000"/>
              </w:rPr>
            </w:pPr>
            <w:r w:rsidRPr="00706AD8">
              <w:rPr>
                <w:rFonts w:eastAsia="Calibri"/>
                <w:b/>
                <w:bCs/>
                <w:color w:val="000000"/>
              </w:rPr>
              <w:t xml:space="preserve">Relative Humidity (%), </w:t>
            </w:r>
            <w:r>
              <w:rPr>
                <w:rFonts w:eastAsia="Calibri"/>
                <w:b/>
                <w:bCs/>
                <w:color w:val="000000"/>
              </w:rPr>
              <w:t>2023</w:t>
            </w:r>
          </w:p>
        </w:tc>
        <w:tc>
          <w:tcPr>
            <w:tcW w:w="998" w:type="dxa"/>
            <w:vAlign w:val="center"/>
          </w:tcPr>
          <w:p w:rsidR="00E10AAA" w:rsidRPr="00706AD8" w:rsidRDefault="00E10AAA" w:rsidP="006D5544">
            <w:pPr>
              <w:autoSpaceDE w:val="0"/>
              <w:autoSpaceDN w:val="0"/>
              <w:bidi w:val="0"/>
              <w:adjustRightInd w:val="0"/>
              <w:jc w:val="center"/>
              <w:rPr>
                <w:rFonts w:eastAsia="Calibri"/>
                <w:b/>
                <w:bCs/>
                <w:color w:val="000000"/>
              </w:rPr>
            </w:pPr>
            <w:r w:rsidRPr="00706AD8">
              <w:rPr>
                <w:rFonts w:eastAsia="Calibri"/>
                <w:b/>
                <w:bCs/>
                <w:color w:val="000000"/>
              </w:rPr>
              <w:t>Mean Average</w:t>
            </w:r>
          </w:p>
          <w:p w:rsidR="00E10AAA" w:rsidRPr="00706AD8" w:rsidRDefault="00E10AAA" w:rsidP="006D5544">
            <w:pPr>
              <w:autoSpaceDE w:val="0"/>
              <w:autoSpaceDN w:val="0"/>
              <w:bidi w:val="0"/>
              <w:adjustRightInd w:val="0"/>
              <w:jc w:val="center"/>
              <w:rPr>
                <w:rFonts w:eastAsia="Calibri"/>
                <w:b/>
                <w:bCs/>
                <w:color w:val="000000"/>
              </w:rPr>
            </w:pPr>
            <w:r w:rsidRPr="00706AD8">
              <w:rPr>
                <w:rFonts w:eastAsia="Calibri"/>
                <w:b/>
                <w:bCs/>
                <w:color w:val="000000"/>
              </w:rPr>
              <w:t>%</w:t>
            </w:r>
          </w:p>
        </w:tc>
        <w:tc>
          <w:tcPr>
            <w:tcW w:w="981" w:type="dxa"/>
            <w:vAlign w:val="center"/>
          </w:tcPr>
          <w:p w:rsidR="00E10AAA" w:rsidRPr="00706AD8" w:rsidRDefault="00E10AAA" w:rsidP="006D5544">
            <w:pPr>
              <w:autoSpaceDE w:val="0"/>
              <w:autoSpaceDN w:val="0"/>
              <w:bidi w:val="0"/>
              <w:adjustRightInd w:val="0"/>
              <w:jc w:val="center"/>
              <w:rPr>
                <w:rFonts w:eastAsia="Calibri"/>
                <w:b/>
                <w:bCs/>
                <w:color w:val="000000"/>
              </w:rPr>
            </w:pPr>
            <w:r w:rsidRPr="00706AD8">
              <w:rPr>
                <w:b/>
                <w:bCs/>
                <w:color w:val="000000"/>
              </w:rPr>
              <w:t>% of Mean Average</w:t>
            </w:r>
          </w:p>
        </w:tc>
      </w:tr>
      <w:tr w:rsidR="00E10AAA" w:rsidRPr="00706AD8" w:rsidTr="006D5544">
        <w:trPr>
          <w:jc w:val="center"/>
        </w:trPr>
        <w:tc>
          <w:tcPr>
            <w:tcW w:w="1343" w:type="dxa"/>
          </w:tcPr>
          <w:p w:rsidR="00E10AAA" w:rsidRPr="007C5D12" w:rsidRDefault="00E10AAA" w:rsidP="006D5544">
            <w:pPr>
              <w:autoSpaceDE w:val="0"/>
              <w:autoSpaceDN w:val="0"/>
              <w:adjustRightInd w:val="0"/>
              <w:jc w:val="right"/>
              <w:rPr>
                <w:rFonts w:ascii="Simplified Arabic" w:hAnsi="Simplified Arabic" w:cs="Simplified Arabic"/>
                <w:color w:val="000000"/>
                <w:rtl/>
              </w:rPr>
            </w:pPr>
            <w:r w:rsidRPr="00706AD8">
              <w:rPr>
                <w:color w:val="000000"/>
              </w:rPr>
              <w:t>Hebron</w:t>
            </w:r>
          </w:p>
        </w:tc>
        <w:tc>
          <w:tcPr>
            <w:tcW w:w="1121" w:type="dxa"/>
            <w:vAlign w:val="center"/>
          </w:tcPr>
          <w:p w:rsidR="00E10AAA" w:rsidRPr="00D51C9F" w:rsidRDefault="00E10AAA" w:rsidP="006D5544">
            <w:pPr>
              <w:jc w:val="center"/>
              <w:rPr>
                <w:rFonts w:ascii="Simplified Arabic" w:hAnsi="Simplified Arabic" w:cs="Simplified Arabic"/>
                <w:color w:val="000000"/>
              </w:rPr>
            </w:pPr>
            <w:r w:rsidRPr="00651461">
              <w:rPr>
                <w:rFonts w:ascii="Simplified Arabic" w:hAnsi="Simplified Arabic" w:cs="Simplified Arabic"/>
                <w:color w:val="000000"/>
              </w:rPr>
              <w:t>71</w:t>
            </w:r>
          </w:p>
        </w:tc>
        <w:tc>
          <w:tcPr>
            <w:tcW w:w="998" w:type="dxa"/>
            <w:vAlign w:val="center"/>
          </w:tcPr>
          <w:p w:rsidR="00E10AAA" w:rsidRPr="00D51C9F" w:rsidRDefault="00E10AAA" w:rsidP="006D5544">
            <w:pPr>
              <w:jc w:val="center"/>
              <w:rPr>
                <w:rFonts w:ascii="Simplified Arabic" w:hAnsi="Simplified Arabic" w:cs="Simplified Arabic"/>
                <w:color w:val="000000"/>
              </w:rPr>
            </w:pPr>
            <w:r w:rsidRPr="00D51C9F">
              <w:rPr>
                <w:rFonts w:ascii="Simplified Arabic" w:hAnsi="Simplified Arabic" w:cs="Simplified Arabic" w:hint="cs"/>
                <w:color w:val="000000"/>
                <w:rtl/>
              </w:rPr>
              <w:t>62</w:t>
            </w:r>
          </w:p>
        </w:tc>
        <w:tc>
          <w:tcPr>
            <w:tcW w:w="981" w:type="dxa"/>
            <w:vAlign w:val="bottom"/>
          </w:tcPr>
          <w:p w:rsidR="00E10AAA" w:rsidRPr="00EF10CA" w:rsidRDefault="00E10AAA" w:rsidP="006D5544">
            <w:pPr>
              <w:jc w:val="center"/>
              <w:rPr>
                <w:rFonts w:ascii="Simplified Arabic" w:hAnsi="Simplified Arabic" w:cs="Simplified Arabic"/>
                <w:color w:val="000000"/>
              </w:rPr>
            </w:pPr>
            <w:r w:rsidRPr="00EF10CA">
              <w:rPr>
                <w:rFonts w:ascii="Simplified Arabic" w:hAnsi="Simplified Arabic" w:cs="Simplified Arabic"/>
                <w:color w:val="000000"/>
              </w:rPr>
              <w:t>114.5</w:t>
            </w:r>
          </w:p>
        </w:tc>
      </w:tr>
      <w:tr w:rsidR="00E10AAA" w:rsidRPr="00706AD8" w:rsidTr="006D5544">
        <w:trPr>
          <w:jc w:val="center"/>
        </w:trPr>
        <w:tc>
          <w:tcPr>
            <w:tcW w:w="1343" w:type="dxa"/>
          </w:tcPr>
          <w:p w:rsidR="00E10AAA" w:rsidRDefault="00E10AAA" w:rsidP="006D5544">
            <w:pPr>
              <w:autoSpaceDE w:val="0"/>
              <w:autoSpaceDN w:val="0"/>
              <w:adjustRightInd w:val="0"/>
              <w:jc w:val="right"/>
              <w:rPr>
                <w:rFonts w:ascii="Simplified Arabic" w:hAnsi="Simplified Arabic" w:cs="Simplified Arabic"/>
                <w:color w:val="000000"/>
              </w:rPr>
            </w:pPr>
            <w:r w:rsidRPr="00706AD8">
              <w:rPr>
                <w:color w:val="000000"/>
              </w:rPr>
              <w:t>Nablus</w:t>
            </w:r>
          </w:p>
        </w:tc>
        <w:tc>
          <w:tcPr>
            <w:tcW w:w="1121" w:type="dxa"/>
            <w:vAlign w:val="center"/>
          </w:tcPr>
          <w:p w:rsidR="00E10AAA" w:rsidRPr="00D51C9F" w:rsidRDefault="00E10AAA" w:rsidP="006D5544">
            <w:pPr>
              <w:jc w:val="center"/>
              <w:rPr>
                <w:rFonts w:ascii="Simplified Arabic" w:hAnsi="Simplified Arabic" w:cs="Simplified Arabic"/>
                <w:color w:val="000000"/>
              </w:rPr>
            </w:pPr>
            <w:r w:rsidRPr="00651461">
              <w:rPr>
                <w:rFonts w:ascii="Simplified Arabic" w:hAnsi="Simplified Arabic" w:cs="Simplified Arabic"/>
                <w:color w:val="000000"/>
              </w:rPr>
              <w:t>68</w:t>
            </w:r>
          </w:p>
        </w:tc>
        <w:tc>
          <w:tcPr>
            <w:tcW w:w="998" w:type="dxa"/>
            <w:vAlign w:val="center"/>
          </w:tcPr>
          <w:p w:rsidR="00E10AAA" w:rsidRPr="00D51C9F" w:rsidRDefault="00E10AAA" w:rsidP="006D5544">
            <w:pPr>
              <w:jc w:val="center"/>
              <w:rPr>
                <w:rFonts w:ascii="Simplified Arabic" w:hAnsi="Simplified Arabic" w:cs="Simplified Arabic"/>
                <w:color w:val="000000"/>
              </w:rPr>
            </w:pPr>
            <w:r w:rsidRPr="00D51C9F">
              <w:rPr>
                <w:rFonts w:ascii="Simplified Arabic" w:hAnsi="Simplified Arabic" w:cs="Simplified Arabic" w:hint="cs"/>
                <w:color w:val="000000"/>
                <w:rtl/>
              </w:rPr>
              <w:t>61</w:t>
            </w:r>
          </w:p>
        </w:tc>
        <w:tc>
          <w:tcPr>
            <w:tcW w:w="981" w:type="dxa"/>
            <w:vAlign w:val="bottom"/>
          </w:tcPr>
          <w:p w:rsidR="00E10AAA" w:rsidRPr="00EF10CA" w:rsidRDefault="00E10AAA" w:rsidP="006D5544">
            <w:pPr>
              <w:jc w:val="center"/>
              <w:rPr>
                <w:rFonts w:ascii="Simplified Arabic" w:hAnsi="Simplified Arabic" w:cs="Simplified Arabic"/>
                <w:color w:val="000000"/>
              </w:rPr>
            </w:pPr>
            <w:r w:rsidRPr="00EF10CA">
              <w:rPr>
                <w:rFonts w:ascii="Simplified Arabic" w:hAnsi="Simplified Arabic" w:cs="Simplified Arabic"/>
                <w:color w:val="000000"/>
              </w:rPr>
              <w:t>111.5</w:t>
            </w:r>
          </w:p>
        </w:tc>
      </w:tr>
      <w:tr w:rsidR="00E10AAA" w:rsidRPr="00706AD8" w:rsidTr="006D5544">
        <w:trPr>
          <w:jc w:val="center"/>
        </w:trPr>
        <w:tc>
          <w:tcPr>
            <w:tcW w:w="1343" w:type="dxa"/>
          </w:tcPr>
          <w:p w:rsidR="00E10AAA" w:rsidRPr="007C5D12" w:rsidRDefault="00E10AAA" w:rsidP="006D5544">
            <w:pPr>
              <w:autoSpaceDE w:val="0"/>
              <w:autoSpaceDN w:val="0"/>
              <w:adjustRightInd w:val="0"/>
              <w:jc w:val="right"/>
              <w:rPr>
                <w:rFonts w:ascii="Simplified Arabic" w:hAnsi="Simplified Arabic" w:cs="Simplified Arabic"/>
                <w:color w:val="000000"/>
              </w:rPr>
            </w:pPr>
            <w:r w:rsidRPr="00147F53">
              <w:rPr>
                <w:color w:val="000000"/>
              </w:rPr>
              <w:t>Ramallah and</w:t>
            </w:r>
            <w:r>
              <w:rPr>
                <w:color w:val="000000"/>
              </w:rPr>
              <w:t xml:space="preserve"> </w:t>
            </w:r>
            <w:r w:rsidRPr="00147F53">
              <w:rPr>
                <w:color w:val="000000"/>
              </w:rPr>
              <w:t xml:space="preserve"> Al-Bireh</w:t>
            </w:r>
          </w:p>
        </w:tc>
        <w:tc>
          <w:tcPr>
            <w:tcW w:w="1121" w:type="dxa"/>
            <w:vAlign w:val="center"/>
          </w:tcPr>
          <w:p w:rsidR="00E10AAA" w:rsidRDefault="00E10AAA" w:rsidP="006D5544">
            <w:pPr>
              <w:jc w:val="center"/>
              <w:rPr>
                <w:rFonts w:ascii="Simplified Arabic" w:hAnsi="Simplified Arabic" w:cs="Simplified Arabic"/>
                <w:color w:val="000000"/>
                <w:rtl/>
              </w:rPr>
            </w:pPr>
            <w:r w:rsidRPr="00651461">
              <w:rPr>
                <w:rFonts w:ascii="Simplified Arabic" w:hAnsi="Simplified Arabic" w:cs="Simplified Arabic"/>
                <w:color w:val="000000"/>
              </w:rPr>
              <w:t>64</w:t>
            </w:r>
          </w:p>
        </w:tc>
        <w:tc>
          <w:tcPr>
            <w:tcW w:w="998" w:type="dxa"/>
            <w:vAlign w:val="center"/>
          </w:tcPr>
          <w:p w:rsidR="00E10AAA" w:rsidRPr="00D51C9F" w:rsidRDefault="00E10AAA" w:rsidP="006D5544">
            <w:pPr>
              <w:jc w:val="center"/>
              <w:rPr>
                <w:rFonts w:ascii="Simplified Arabic" w:hAnsi="Simplified Arabic" w:cs="Simplified Arabic"/>
                <w:color w:val="000000"/>
                <w:rtl/>
              </w:rPr>
            </w:pPr>
            <w:r>
              <w:rPr>
                <w:rFonts w:ascii="Simplified Arabic" w:hAnsi="Simplified Arabic" w:cs="Simplified Arabic" w:hint="cs"/>
                <w:color w:val="000000"/>
                <w:rtl/>
              </w:rPr>
              <w:t>75</w:t>
            </w:r>
          </w:p>
        </w:tc>
        <w:tc>
          <w:tcPr>
            <w:tcW w:w="981" w:type="dxa"/>
            <w:vAlign w:val="bottom"/>
          </w:tcPr>
          <w:p w:rsidR="00E10AAA" w:rsidRPr="00EF10CA" w:rsidRDefault="00E10AAA" w:rsidP="006D5544">
            <w:pPr>
              <w:spacing w:line="360" w:lineRule="auto"/>
              <w:jc w:val="center"/>
              <w:rPr>
                <w:rFonts w:ascii="Simplified Arabic" w:hAnsi="Simplified Arabic" w:cs="Simplified Arabic"/>
                <w:color w:val="000000"/>
              </w:rPr>
            </w:pPr>
            <w:r w:rsidRPr="00EF10CA">
              <w:rPr>
                <w:rFonts w:ascii="Simplified Arabic" w:hAnsi="Simplified Arabic" w:cs="Simplified Arabic"/>
                <w:color w:val="000000"/>
              </w:rPr>
              <w:t>85.3</w:t>
            </w:r>
          </w:p>
        </w:tc>
      </w:tr>
      <w:tr w:rsidR="00E10AAA" w:rsidRPr="00706AD8" w:rsidTr="006D5544">
        <w:trPr>
          <w:jc w:val="center"/>
        </w:trPr>
        <w:tc>
          <w:tcPr>
            <w:tcW w:w="1343" w:type="dxa"/>
          </w:tcPr>
          <w:p w:rsidR="00E10AAA" w:rsidRPr="007C5D12" w:rsidRDefault="00E10AAA" w:rsidP="006D5544">
            <w:pPr>
              <w:autoSpaceDE w:val="0"/>
              <w:autoSpaceDN w:val="0"/>
              <w:adjustRightInd w:val="0"/>
              <w:jc w:val="right"/>
              <w:rPr>
                <w:rFonts w:ascii="Simplified Arabic" w:hAnsi="Simplified Arabic" w:cs="Simplified Arabic"/>
                <w:color w:val="000000"/>
              </w:rPr>
            </w:pPr>
            <w:r w:rsidRPr="00706AD8">
              <w:rPr>
                <w:color w:val="000000"/>
              </w:rPr>
              <w:t>Jenin</w:t>
            </w:r>
          </w:p>
        </w:tc>
        <w:tc>
          <w:tcPr>
            <w:tcW w:w="1121" w:type="dxa"/>
            <w:vAlign w:val="center"/>
          </w:tcPr>
          <w:p w:rsidR="00E10AAA" w:rsidRPr="00D51C9F" w:rsidRDefault="00E10AAA" w:rsidP="006D5544">
            <w:pPr>
              <w:jc w:val="center"/>
              <w:rPr>
                <w:rFonts w:ascii="Simplified Arabic" w:hAnsi="Simplified Arabic" w:cs="Simplified Arabic"/>
                <w:color w:val="000000"/>
              </w:rPr>
            </w:pPr>
            <w:r w:rsidRPr="00651461">
              <w:rPr>
                <w:rFonts w:ascii="Simplified Arabic" w:hAnsi="Simplified Arabic" w:cs="Simplified Arabic" w:hint="cs"/>
                <w:color w:val="000000"/>
                <w:rtl/>
              </w:rPr>
              <w:t>64</w:t>
            </w:r>
          </w:p>
        </w:tc>
        <w:tc>
          <w:tcPr>
            <w:tcW w:w="998" w:type="dxa"/>
            <w:vAlign w:val="center"/>
          </w:tcPr>
          <w:p w:rsidR="00E10AAA" w:rsidRPr="00D51C9F" w:rsidRDefault="00E10AAA" w:rsidP="006D5544">
            <w:pPr>
              <w:jc w:val="center"/>
              <w:rPr>
                <w:rFonts w:ascii="Simplified Arabic" w:hAnsi="Simplified Arabic" w:cs="Simplified Arabic"/>
                <w:color w:val="000000"/>
              </w:rPr>
            </w:pPr>
            <w:r w:rsidRPr="00D51C9F">
              <w:rPr>
                <w:rFonts w:ascii="Simplified Arabic" w:hAnsi="Simplified Arabic" w:cs="Simplified Arabic" w:hint="cs"/>
                <w:color w:val="000000"/>
                <w:rtl/>
              </w:rPr>
              <w:t>69</w:t>
            </w:r>
          </w:p>
        </w:tc>
        <w:tc>
          <w:tcPr>
            <w:tcW w:w="981" w:type="dxa"/>
            <w:vAlign w:val="bottom"/>
          </w:tcPr>
          <w:p w:rsidR="00E10AAA" w:rsidRPr="00EF10CA" w:rsidRDefault="00E10AAA" w:rsidP="006D5544">
            <w:pPr>
              <w:jc w:val="center"/>
              <w:rPr>
                <w:rFonts w:ascii="Simplified Arabic" w:hAnsi="Simplified Arabic" w:cs="Simplified Arabic"/>
                <w:color w:val="000000"/>
              </w:rPr>
            </w:pPr>
            <w:r w:rsidRPr="00EF10CA">
              <w:rPr>
                <w:rFonts w:ascii="Simplified Arabic" w:hAnsi="Simplified Arabic" w:cs="Simplified Arabic"/>
                <w:color w:val="000000"/>
              </w:rPr>
              <w:t>92.8</w:t>
            </w:r>
          </w:p>
        </w:tc>
      </w:tr>
      <w:tr w:rsidR="00E10AAA" w:rsidRPr="00706AD8" w:rsidTr="006D5544">
        <w:trPr>
          <w:jc w:val="center"/>
        </w:trPr>
        <w:tc>
          <w:tcPr>
            <w:tcW w:w="1343" w:type="dxa"/>
          </w:tcPr>
          <w:p w:rsidR="00E10AAA" w:rsidRPr="007C5D12" w:rsidRDefault="00E10AAA" w:rsidP="006D5544">
            <w:pPr>
              <w:autoSpaceDE w:val="0"/>
              <w:autoSpaceDN w:val="0"/>
              <w:adjustRightInd w:val="0"/>
              <w:jc w:val="right"/>
              <w:rPr>
                <w:rFonts w:ascii="Simplified Arabic" w:hAnsi="Simplified Arabic" w:cs="Simplified Arabic"/>
                <w:color w:val="000000"/>
              </w:rPr>
            </w:pPr>
            <w:r w:rsidRPr="00706AD8">
              <w:rPr>
                <w:color w:val="000000"/>
              </w:rPr>
              <w:t>Jericho</w:t>
            </w:r>
          </w:p>
        </w:tc>
        <w:tc>
          <w:tcPr>
            <w:tcW w:w="1121" w:type="dxa"/>
            <w:vAlign w:val="center"/>
          </w:tcPr>
          <w:p w:rsidR="00E10AAA" w:rsidRPr="00D51C9F" w:rsidRDefault="00E10AAA" w:rsidP="006D5544">
            <w:pPr>
              <w:jc w:val="center"/>
              <w:rPr>
                <w:rFonts w:ascii="Simplified Arabic" w:hAnsi="Simplified Arabic" w:cs="Simplified Arabic"/>
                <w:color w:val="000000"/>
              </w:rPr>
            </w:pPr>
            <w:r w:rsidRPr="00651461">
              <w:rPr>
                <w:rFonts w:ascii="Simplified Arabic" w:hAnsi="Simplified Arabic" w:cs="Simplified Arabic"/>
                <w:color w:val="000000"/>
              </w:rPr>
              <w:t>44</w:t>
            </w:r>
          </w:p>
        </w:tc>
        <w:tc>
          <w:tcPr>
            <w:tcW w:w="998" w:type="dxa"/>
            <w:vAlign w:val="center"/>
          </w:tcPr>
          <w:p w:rsidR="00E10AAA" w:rsidRPr="00D51C9F" w:rsidRDefault="00E10AAA" w:rsidP="006D5544">
            <w:pPr>
              <w:jc w:val="center"/>
              <w:rPr>
                <w:rFonts w:ascii="Simplified Arabic" w:hAnsi="Simplified Arabic" w:cs="Simplified Arabic"/>
                <w:color w:val="000000"/>
              </w:rPr>
            </w:pPr>
            <w:r w:rsidRPr="00D51C9F">
              <w:rPr>
                <w:rFonts w:ascii="Simplified Arabic" w:hAnsi="Simplified Arabic" w:cs="Simplified Arabic" w:hint="cs"/>
                <w:color w:val="000000"/>
                <w:rtl/>
              </w:rPr>
              <w:t>52</w:t>
            </w:r>
          </w:p>
        </w:tc>
        <w:tc>
          <w:tcPr>
            <w:tcW w:w="981" w:type="dxa"/>
            <w:vAlign w:val="bottom"/>
          </w:tcPr>
          <w:p w:rsidR="00E10AAA" w:rsidRPr="00EF10CA" w:rsidRDefault="00E10AAA" w:rsidP="006D5544">
            <w:pPr>
              <w:jc w:val="center"/>
              <w:rPr>
                <w:rFonts w:ascii="Simplified Arabic" w:hAnsi="Simplified Arabic" w:cs="Simplified Arabic"/>
                <w:color w:val="000000"/>
              </w:rPr>
            </w:pPr>
            <w:r w:rsidRPr="00EF10CA">
              <w:rPr>
                <w:rFonts w:ascii="Simplified Arabic" w:hAnsi="Simplified Arabic" w:cs="Simplified Arabic"/>
                <w:color w:val="000000"/>
              </w:rPr>
              <w:t>84.6</w:t>
            </w:r>
          </w:p>
        </w:tc>
      </w:tr>
    </w:tbl>
    <w:p w:rsidR="00927FE9" w:rsidRPr="00CD0138" w:rsidRDefault="00927FE9" w:rsidP="00927FE9">
      <w:pPr>
        <w:bidi w:val="0"/>
        <w:spacing w:after="0" w:line="240" w:lineRule="auto"/>
        <w:rPr>
          <w:rFonts w:ascii="Times New Roman" w:eastAsia="Times New Roman" w:hAnsi="Times New Roman" w:cs="Times New Roman"/>
          <w:noProof w:val="0"/>
          <w:color w:val="0E101A"/>
          <w:sz w:val="28"/>
          <w:szCs w:val="28"/>
          <w:lang w:val="en-US"/>
        </w:rPr>
      </w:pPr>
      <w:r w:rsidRPr="00CD0138">
        <w:rPr>
          <w:rFonts w:ascii="Times New Roman" w:eastAsia="Times New Roman" w:hAnsi="Times New Roman" w:cs="Times New Roman"/>
          <w:b/>
          <w:bCs/>
          <w:noProof w:val="0"/>
          <w:color w:val="0E101A"/>
          <w:sz w:val="28"/>
          <w:szCs w:val="28"/>
          <w:lang w:val="en-US"/>
        </w:rPr>
        <w:lastRenderedPageBreak/>
        <w:t>Total evaporation was higher than the mean average in 2023</w:t>
      </w:r>
      <w:r w:rsidRPr="00CD0138">
        <w:rPr>
          <w:rFonts w:ascii="Times New Roman" w:eastAsia="Times New Roman" w:hAnsi="Times New Roman" w:cs="Times New Roman"/>
          <w:noProof w:val="0"/>
          <w:color w:val="0E101A"/>
          <w:sz w:val="28"/>
          <w:szCs w:val="28"/>
          <w:lang w:val="en-US"/>
        </w:rPr>
        <w:t>    </w:t>
      </w: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Data showed that the total evaporation in the West Bank station during 2023 was higher than the mean average. The majority of the stations recorded an increase in evaporation, with the highest amount of 2,701 mm observed in the Jericho Station and the lowest amount of 1,716 mm observed in the Nablus Station.</w:t>
      </w:r>
      <w:r w:rsidR="00E10AAA" w:rsidRPr="00CD0138">
        <w:rPr>
          <w:rFonts w:ascii="Times New Roman" w:eastAsia="Times New Roman" w:hAnsi="Times New Roman" w:cs="Times New Roman"/>
          <w:noProof w:val="0"/>
          <w:color w:val="0E101A"/>
          <w:sz w:val="26"/>
          <w:szCs w:val="26"/>
          <w:lang w:val="en-US"/>
        </w:rPr>
        <w:t xml:space="preserve"> </w:t>
      </w:r>
      <w:r w:rsidRPr="00CD0138">
        <w:rPr>
          <w:rFonts w:ascii="Times New Roman" w:eastAsia="Times New Roman" w:hAnsi="Times New Roman" w:cs="Times New Roman"/>
          <w:noProof w:val="0"/>
          <w:color w:val="0E101A"/>
          <w:sz w:val="26"/>
          <w:szCs w:val="26"/>
          <w:lang w:val="en-US"/>
        </w:rPr>
        <w:t>It is worth noting that the amount of evaporation is influenced by high temperatures and wind activity in the region.</w:t>
      </w:r>
    </w:p>
    <w:p w:rsidR="00E10AAA" w:rsidRDefault="00E10AAA" w:rsidP="00E10AAA">
      <w:pPr>
        <w:bidi w:val="0"/>
        <w:spacing w:after="0" w:line="240" w:lineRule="auto"/>
        <w:rPr>
          <w:rFonts w:ascii="Times New Roman" w:eastAsia="Times New Roman" w:hAnsi="Times New Roman" w:cs="Times New Roman"/>
          <w:noProof w:val="0"/>
          <w:color w:val="0E101A"/>
          <w:sz w:val="24"/>
          <w:szCs w:val="24"/>
          <w:lang w:val="en-US"/>
        </w:rPr>
      </w:pPr>
    </w:p>
    <w:p w:rsidR="00E10AAA" w:rsidRPr="00DE38DA" w:rsidRDefault="00E10AAA" w:rsidP="00E10AAA">
      <w:pPr>
        <w:pStyle w:val="BodyText2"/>
        <w:bidi w:val="0"/>
        <w:spacing w:line="240" w:lineRule="auto"/>
        <w:ind w:right="45"/>
        <w:jc w:val="center"/>
        <w:rPr>
          <w:color w:val="000000"/>
          <w:rtl/>
        </w:rPr>
      </w:pPr>
      <w:r>
        <w:rPr>
          <w:b/>
          <w:bCs/>
          <w:color w:val="000000"/>
        </w:rPr>
        <w:t xml:space="preserve">Total </w:t>
      </w:r>
      <w:r w:rsidRPr="00DE38DA">
        <w:rPr>
          <w:b/>
          <w:bCs/>
          <w:color w:val="000000"/>
        </w:rPr>
        <w:t xml:space="preserve">Evaporation in </w:t>
      </w:r>
      <w:r>
        <w:rPr>
          <w:b/>
          <w:bCs/>
          <w:color w:val="000000"/>
        </w:rPr>
        <w:t>2023</w:t>
      </w:r>
      <w:r w:rsidRPr="00DE38DA">
        <w:rPr>
          <w:b/>
          <w:bCs/>
          <w:color w:val="000000"/>
        </w:rPr>
        <w:t xml:space="preserve"> and Mean</w:t>
      </w:r>
      <w:r>
        <w:rPr>
          <w:b/>
          <w:bCs/>
          <w:color w:val="000000"/>
        </w:rPr>
        <w:t xml:space="preserve"> Average of Evaporation </w:t>
      </w:r>
      <w:r w:rsidRPr="00DE38DA">
        <w:rPr>
          <w:b/>
          <w:bCs/>
          <w:color w:val="000000"/>
        </w:rPr>
        <w:t>in Some West Bank Stations</w:t>
      </w:r>
    </w:p>
    <w:tbl>
      <w:tblPr>
        <w:tblW w:w="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371"/>
        <w:gridCol w:w="1012"/>
        <w:gridCol w:w="1012"/>
      </w:tblGrid>
      <w:tr w:rsidR="00E10AAA" w:rsidRPr="00706AD8" w:rsidTr="00CD0138">
        <w:trPr>
          <w:trHeight w:val="263"/>
          <w:jc w:val="center"/>
        </w:trPr>
        <w:tc>
          <w:tcPr>
            <w:tcW w:w="2370" w:type="dxa"/>
          </w:tcPr>
          <w:p w:rsidR="00E10AAA" w:rsidRPr="00706AD8" w:rsidRDefault="00E10AAA" w:rsidP="006D5544">
            <w:pPr>
              <w:autoSpaceDE w:val="0"/>
              <w:autoSpaceDN w:val="0"/>
              <w:bidi w:val="0"/>
              <w:adjustRightInd w:val="0"/>
              <w:ind w:right="45"/>
              <w:jc w:val="center"/>
              <w:rPr>
                <w:rFonts w:eastAsia="Calibri"/>
                <w:b/>
                <w:bCs/>
                <w:color w:val="000000"/>
              </w:rPr>
            </w:pPr>
          </w:p>
          <w:p w:rsidR="00E10AAA" w:rsidRPr="00706AD8" w:rsidRDefault="00E10AAA" w:rsidP="006D5544">
            <w:pPr>
              <w:autoSpaceDE w:val="0"/>
              <w:autoSpaceDN w:val="0"/>
              <w:bidi w:val="0"/>
              <w:adjustRightInd w:val="0"/>
              <w:ind w:right="45"/>
              <w:rPr>
                <w:rFonts w:eastAsia="Calibri"/>
                <w:b/>
                <w:bCs/>
                <w:color w:val="000000"/>
              </w:rPr>
            </w:pPr>
            <w:r w:rsidRPr="00706AD8">
              <w:rPr>
                <w:rFonts w:eastAsia="Calibri"/>
                <w:b/>
                <w:bCs/>
                <w:color w:val="000000"/>
              </w:rPr>
              <w:t>Station</w:t>
            </w:r>
          </w:p>
        </w:tc>
        <w:tc>
          <w:tcPr>
            <w:tcW w:w="1371" w:type="dxa"/>
          </w:tcPr>
          <w:p w:rsidR="00E10AAA" w:rsidRPr="00706AD8" w:rsidRDefault="00E10AAA" w:rsidP="006D5544">
            <w:pPr>
              <w:autoSpaceDE w:val="0"/>
              <w:autoSpaceDN w:val="0"/>
              <w:bidi w:val="0"/>
              <w:adjustRightInd w:val="0"/>
              <w:ind w:right="45"/>
              <w:jc w:val="center"/>
              <w:rPr>
                <w:rFonts w:eastAsia="Calibri"/>
                <w:b/>
                <w:bCs/>
                <w:color w:val="000000"/>
                <w:rtl/>
              </w:rPr>
            </w:pPr>
            <w:r>
              <w:rPr>
                <w:rFonts w:eastAsia="Calibri"/>
                <w:b/>
                <w:bCs/>
                <w:color w:val="000000"/>
              </w:rPr>
              <w:t xml:space="preserve">Total </w:t>
            </w:r>
            <w:r w:rsidRPr="00706AD8">
              <w:rPr>
                <w:rFonts w:eastAsia="Calibri"/>
                <w:b/>
                <w:bCs/>
                <w:color w:val="000000"/>
              </w:rPr>
              <w:t xml:space="preserve">Evaporation (mm), </w:t>
            </w:r>
            <w:r>
              <w:rPr>
                <w:rFonts w:eastAsia="Calibri"/>
                <w:b/>
                <w:bCs/>
                <w:color w:val="000000"/>
              </w:rPr>
              <w:t>2023</w:t>
            </w:r>
          </w:p>
        </w:tc>
        <w:tc>
          <w:tcPr>
            <w:tcW w:w="1012" w:type="dxa"/>
          </w:tcPr>
          <w:p w:rsidR="00E10AAA" w:rsidRPr="00706AD8" w:rsidRDefault="00E10AAA" w:rsidP="006D5544">
            <w:pPr>
              <w:autoSpaceDE w:val="0"/>
              <w:autoSpaceDN w:val="0"/>
              <w:bidi w:val="0"/>
              <w:adjustRightInd w:val="0"/>
              <w:ind w:right="45"/>
              <w:jc w:val="center"/>
              <w:rPr>
                <w:rFonts w:eastAsia="Calibri"/>
                <w:b/>
                <w:bCs/>
                <w:color w:val="000000"/>
                <w:rtl/>
              </w:rPr>
            </w:pPr>
            <w:r w:rsidRPr="00706AD8">
              <w:rPr>
                <w:rFonts w:eastAsia="Calibri"/>
                <w:b/>
                <w:bCs/>
                <w:color w:val="000000"/>
              </w:rPr>
              <w:t>Mean Average</w:t>
            </w:r>
          </w:p>
          <w:p w:rsidR="00E10AAA" w:rsidRPr="00706AD8" w:rsidRDefault="00E10AAA" w:rsidP="006D5544">
            <w:pPr>
              <w:autoSpaceDE w:val="0"/>
              <w:autoSpaceDN w:val="0"/>
              <w:bidi w:val="0"/>
              <w:adjustRightInd w:val="0"/>
              <w:ind w:right="45"/>
              <w:jc w:val="center"/>
              <w:rPr>
                <w:rFonts w:eastAsia="Calibri"/>
                <w:b/>
                <w:bCs/>
                <w:color w:val="000000"/>
              </w:rPr>
            </w:pPr>
            <w:r w:rsidRPr="00706AD8">
              <w:rPr>
                <w:rFonts w:eastAsia="Calibri"/>
                <w:b/>
                <w:bCs/>
                <w:color w:val="000000"/>
              </w:rPr>
              <w:t>(mm)</w:t>
            </w:r>
          </w:p>
        </w:tc>
        <w:tc>
          <w:tcPr>
            <w:tcW w:w="1012" w:type="dxa"/>
          </w:tcPr>
          <w:p w:rsidR="00E10AAA" w:rsidRPr="00706AD8" w:rsidRDefault="00E10AAA" w:rsidP="006D5544">
            <w:pPr>
              <w:autoSpaceDE w:val="0"/>
              <w:autoSpaceDN w:val="0"/>
              <w:bidi w:val="0"/>
              <w:adjustRightInd w:val="0"/>
              <w:ind w:right="45"/>
              <w:jc w:val="center"/>
              <w:rPr>
                <w:rFonts w:eastAsia="Calibri"/>
                <w:b/>
                <w:bCs/>
                <w:color w:val="000000"/>
              </w:rPr>
            </w:pPr>
            <w:r w:rsidRPr="00706AD8">
              <w:rPr>
                <w:b/>
                <w:bCs/>
                <w:color w:val="000000"/>
              </w:rPr>
              <w:t>% of Mean Average</w:t>
            </w:r>
          </w:p>
        </w:tc>
      </w:tr>
      <w:tr w:rsidR="00E10AAA" w:rsidRPr="00706AD8" w:rsidTr="00CD0138">
        <w:trPr>
          <w:trHeight w:val="145"/>
          <w:jc w:val="center"/>
        </w:trPr>
        <w:tc>
          <w:tcPr>
            <w:tcW w:w="2370" w:type="dxa"/>
          </w:tcPr>
          <w:p w:rsidR="00E10AAA" w:rsidRPr="00706AD8" w:rsidRDefault="00E10AAA" w:rsidP="006D5544">
            <w:pPr>
              <w:autoSpaceDE w:val="0"/>
              <w:autoSpaceDN w:val="0"/>
              <w:bidi w:val="0"/>
              <w:adjustRightInd w:val="0"/>
              <w:ind w:right="45"/>
              <w:jc w:val="lowKashida"/>
              <w:rPr>
                <w:color w:val="000000"/>
                <w:rtl/>
              </w:rPr>
            </w:pPr>
            <w:r w:rsidRPr="00706AD8">
              <w:rPr>
                <w:color w:val="000000"/>
              </w:rPr>
              <w:t>Jericho</w:t>
            </w:r>
          </w:p>
        </w:tc>
        <w:tc>
          <w:tcPr>
            <w:tcW w:w="1371" w:type="dxa"/>
            <w:vAlign w:val="center"/>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2,701</w:t>
            </w:r>
          </w:p>
        </w:tc>
        <w:tc>
          <w:tcPr>
            <w:tcW w:w="1012" w:type="dxa"/>
            <w:vAlign w:val="center"/>
          </w:tcPr>
          <w:p w:rsidR="00E10AAA" w:rsidRPr="00357761" w:rsidRDefault="00E10AAA" w:rsidP="006D5544">
            <w:pPr>
              <w:ind w:right="45"/>
              <w:jc w:val="center"/>
              <w:rPr>
                <w:rFonts w:ascii="Simplified Arabic" w:hAnsi="Simplified Arabic" w:cs="Simplified Arabic"/>
                <w:color w:val="000000"/>
              </w:rPr>
            </w:pPr>
            <w:r w:rsidRPr="00357761">
              <w:rPr>
                <w:rFonts w:ascii="Simplified Arabic" w:hAnsi="Simplified Arabic" w:cs="Simplified Arabic"/>
                <w:color w:val="000000"/>
              </w:rPr>
              <w:t>2,101</w:t>
            </w:r>
          </w:p>
        </w:tc>
        <w:tc>
          <w:tcPr>
            <w:tcW w:w="1012" w:type="dxa"/>
            <w:vAlign w:val="bottom"/>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128.5</w:t>
            </w:r>
          </w:p>
        </w:tc>
      </w:tr>
      <w:tr w:rsidR="00E10AAA" w:rsidRPr="00706AD8" w:rsidTr="00CD0138">
        <w:trPr>
          <w:trHeight w:val="145"/>
          <w:jc w:val="center"/>
        </w:trPr>
        <w:tc>
          <w:tcPr>
            <w:tcW w:w="2370" w:type="dxa"/>
            <w:tcBorders>
              <w:bottom w:val="single" w:sz="4" w:space="0" w:color="auto"/>
            </w:tcBorders>
          </w:tcPr>
          <w:p w:rsidR="00E10AAA" w:rsidRPr="00706AD8" w:rsidRDefault="00E10AAA" w:rsidP="006D5544">
            <w:pPr>
              <w:autoSpaceDE w:val="0"/>
              <w:autoSpaceDN w:val="0"/>
              <w:bidi w:val="0"/>
              <w:adjustRightInd w:val="0"/>
              <w:ind w:right="45"/>
              <w:jc w:val="lowKashida"/>
              <w:rPr>
                <w:color w:val="000000"/>
              </w:rPr>
            </w:pPr>
            <w:r w:rsidRPr="00706AD8">
              <w:rPr>
                <w:color w:val="000000"/>
              </w:rPr>
              <w:t>Jenin</w:t>
            </w:r>
          </w:p>
        </w:tc>
        <w:tc>
          <w:tcPr>
            <w:tcW w:w="1371" w:type="dxa"/>
            <w:tcBorders>
              <w:bottom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1,971</w:t>
            </w:r>
          </w:p>
        </w:tc>
        <w:tc>
          <w:tcPr>
            <w:tcW w:w="1012" w:type="dxa"/>
            <w:tcBorders>
              <w:bottom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sidRPr="00357761">
              <w:rPr>
                <w:rFonts w:ascii="Simplified Arabic" w:hAnsi="Simplified Arabic" w:cs="Simplified Arabic" w:hint="cs"/>
                <w:color w:val="000000"/>
                <w:rtl/>
              </w:rPr>
              <w:t>..</w:t>
            </w:r>
          </w:p>
        </w:tc>
        <w:tc>
          <w:tcPr>
            <w:tcW w:w="1012" w:type="dxa"/>
            <w:tcBorders>
              <w:bottom w:val="single" w:sz="4" w:space="0" w:color="auto"/>
            </w:tcBorders>
            <w:vAlign w:val="bottom"/>
          </w:tcPr>
          <w:p w:rsidR="00E10AAA" w:rsidRPr="00357761" w:rsidRDefault="00E10AAA" w:rsidP="006D5544">
            <w:pPr>
              <w:ind w:right="45"/>
              <w:jc w:val="center"/>
              <w:rPr>
                <w:rFonts w:ascii="Simplified Arabic" w:hAnsi="Simplified Arabic" w:cs="Simplified Arabic"/>
                <w:color w:val="000000"/>
              </w:rPr>
            </w:pPr>
            <w:r w:rsidRPr="00357761">
              <w:rPr>
                <w:rFonts w:ascii="Simplified Arabic" w:hAnsi="Simplified Arabic" w:cs="Simplified Arabic"/>
                <w:color w:val="000000"/>
              </w:rPr>
              <w:t>..</w:t>
            </w:r>
          </w:p>
        </w:tc>
      </w:tr>
      <w:tr w:rsidR="00E10AAA" w:rsidRPr="00706AD8" w:rsidTr="00CD0138">
        <w:trPr>
          <w:trHeight w:val="126"/>
          <w:jc w:val="center"/>
        </w:trPr>
        <w:tc>
          <w:tcPr>
            <w:tcW w:w="2370" w:type="dxa"/>
            <w:tcBorders>
              <w:bottom w:val="single" w:sz="4" w:space="0" w:color="auto"/>
            </w:tcBorders>
          </w:tcPr>
          <w:p w:rsidR="00E10AAA" w:rsidRPr="00706AD8" w:rsidRDefault="00E10AAA" w:rsidP="006D5544">
            <w:pPr>
              <w:autoSpaceDE w:val="0"/>
              <w:autoSpaceDN w:val="0"/>
              <w:bidi w:val="0"/>
              <w:adjustRightInd w:val="0"/>
              <w:ind w:right="45"/>
              <w:jc w:val="lowKashida"/>
              <w:rPr>
                <w:color w:val="000000"/>
              </w:rPr>
            </w:pPr>
            <w:r w:rsidRPr="00147F53">
              <w:rPr>
                <w:color w:val="000000"/>
              </w:rPr>
              <w:t>Ramallah and</w:t>
            </w:r>
            <w:r>
              <w:rPr>
                <w:color w:val="000000"/>
              </w:rPr>
              <w:t xml:space="preserve"> </w:t>
            </w:r>
            <w:r w:rsidRPr="00147F53">
              <w:rPr>
                <w:color w:val="000000"/>
              </w:rPr>
              <w:t>Al-Bireh</w:t>
            </w:r>
          </w:p>
        </w:tc>
        <w:tc>
          <w:tcPr>
            <w:tcW w:w="1371" w:type="dxa"/>
            <w:tcBorders>
              <w:bottom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1,789</w:t>
            </w:r>
          </w:p>
        </w:tc>
        <w:tc>
          <w:tcPr>
            <w:tcW w:w="1012" w:type="dxa"/>
            <w:tcBorders>
              <w:bottom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sidRPr="00357761">
              <w:rPr>
                <w:rFonts w:ascii="Simplified Arabic" w:hAnsi="Simplified Arabic" w:cs="Simplified Arabic"/>
                <w:color w:val="000000"/>
              </w:rPr>
              <w:t>1,889</w:t>
            </w:r>
          </w:p>
        </w:tc>
        <w:tc>
          <w:tcPr>
            <w:tcW w:w="1012" w:type="dxa"/>
            <w:tcBorders>
              <w:bottom w:val="single" w:sz="4" w:space="0" w:color="auto"/>
            </w:tcBorders>
            <w:vAlign w:val="bottom"/>
          </w:tcPr>
          <w:p w:rsidR="00E10AAA" w:rsidRPr="00357761" w:rsidRDefault="00E10AAA" w:rsidP="006D5544">
            <w:pPr>
              <w:spacing w:line="360" w:lineRule="auto"/>
              <w:ind w:right="45"/>
              <w:jc w:val="center"/>
              <w:rPr>
                <w:rFonts w:ascii="Simplified Arabic" w:hAnsi="Simplified Arabic" w:cs="Simplified Arabic"/>
                <w:color w:val="000000"/>
              </w:rPr>
            </w:pPr>
            <w:r>
              <w:rPr>
                <w:rFonts w:ascii="Simplified Arabic" w:hAnsi="Simplified Arabic" w:cs="Simplified Arabic"/>
                <w:color w:val="000000"/>
              </w:rPr>
              <w:t>94.7</w:t>
            </w:r>
          </w:p>
        </w:tc>
      </w:tr>
      <w:tr w:rsidR="00E10AAA" w:rsidRPr="00706AD8" w:rsidTr="00CD0138">
        <w:trPr>
          <w:trHeight w:val="145"/>
          <w:jc w:val="center"/>
        </w:trPr>
        <w:tc>
          <w:tcPr>
            <w:tcW w:w="2370" w:type="dxa"/>
            <w:tcBorders>
              <w:top w:val="single" w:sz="4" w:space="0" w:color="auto"/>
              <w:left w:val="single" w:sz="4" w:space="0" w:color="auto"/>
              <w:bottom w:val="single" w:sz="4" w:space="0" w:color="auto"/>
              <w:right w:val="single" w:sz="4" w:space="0" w:color="auto"/>
            </w:tcBorders>
          </w:tcPr>
          <w:p w:rsidR="00E10AAA" w:rsidRPr="00706AD8" w:rsidRDefault="00E10AAA" w:rsidP="006D5544">
            <w:pPr>
              <w:autoSpaceDE w:val="0"/>
              <w:autoSpaceDN w:val="0"/>
              <w:bidi w:val="0"/>
              <w:adjustRightInd w:val="0"/>
              <w:ind w:right="45"/>
              <w:jc w:val="lowKashida"/>
              <w:rPr>
                <w:color w:val="000000"/>
              </w:rPr>
            </w:pPr>
            <w:r w:rsidRPr="00706AD8">
              <w:rPr>
                <w:color w:val="000000"/>
              </w:rPr>
              <w:t>Nablus</w:t>
            </w:r>
          </w:p>
        </w:tc>
        <w:tc>
          <w:tcPr>
            <w:tcW w:w="1371" w:type="dxa"/>
            <w:tcBorders>
              <w:top w:val="single" w:sz="4" w:space="0" w:color="auto"/>
              <w:left w:val="single" w:sz="4" w:space="0" w:color="auto"/>
              <w:bottom w:val="single" w:sz="4" w:space="0" w:color="auto"/>
              <w:right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1,716</w:t>
            </w:r>
          </w:p>
        </w:tc>
        <w:tc>
          <w:tcPr>
            <w:tcW w:w="1012" w:type="dxa"/>
            <w:tcBorders>
              <w:top w:val="single" w:sz="4" w:space="0" w:color="auto"/>
              <w:left w:val="single" w:sz="4" w:space="0" w:color="auto"/>
              <w:bottom w:val="single" w:sz="4" w:space="0" w:color="auto"/>
              <w:right w:val="single" w:sz="4" w:space="0" w:color="auto"/>
            </w:tcBorders>
            <w:vAlign w:val="center"/>
          </w:tcPr>
          <w:p w:rsidR="00E10AAA" w:rsidRPr="00357761" w:rsidRDefault="00E10AAA" w:rsidP="006D5544">
            <w:pPr>
              <w:ind w:right="45"/>
              <w:jc w:val="center"/>
              <w:rPr>
                <w:rFonts w:ascii="Simplified Arabic" w:hAnsi="Simplified Arabic" w:cs="Simplified Arabic"/>
                <w:color w:val="000000"/>
              </w:rPr>
            </w:pPr>
            <w:r w:rsidRPr="00357761">
              <w:rPr>
                <w:rFonts w:ascii="Simplified Arabic" w:hAnsi="Simplified Arabic" w:cs="Simplified Arabic"/>
                <w:color w:val="000000"/>
              </w:rPr>
              <w:t>1,682</w:t>
            </w:r>
          </w:p>
        </w:tc>
        <w:tc>
          <w:tcPr>
            <w:tcW w:w="1012" w:type="dxa"/>
            <w:tcBorders>
              <w:top w:val="single" w:sz="4" w:space="0" w:color="auto"/>
              <w:left w:val="single" w:sz="4" w:space="0" w:color="auto"/>
              <w:bottom w:val="single" w:sz="4" w:space="0" w:color="auto"/>
              <w:right w:val="single" w:sz="4" w:space="0" w:color="auto"/>
            </w:tcBorders>
            <w:vAlign w:val="bottom"/>
          </w:tcPr>
          <w:p w:rsidR="00E10AAA" w:rsidRPr="00357761" w:rsidRDefault="00E10AAA" w:rsidP="006D5544">
            <w:pPr>
              <w:ind w:right="45"/>
              <w:jc w:val="center"/>
              <w:rPr>
                <w:rFonts w:ascii="Simplified Arabic" w:hAnsi="Simplified Arabic" w:cs="Simplified Arabic"/>
                <w:color w:val="000000"/>
              </w:rPr>
            </w:pPr>
            <w:r>
              <w:rPr>
                <w:rFonts w:ascii="Simplified Arabic" w:hAnsi="Simplified Arabic" w:cs="Simplified Arabic"/>
                <w:color w:val="000000"/>
              </w:rPr>
              <w:t>102.0</w:t>
            </w:r>
          </w:p>
        </w:tc>
      </w:tr>
      <w:tr w:rsidR="00E10AAA" w:rsidRPr="00706AD8" w:rsidTr="00CD0138">
        <w:trPr>
          <w:trHeight w:val="145"/>
          <w:jc w:val="center"/>
        </w:trPr>
        <w:tc>
          <w:tcPr>
            <w:tcW w:w="5765" w:type="dxa"/>
            <w:gridSpan w:val="4"/>
            <w:tcBorders>
              <w:top w:val="single" w:sz="4" w:space="0" w:color="auto"/>
              <w:left w:val="nil"/>
              <w:bottom w:val="nil"/>
              <w:right w:val="nil"/>
            </w:tcBorders>
          </w:tcPr>
          <w:p w:rsidR="00E10AAA" w:rsidRPr="00E10AAA" w:rsidRDefault="00E10AAA" w:rsidP="00CD0138">
            <w:pPr>
              <w:autoSpaceDE w:val="0"/>
              <w:autoSpaceDN w:val="0"/>
              <w:adjustRightInd w:val="0"/>
              <w:spacing w:after="0"/>
              <w:ind w:right="45"/>
              <w:jc w:val="right"/>
              <w:rPr>
                <w:color w:val="000000"/>
              </w:rPr>
            </w:pPr>
            <w:r w:rsidRPr="00706AD8">
              <w:rPr>
                <w:rFonts w:ascii="Simplified Arabic" w:cs="Simplified Arabic"/>
                <w:color w:val="000000"/>
              </w:rPr>
              <w:t xml:space="preserve">..: Data not Available </w:t>
            </w:r>
          </w:p>
        </w:tc>
        <w:bookmarkStart w:id="0" w:name="_GoBack"/>
        <w:bookmarkEnd w:id="0"/>
      </w:tr>
    </w:tbl>
    <w:p w:rsidR="00E10AAA" w:rsidRPr="00CD0138" w:rsidRDefault="00E10AAA" w:rsidP="00CD0138">
      <w:pPr>
        <w:bidi w:val="0"/>
        <w:spacing w:after="0" w:line="240" w:lineRule="auto"/>
        <w:rPr>
          <w:rFonts w:ascii="Times New Roman" w:eastAsia="Times New Roman" w:hAnsi="Times New Roman" w:cs="Times New Roman"/>
          <w:b/>
          <w:bCs/>
          <w:noProof w:val="0"/>
          <w:color w:val="0E101A"/>
          <w:sz w:val="28"/>
          <w:szCs w:val="28"/>
          <w:lang w:val="en-US"/>
        </w:rPr>
      </w:pPr>
      <w:r w:rsidRPr="00CD0138">
        <w:rPr>
          <w:rFonts w:ascii="Times New Roman" w:eastAsia="Times New Roman" w:hAnsi="Times New Roman" w:cs="Times New Roman"/>
          <w:b/>
          <w:bCs/>
          <w:noProof w:val="0"/>
          <w:color w:val="0E101A"/>
          <w:sz w:val="28"/>
          <w:szCs w:val="28"/>
          <w:lang w:val="en-US"/>
        </w:rPr>
        <w:t xml:space="preserve">Air </w:t>
      </w:r>
      <w:proofErr w:type="spellStart"/>
      <w:r w:rsidRPr="00CD0138">
        <w:rPr>
          <w:rFonts w:ascii="Times New Roman" w:eastAsia="Times New Roman" w:hAnsi="Times New Roman" w:cs="Times New Roman"/>
          <w:b/>
          <w:bCs/>
          <w:noProof w:val="0"/>
          <w:color w:val="0E101A"/>
          <w:sz w:val="28"/>
          <w:szCs w:val="28"/>
          <w:lang w:val="en-US"/>
        </w:rPr>
        <w:t>Tmperatures</w:t>
      </w:r>
      <w:proofErr w:type="spellEnd"/>
      <w:r w:rsidRPr="00CD0138">
        <w:rPr>
          <w:rFonts w:ascii="Times New Roman" w:eastAsia="Times New Roman" w:hAnsi="Times New Roman" w:cs="Times New Roman"/>
          <w:b/>
          <w:bCs/>
          <w:noProof w:val="0"/>
          <w:color w:val="0E101A"/>
          <w:sz w:val="28"/>
          <w:szCs w:val="28"/>
          <w:lang w:val="en-US"/>
        </w:rPr>
        <w:t xml:space="preserve"> in 2023 are higher than the mean average</w:t>
      </w:r>
    </w:p>
    <w:p w:rsidR="00E10AAA"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 xml:space="preserve">Air temperatures in the West Bank in 2023 were analyzed using data from selected stations </w:t>
      </w: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representing the region's climate system. A sample was taken from a station representing the mountainous and semi-coastal areas and the Al-</w:t>
      </w:r>
      <w:proofErr w:type="spellStart"/>
      <w:r w:rsidRPr="00CD0138">
        <w:rPr>
          <w:rFonts w:ascii="Times New Roman" w:eastAsia="Times New Roman" w:hAnsi="Times New Roman" w:cs="Times New Roman"/>
          <w:noProof w:val="0"/>
          <w:color w:val="0E101A"/>
          <w:sz w:val="26"/>
          <w:szCs w:val="26"/>
          <w:lang w:val="en-US"/>
        </w:rPr>
        <w:t>Aghwar</w:t>
      </w:r>
      <w:proofErr w:type="spellEnd"/>
      <w:r w:rsidRPr="00CD0138">
        <w:rPr>
          <w:rFonts w:ascii="Times New Roman" w:eastAsia="Times New Roman" w:hAnsi="Times New Roman" w:cs="Times New Roman"/>
          <w:noProof w:val="0"/>
          <w:color w:val="0E101A"/>
          <w:sz w:val="26"/>
          <w:szCs w:val="26"/>
          <w:lang w:val="en-US"/>
        </w:rPr>
        <w:t xml:space="preserve"> region. The results showed that the air temperatures in 2023 were higher than the mean average by 3.4°C in Jericho stations.</w:t>
      </w: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10"/>
          <w:szCs w:val="10"/>
          <w:rtl/>
          <w:lang w:val="en-US"/>
        </w:rPr>
      </w:pP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This significant increase in air temperatures can be attributed to heat waves that affected the West Bank during July, August, and October. The mountainous, coastal, and semi-coastal areas were particularly affected, resulting in even higher temperatures in those locations. These heat waves were also accompanied by a marked increase in humidity levels in the same areas.</w:t>
      </w:r>
    </w:p>
    <w:p w:rsid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F84131">
      <w:pPr>
        <w:bidi w:val="0"/>
        <w:spacing w:after="0" w:line="240" w:lineRule="auto"/>
        <w:jc w:val="center"/>
        <w:rPr>
          <w:rFonts w:ascii="Times New Roman" w:eastAsia="Times New Roman" w:hAnsi="Times New Roman" w:cs="Times New Roman"/>
          <w:b/>
          <w:bCs/>
          <w:noProof w:val="0"/>
          <w:color w:val="0E101A"/>
          <w:sz w:val="24"/>
          <w:szCs w:val="24"/>
          <w:lang w:val="en-US"/>
        </w:rPr>
      </w:pPr>
      <w:r w:rsidRPr="00927FE9">
        <w:rPr>
          <w:rFonts w:ascii="Times New Roman" w:eastAsia="Times New Roman" w:hAnsi="Times New Roman" w:cs="Times New Roman"/>
          <w:b/>
          <w:bCs/>
          <w:noProof w:val="0"/>
          <w:color w:val="0E101A"/>
          <w:sz w:val="24"/>
          <w:szCs w:val="24"/>
          <w:lang w:val="en-US"/>
        </w:rPr>
        <w:t>Variations in Air Temperatures (°C) from Mean Average at West Bank Stations in 2023</w:t>
      </w:r>
    </w:p>
    <w:p w:rsidR="00E10AAA" w:rsidRDefault="00E10AAA" w:rsidP="00E10AAA">
      <w:pPr>
        <w:autoSpaceDE w:val="0"/>
        <w:autoSpaceDN w:val="0"/>
        <w:bidi w:val="0"/>
        <w:adjustRightInd w:val="0"/>
        <w:ind w:right="45"/>
        <w:jc w:val="center"/>
        <w:rPr>
          <w:b/>
          <w:bCs/>
          <w:color w:val="000000"/>
          <w:sz w:val="6"/>
          <w:szCs w:val="6"/>
        </w:rPr>
      </w:pPr>
      <w:r>
        <w:rPr>
          <w:rFonts w:hint="cs"/>
          <w:color w:val="000000"/>
          <w:lang w:val="en-US"/>
        </w:rPr>
        <w:drawing>
          <wp:inline distT="0" distB="0" distL="0" distR="0">
            <wp:extent cx="3161030" cy="200152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0AAA" w:rsidRDefault="00E10AAA" w:rsidP="00E10AAA">
      <w:pPr>
        <w:autoSpaceDE w:val="0"/>
        <w:autoSpaceDN w:val="0"/>
        <w:bidi w:val="0"/>
        <w:adjustRightInd w:val="0"/>
        <w:ind w:right="45"/>
        <w:jc w:val="lowKashida"/>
        <w:rPr>
          <w:b/>
          <w:bCs/>
          <w:color w:val="000000"/>
          <w:sz w:val="6"/>
          <w:szCs w:val="6"/>
        </w:rPr>
      </w:pPr>
    </w:p>
    <w:p w:rsidR="00927FE9" w:rsidRPr="00CD0138" w:rsidRDefault="00927FE9" w:rsidP="00CD0138">
      <w:pPr>
        <w:bidi w:val="0"/>
        <w:spacing w:after="0" w:line="240" w:lineRule="auto"/>
        <w:jc w:val="both"/>
        <w:rPr>
          <w:rFonts w:ascii="Times New Roman" w:eastAsia="Times New Roman" w:hAnsi="Times New Roman" w:cs="Times New Roman"/>
          <w:b/>
          <w:bCs/>
          <w:noProof w:val="0"/>
          <w:color w:val="0E101A"/>
          <w:sz w:val="26"/>
          <w:szCs w:val="26"/>
          <w:lang w:val="en-US"/>
        </w:rPr>
      </w:pPr>
      <w:r w:rsidRPr="00CD0138">
        <w:rPr>
          <w:rFonts w:ascii="Times New Roman" w:eastAsia="Times New Roman" w:hAnsi="Times New Roman" w:cs="Times New Roman"/>
          <w:b/>
          <w:bCs/>
          <w:noProof w:val="0"/>
          <w:color w:val="0E101A"/>
          <w:sz w:val="26"/>
          <w:szCs w:val="26"/>
          <w:lang w:val="en-US"/>
        </w:rPr>
        <w:t>During 2023, maximum temperatures varied across stations in Palestine, with Ramallah and Al-</w:t>
      </w:r>
      <w:proofErr w:type="spellStart"/>
      <w:r w:rsidRPr="00CD0138">
        <w:rPr>
          <w:rFonts w:ascii="Times New Roman" w:eastAsia="Times New Roman" w:hAnsi="Times New Roman" w:cs="Times New Roman"/>
          <w:b/>
          <w:bCs/>
          <w:noProof w:val="0"/>
          <w:color w:val="0E101A"/>
          <w:sz w:val="26"/>
          <w:szCs w:val="26"/>
          <w:lang w:val="en-US"/>
        </w:rPr>
        <w:t>Bireh</w:t>
      </w:r>
      <w:proofErr w:type="spellEnd"/>
      <w:r w:rsidRPr="00CD0138">
        <w:rPr>
          <w:rFonts w:ascii="Times New Roman" w:eastAsia="Times New Roman" w:hAnsi="Times New Roman" w:cs="Times New Roman"/>
          <w:b/>
          <w:bCs/>
          <w:noProof w:val="0"/>
          <w:color w:val="0E101A"/>
          <w:sz w:val="26"/>
          <w:szCs w:val="26"/>
          <w:lang w:val="en-US"/>
        </w:rPr>
        <w:t xml:space="preserve"> seeing temperatures around 0.9°C higher than the yearly average, while Jericho station had a difference of 2.7°C.</w:t>
      </w:r>
    </w:p>
    <w:p w:rsid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F84131">
      <w:pPr>
        <w:bidi w:val="0"/>
        <w:spacing w:after="0" w:line="240" w:lineRule="auto"/>
        <w:jc w:val="center"/>
        <w:rPr>
          <w:rFonts w:ascii="Times New Roman" w:eastAsia="Times New Roman" w:hAnsi="Times New Roman" w:cs="Times New Roman"/>
          <w:b/>
          <w:bCs/>
          <w:noProof w:val="0"/>
          <w:color w:val="0E101A"/>
          <w:sz w:val="24"/>
          <w:szCs w:val="24"/>
          <w:lang w:val="en-US"/>
        </w:rPr>
      </w:pPr>
      <w:r w:rsidRPr="00927FE9">
        <w:rPr>
          <w:rFonts w:ascii="Times New Roman" w:eastAsia="Times New Roman" w:hAnsi="Times New Roman" w:cs="Times New Roman"/>
          <w:b/>
          <w:bCs/>
          <w:noProof w:val="0"/>
          <w:color w:val="0E101A"/>
          <w:sz w:val="24"/>
          <w:szCs w:val="24"/>
          <w:lang w:val="en-US"/>
        </w:rPr>
        <w:t>Variations in maximum air temperature in 2023 (°C) from the yearly average at West Bank stations.</w:t>
      </w:r>
    </w:p>
    <w:p w:rsidR="00927FE9" w:rsidRDefault="00927FE9" w:rsidP="00927FE9">
      <w:pPr>
        <w:bidi w:val="0"/>
        <w:spacing w:after="0" w:line="240" w:lineRule="auto"/>
        <w:rPr>
          <w:rFonts w:ascii="Times New Roman" w:eastAsia="Times New Roman" w:hAnsi="Times New Roman" w:cs="Times New Roman"/>
          <w:b/>
          <w:bCs/>
          <w:noProof w:val="0"/>
          <w:color w:val="0E101A"/>
          <w:sz w:val="24"/>
          <w:szCs w:val="24"/>
          <w:lang w:val="en-US"/>
        </w:rPr>
      </w:pPr>
    </w:p>
    <w:p w:rsidR="00E10AAA" w:rsidRDefault="00E10AAA" w:rsidP="00E10AAA">
      <w:pPr>
        <w:bidi w:val="0"/>
        <w:spacing w:after="0" w:line="240" w:lineRule="auto"/>
        <w:jc w:val="center"/>
        <w:rPr>
          <w:rFonts w:ascii="Times New Roman" w:eastAsia="Times New Roman" w:hAnsi="Times New Roman" w:cs="Times New Roman"/>
          <w:b/>
          <w:bCs/>
          <w:noProof w:val="0"/>
          <w:color w:val="0E101A"/>
          <w:sz w:val="24"/>
          <w:szCs w:val="24"/>
          <w:lang w:val="en-US"/>
        </w:rPr>
      </w:pPr>
      <w:r>
        <w:rPr>
          <w:rFonts w:hint="cs"/>
          <w:color w:val="000000"/>
          <w:lang w:val="en-US"/>
        </w:rPr>
        <w:drawing>
          <wp:inline distT="0" distB="0" distL="0" distR="0">
            <wp:extent cx="3145790" cy="1929600"/>
            <wp:effectExtent l="0" t="0" r="16510" b="1397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27FE9" w:rsidRDefault="00927FE9" w:rsidP="00927FE9">
      <w:pPr>
        <w:bidi w:val="0"/>
        <w:spacing w:after="0" w:line="240" w:lineRule="auto"/>
        <w:rPr>
          <w:rFonts w:ascii="Times New Roman" w:eastAsia="Times New Roman" w:hAnsi="Times New Roman" w:cs="Times New Roman"/>
          <w:b/>
          <w:bCs/>
          <w:noProof w:val="0"/>
          <w:color w:val="0E101A"/>
          <w:sz w:val="24"/>
          <w:szCs w:val="24"/>
          <w:lang w:val="en-US"/>
        </w:rPr>
      </w:pP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During 2023, minimum temperatures in Ramallah and Al-</w:t>
      </w:r>
      <w:proofErr w:type="spellStart"/>
      <w:r w:rsidRPr="00CD0138">
        <w:rPr>
          <w:rFonts w:ascii="Times New Roman" w:eastAsia="Times New Roman" w:hAnsi="Times New Roman" w:cs="Times New Roman"/>
          <w:noProof w:val="0"/>
          <w:color w:val="0E101A"/>
          <w:sz w:val="26"/>
          <w:szCs w:val="26"/>
          <w:lang w:val="en-US"/>
        </w:rPr>
        <w:t>Bireh</w:t>
      </w:r>
      <w:proofErr w:type="spellEnd"/>
      <w:r w:rsidRPr="00CD0138">
        <w:rPr>
          <w:rFonts w:ascii="Times New Roman" w:eastAsia="Times New Roman" w:hAnsi="Times New Roman" w:cs="Times New Roman"/>
          <w:noProof w:val="0"/>
          <w:color w:val="0E101A"/>
          <w:sz w:val="26"/>
          <w:szCs w:val="26"/>
          <w:lang w:val="en-US"/>
        </w:rPr>
        <w:t xml:space="preserve"> station were higher than the yearly average by around 0.9 °C, while in Jericho station, they were higher by 5.5 °C.</w:t>
      </w:r>
    </w:p>
    <w:p w:rsidR="00E10AAA" w:rsidRDefault="00E10AAA" w:rsidP="00E10AAA">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927FE9">
      <w:pPr>
        <w:bidi w:val="0"/>
        <w:spacing w:after="0" w:line="240" w:lineRule="auto"/>
        <w:rPr>
          <w:rFonts w:ascii="Times New Roman" w:eastAsia="Times New Roman" w:hAnsi="Times New Roman" w:cs="Times New Roman"/>
          <w:noProof w:val="0"/>
          <w:color w:val="0E101A"/>
          <w:sz w:val="24"/>
          <w:szCs w:val="24"/>
          <w:lang w:val="en-US"/>
        </w:rPr>
      </w:pPr>
    </w:p>
    <w:p w:rsidR="00927FE9" w:rsidRDefault="00927FE9" w:rsidP="00F84131">
      <w:pPr>
        <w:bidi w:val="0"/>
        <w:spacing w:after="0" w:line="240" w:lineRule="auto"/>
        <w:jc w:val="center"/>
        <w:rPr>
          <w:rFonts w:ascii="Times New Roman" w:eastAsia="Times New Roman" w:hAnsi="Times New Roman" w:cs="Times New Roman"/>
          <w:b/>
          <w:bCs/>
          <w:noProof w:val="0"/>
          <w:color w:val="0E101A"/>
          <w:sz w:val="24"/>
          <w:szCs w:val="24"/>
          <w:lang w:val="en-US"/>
        </w:rPr>
      </w:pPr>
      <w:r w:rsidRPr="00927FE9">
        <w:rPr>
          <w:rFonts w:ascii="Times New Roman" w:eastAsia="Times New Roman" w:hAnsi="Times New Roman" w:cs="Times New Roman"/>
          <w:b/>
          <w:bCs/>
          <w:noProof w:val="0"/>
          <w:color w:val="0E101A"/>
          <w:sz w:val="24"/>
          <w:szCs w:val="24"/>
          <w:lang w:val="en-US"/>
        </w:rPr>
        <w:t>Variations in minimum air temperature compared to yearly averages in select West Bank stations in 2023.</w:t>
      </w:r>
    </w:p>
    <w:p w:rsidR="00927FE9" w:rsidRDefault="00927FE9" w:rsidP="00927FE9">
      <w:pPr>
        <w:bidi w:val="0"/>
        <w:spacing w:after="0" w:line="240" w:lineRule="auto"/>
        <w:rPr>
          <w:rFonts w:ascii="Times New Roman" w:eastAsia="Times New Roman" w:hAnsi="Times New Roman" w:cs="Times New Roman"/>
          <w:b/>
          <w:bCs/>
          <w:noProof w:val="0"/>
          <w:color w:val="0E101A"/>
          <w:sz w:val="24"/>
          <w:szCs w:val="24"/>
          <w:lang w:val="en-US"/>
        </w:rPr>
      </w:pPr>
    </w:p>
    <w:p w:rsidR="00E10AAA" w:rsidRDefault="00F84131" w:rsidP="00F84131">
      <w:pPr>
        <w:bidi w:val="0"/>
        <w:spacing w:after="0" w:line="240" w:lineRule="auto"/>
        <w:jc w:val="center"/>
        <w:rPr>
          <w:rFonts w:ascii="Times New Roman" w:eastAsia="Times New Roman" w:hAnsi="Times New Roman" w:cs="Times New Roman"/>
          <w:b/>
          <w:bCs/>
          <w:noProof w:val="0"/>
          <w:color w:val="0E101A"/>
          <w:sz w:val="24"/>
          <w:szCs w:val="24"/>
          <w:lang w:val="en-US"/>
        </w:rPr>
      </w:pPr>
      <w:r>
        <w:rPr>
          <w:rFonts w:hint="cs"/>
          <w:color w:val="000000"/>
          <w:lang w:val="en-US"/>
        </w:rPr>
        <w:drawing>
          <wp:inline distT="0" distB="0" distL="0" distR="0">
            <wp:extent cx="3362400" cy="1583690"/>
            <wp:effectExtent l="0" t="0" r="9525" b="1651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4131" w:rsidRDefault="00F84131" w:rsidP="00F84131">
      <w:pPr>
        <w:bidi w:val="0"/>
        <w:spacing w:after="0" w:line="240" w:lineRule="auto"/>
        <w:jc w:val="center"/>
        <w:rPr>
          <w:rFonts w:ascii="Times New Roman" w:eastAsia="Times New Roman" w:hAnsi="Times New Roman" w:cs="Times New Roman"/>
          <w:b/>
          <w:bCs/>
          <w:noProof w:val="0"/>
          <w:color w:val="0E101A"/>
          <w:sz w:val="24"/>
          <w:szCs w:val="24"/>
          <w:lang w:val="en-US"/>
        </w:rPr>
      </w:pPr>
    </w:p>
    <w:p w:rsidR="00F84131" w:rsidRDefault="00F84131" w:rsidP="00927FE9">
      <w:pPr>
        <w:bidi w:val="0"/>
        <w:spacing w:after="0" w:line="240" w:lineRule="auto"/>
        <w:rPr>
          <w:rFonts w:ascii="Times New Roman" w:eastAsia="Times New Roman" w:hAnsi="Times New Roman" w:cs="Times New Roman"/>
          <w:noProof w:val="0"/>
          <w:color w:val="0E101A"/>
          <w:sz w:val="24"/>
          <w:szCs w:val="24"/>
          <w:lang w:val="en-US"/>
        </w:rPr>
      </w:pPr>
    </w:p>
    <w:p w:rsidR="00F84131" w:rsidRPr="00CD0138" w:rsidRDefault="00F84131" w:rsidP="00F84131">
      <w:pPr>
        <w:bidi w:val="0"/>
        <w:spacing w:after="0" w:line="240" w:lineRule="auto"/>
        <w:rPr>
          <w:rFonts w:ascii="Times New Roman" w:eastAsia="Times New Roman" w:hAnsi="Times New Roman" w:cs="Times New Roman"/>
          <w:b/>
          <w:bCs/>
          <w:noProof w:val="0"/>
          <w:color w:val="0E101A"/>
          <w:sz w:val="28"/>
          <w:szCs w:val="28"/>
          <w:lang w:val="en-US"/>
        </w:rPr>
      </w:pPr>
      <w:r w:rsidRPr="00CD0138">
        <w:rPr>
          <w:rFonts w:ascii="Times New Roman" w:eastAsia="Times New Roman" w:hAnsi="Times New Roman" w:cs="Times New Roman"/>
          <w:b/>
          <w:bCs/>
          <w:noProof w:val="0"/>
          <w:color w:val="0E101A"/>
          <w:sz w:val="28"/>
          <w:szCs w:val="28"/>
          <w:lang w:val="en-US"/>
        </w:rPr>
        <w:t>The highest average hours of sunlight</w:t>
      </w:r>
      <w:r w:rsidRPr="00CD0138">
        <w:rPr>
          <w:rFonts w:ascii="Times New Roman" w:eastAsia="Times New Roman" w:hAnsi="Times New Roman" w:cs="Times New Roman" w:hint="cs"/>
          <w:b/>
          <w:bCs/>
          <w:noProof w:val="0"/>
          <w:color w:val="0E101A"/>
          <w:sz w:val="28"/>
          <w:szCs w:val="28"/>
          <w:rtl/>
          <w:lang w:val="en-US"/>
        </w:rPr>
        <w:t xml:space="preserve"> </w:t>
      </w:r>
      <w:r w:rsidRPr="00CD0138">
        <w:rPr>
          <w:rFonts w:ascii="Times New Roman" w:eastAsia="Times New Roman" w:hAnsi="Times New Roman" w:cs="Times New Roman"/>
          <w:b/>
          <w:bCs/>
          <w:noProof w:val="0"/>
          <w:color w:val="0E101A"/>
          <w:sz w:val="28"/>
          <w:szCs w:val="28"/>
          <w:lang w:val="en-US"/>
        </w:rPr>
        <w:t xml:space="preserve">during 2023 was in Jericho Station </w:t>
      </w:r>
    </w:p>
    <w:p w:rsidR="00927FE9" w:rsidRPr="00CD0138" w:rsidRDefault="00927FE9" w:rsidP="00CD0138">
      <w:pPr>
        <w:bidi w:val="0"/>
        <w:spacing w:after="0" w:line="240" w:lineRule="auto"/>
        <w:jc w:val="both"/>
        <w:rPr>
          <w:rFonts w:ascii="Times New Roman" w:eastAsia="Times New Roman" w:hAnsi="Times New Roman" w:cs="Times New Roman"/>
          <w:noProof w:val="0"/>
          <w:color w:val="0E101A"/>
          <w:sz w:val="26"/>
          <w:szCs w:val="26"/>
          <w:lang w:val="en-US"/>
        </w:rPr>
      </w:pPr>
      <w:r w:rsidRPr="00CD0138">
        <w:rPr>
          <w:rFonts w:ascii="Times New Roman" w:eastAsia="Times New Roman" w:hAnsi="Times New Roman" w:cs="Times New Roman"/>
          <w:noProof w:val="0"/>
          <w:color w:val="0E101A"/>
          <w:sz w:val="26"/>
          <w:szCs w:val="26"/>
          <w:lang w:val="en-US"/>
        </w:rPr>
        <w:t>In 2023, the Jericho Station experienced the highest average hours of sunlight, with 8.6 hours per day. The Ramallah and Al-</w:t>
      </w:r>
      <w:proofErr w:type="spellStart"/>
      <w:r w:rsidRPr="00CD0138">
        <w:rPr>
          <w:rFonts w:ascii="Times New Roman" w:eastAsia="Times New Roman" w:hAnsi="Times New Roman" w:cs="Times New Roman"/>
          <w:noProof w:val="0"/>
          <w:color w:val="0E101A"/>
          <w:sz w:val="26"/>
          <w:szCs w:val="26"/>
          <w:lang w:val="en-US"/>
        </w:rPr>
        <w:t>Bireh</w:t>
      </w:r>
      <w:proofErr w:type="spellEnd"/>
      <w:r w:rsidRPr="00CD0138">
        <w:rPr>
          <w:rFonts w:ascii="Times New Roman" w:eastAsia="Times New Roman" w:hAnsi="Times New Roman" w:cs="Times New Roman"/>
          <w:noProof w:val="0"/>
          <w:color w:val="0E101A"/>
          <w:sz w:val="26"/>
          <w:szCs w:val="26"/>
          <w:lang w:val="en-US"/>
        </w:rPr>
        <w:t xml:space="preserve"> Station, on the other hand, had the minimum average hours of sunlight with only 8.3 hours per day.</w:t>
      </w:r>
    </w:p>
    <w:p w:rsidR="00927FE9" w:rsidRPr="00927FE9" w:rsidRDefault="00927FE9" w:rsidP="00927FE9">
      <w:pPr>
        <w:bidi w:val="0"/>
        <w:spacing w:after="0" w:line="240" w:lineRule="auto"/>
        <w:rPr>
          <w:rFonts w:ascii="Times New Roman" w:eastAsia="Times New Roman" w:hAnsi="Times New Roman" w:cs="Times New Roman"/>
          <w:b/>
          <w:bCs/>
          <w:noProof w:val="0"/>
          <w:color w:val="0E101A"/>
          <w:sz w:val="24"/>
          <w:szCs w:val="24"/>
          <w:lang w:val="en-US"/>
        </w:rPr>
      </w:pPr>
    </w:p>
    <w:p w:rsidR="001D5636" w:rsidRPr="00927FE9" w:rsidRDefault="001D5636">
      <w:pPr>
        <w:rPr>
          <w:b/>
          <w:bCs/>
        </w:rPr>
      </w:pPr>
    </w:p>
    <w:sectPr w:rsidR="001D5636" w:rsidRPr="00927FE9" w:rsidSect="00CD013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70" w:rsidRDefault="001B3670" w:rsidP="00015FE3">
      <w:pPr>
        <w:spacing w:after="0" w:line="240" w:lineRule="auto"/>
      </w:pPr>
      <w:r>
        <w:separator/>
      </w:r>
    </w:p>
  </w:endnote>
  <w:endnote w:type="continuationSeparator" w:id="0">
    <w:p w:rsidR="001B3670" w:rsidRDefault="001B3670" w:rsidP="0001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998462153"/>
      <w:docPartObj>
        <w:docPartGallery w:val="Page Numbers (Bottom of Page)"/>
        <w:docPartUnique/>
      </w:docPartObj>
    </w:sdtPr>
    <w:sdtEndPr>
      <w:rPr>
        <w:noProof/>
      </w:rPr>
    </w:sdtEndPr>
    <w:sdtContent>
      <w:p w:rsidR="00015FE3" w:rsidRDefault="00015FE3">
        <w:pPr>
          <w:pStyle w:val="Footer"/>
          <w:jc w:val="center"/>
        </w:pPr>
        <w:r>
          <w:rPr>
            <w:noProof w:val="0"/>
          </w:rPr>
          <w:fldChar w:fldCharType="begin"/>
        </w:r>
        <w:r>
          <w:instrText xml:space="preserve"> PAGE   \* MERGEFORMAT </w:instrText>
        </w:r>
        <w:r>
          <w:rPr>
            <w:noProof w:val="0"/>
          </w:rPr>
          <w:fldChar w:fldCharType="separate"/>
        </w:r>
        <w:r w:rsidR="00206CE4">
          <w:rPr>
            <w:rtl/>
          </w:rPr>
          <w:t>1</w:t>
        </w:r>
        <w:r>
          <w:fldChar w:fldCharType="end"/>
        </w:r>
      </w:p>
    </w:sdtContent>
  </w:sdt>
  <w:p w:rsidR="00015FE3" w:rsidRDefault="00015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70" w:rsidRDefault="001B3670" w:rsidP="00015FE3">
      <w:pPr>
        <w:spacing w:after="0" w:line="240" w:lineRule="auto"/>
      </w:pPr>
      <w:r>
        <w:separator/>
      </w:r>
    </w:p>
  </w:footnote>
  <w:footnote w:type="continuationSeparator" w:id="0">
    <w:p w:rsidR="001B3670" w:rsidRDefault="001B3670" w:rsidP="00015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WxNDExMzM1NDQxMDVT0lEKTi0uzszPAykwrAUAjz27FywAAAA="/>
  </w:docVars>
  <w:rsids>
    <w:rsidRoot w:val="00927FE9"/>
    <w:rsid w:val="00015FE3"/>
    <w:rsid w:val="001B3670"/>
    <w:rsid w:val="001D5636"/>
    <w:rsid w:val="00206CE4"/>
    <w:rsid w:val="003160E0"/>
    <w:rsid w:val="005B3769"/>
    <w:rsid w:val="00927FE9"/>
    <w:rsid w:val="00AF414A"/>
    <w:rsid w:val="00CD0138"/>
    <w:rsid w:val="00CE7876"/>
    <w:rsid w:val="00E10AAA"/>
    <w:rsid w:val="00F84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9B60"/>
  <w15:chartTrackingRefBased/>
  <w15:docId w15:val="{638BDB98-B7AD-40FF-9BC3-38079862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36"/>
    <w:pPr>
      <w:bidi/>
    </w:pPr>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FE9"/>
    <w:pPr>
      <w:bidi w:val="0"/>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927FE9"/>
    <w:rPr>
      <w:b/>
      <w:bCs/>
    </w:rPr>
  </w:style>
  <w:style w:type="paragraph" w:styleId="BodyText2">
    <w:name w:val="Body Text 2"/>
    <w:basedOn w:val="Normal"/>
    <w:link w:val="BodyText2Char"/>
    <w:semiHidden/>
    <w:rsid w:val="00E10AAA"/>
    <w:pPr>
      <w:spacing w:after="120" w:line="480" w:lineRule="auto"/>
    </w:pPr>
    <w:rPr>
      <w:rFonts w:ascii="Times New Roman" w:eastAsia="Times New Roman" w:hAnsi="Times New Roman" w:cs="Times New Roman"/>
      <w:noProof w:val="0"/>
      <w:sz w:val="24"/>
      <w:szCs w:val="24"/>
      <w:lang w:val="en-US" w:eastAsia="ar-SA"/>
    </w:rPr>
  </w:style>
  <w:style w:type="character" w:customStyle="1" w:styleId="BodyText2Char">
    <w:name w:val="Body Text 2 Char"/>
    <w:basedOn w:val="DefaultParagraphFont"/>
    <w:link w:val="BodyText2"/>
    <w:semiHidden/>
    <w:rsid w:val="00E10AA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01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E3"/>
    <w:rPr>
      <w:noProof/>
      <w:lang w:val="en-GB"/>
    </w:rPr>
  </w:style>
  <w:style w:type="paragraph" w:styleId="Footer">
    <w:name w:val="footer"/>
    <w:basedOn w:val="Normal"/>
    <w:link w:val="FooterChar"/>
    <w:uiPriority w:val="99"/>
    <w:unhideWhenUsed/>
    <w:rsid w:val="0001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E3"/>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171">
      <w:bodyDiv w:val="1"/>
      <w:marLeft w:val="0"/>
      <w:marRight w:val="0"/>
      <w:marTop w:val="0"/>
      <w:marBottom w:val="0"/>
      <w:divBdr>
        <w:top w:val="none" w:sz="0" w:space="0" w:color="auto"/>
        <w:left w:val="none" w:sz="0" w:space="0" w:color="auto"/>
        <w:bottom w:val="none" w:sz="0" w:space="0" w:color="auto"/>
        <w:right w:val="none" w:sz="0" w:space="0" w:color="auto"/>
      </w:divBdr>
    </w:div>
    <w:div w:id="814955685">
      <w:bodyDiv w:val="1"/>
      <w:marLeft w:val="0"/>
      <w:marRight w:val="0"/>
      <w:marTop w:val="0"/>
      <w:marBottom w:val="0"/>
      <w:divBdr>
        <w:top w:val="none" w:sz="0" w:space="0" w:color="auto"/>
        <w:left w:val="none" w:sz="0" w:space="0" w:color="auto"/>
        <w:bottom w:val="none" w:sz="0" w:space="0" w:color="auto"/>
        <w:right w:val="none" w:sz="0" w:space="0" w:color="auto"/>
      </w:divBdr>
    </w:div>
    <w:div w:id="18000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2360248447205"/>
          <c:y val="5.5E-2"/>
          <c:w val="0.87267080745341619"/>
          <c:h val="0.73"/>
        </c:manualLayout>
      </c:layout>
      <c:barChart>
        <c:barDir val="col"/>
        <c:grouping val="clustered"/>
        <c:varyColors val="0"/>
        <c:ser>
          <c:idx val="0"/>
          <c:order val="0"/>
          <c:tx>
            <c:strRef>
              <c:f>Sheet1!$A$2</c:f>
              <c:strCache>
                <c:ptCount val="1"/>
                <c:pt idx="0">
                  <c:v>الفرق </c:v>
                </c:pt>
              </c:strCache>
            </c:strRef>
          </c:tx>
          <c:spPr>
            <a:solidFill>
              <a:srgbClr val="9999FF"/>
            </a:solidFill>
            <a:ln w="12695">
              <a:solidFill>
                <a:srgbClr val="000000"/>
              </a:solidFill>
              <a:prstDash val="solid"/>
            </a:ln>
          </c:spPr>
          <c:invertIfNegative val="0"/>
          <c:dLbls>
            <c:dLbl>
              <c:idx val="3"/>
              <c:layout>
                <c:manualLayout>
                  <c:x val="9.0666158563812438E-3"/>
                  <c:y val="-4.7807166553419378E-2"/>
                </c:manualLayout>
              </c:layout>
              <c:numFmt formatCode="0.0" sourceLinked="0"/>
              <c:spPr>
                <a:noFill/>
                <a:ln w="25390">
                  <a:noFill/>
                </a:ln>
              </c:spPr>
              <c:txPr>
                <a:bodyPr/>
                <a:lstStyle/>
                <a:p>
                  <a:pPr>
                    <a:defRPr sz="625"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7D-4CBC-A193-15741E6D4450}"/>
                </c:ext>
              </c:extLst>
            </c:dLbl>
            <c:dLbl>
              <c:idx val="4"/>
              <c:layout>
                <c:manualLayout>
                  <c:x val="1.0234023688677651E-2"/>
                  <c:y val="-5.0057356409129006E-2"/>
                </c:manualLayout>
              </c:layout>
              <c:numFmt formatCode="0.0" sourceLinked="0"/>
              <c:spPr>
                <a:noFill/>
                <a:ln w="25390">
                  <a:noFill/>
                </a:ln>
              </c:spPr>
              <c:txPr>
                <a:bodyPr/>
                <a:lstStyle/>
                <a:p>
                  <a:pPr>
                    <a:defRPr sz="625"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7D-4CBC-A193-15741E6D4450}"/>
                </c:ext>
              </c:extLst>
            </c:dLbl>
            <c:numFmt formatCode="0.0" sourceLinked="0"/>
            <c:spPr>
              <a:noFill/>
              <a:ln w="25390">
                <a:noFill/>
              </a:ln>
            </c:spPr>
            <c:txPr>
              <a:bodyPr wrap="square" lIns="38100" tIns="19050" rIns="38100" bIns="19050" anchor="ctr">
                <a:spAutoFit/>
              </a:bodyPr>
              <a:lstStyle/>
              <a:p>
                <a:pPr>
                  <a:defRPr sz="625"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Jenin</c:v>
                </c:pt>
                <c:pt idx="2">
                  <c:v>Hebron</c:v>
                </c:pt>
                <c:pt idx="3">
                  <c:v>Nablus</c:v>
                </c:pt>
                <c:pt idx="4">
                  <c:v>Ramallah and  Al-Bireh</c:v>
                </c:pt>
              </c:strCache>
            </c:strRef>
          </c:cat>
          <c:val>
            <c:numRef>
              <c:f>Sheet1!$B$2:$F$2</c:f>
              <c:numCache>
                <c:formatCode>General</c:formatCode>
                <c:ptCount val="5"/>
                <c:pt idx="0">
                  <c:v>3.4</c:v>
                </c:pt>
                <c:pt idx="1">
                  <c:v>2</c:v>
                </c:pt>
                <c:pt idx="2">
                  <c:v>1.9</c:v>
                </c:pt>
                <c:pt idx="3">
                  <c:v>1.8</c:v>
                </c:pt>
                <c:pt idx="4">
                  <c:v>0.5</c:v>
                </c:pt>
              </c:numCache>
            </c:numRef>
          </c:val>
          <c:extLst>
            <c:ext xmlns:c16="http://schemas.microsoft.com/office/drawing/2014/chart" uri="{C3380CC4-5D6E-409C-BE32-E72D297353CC}">
              <c16:uniqueId val="{00000002-2B7D-4CBC-A193-15741E6D4450}"/>
            </c:ext>
          </c:extLst>
        </c:ser>
        <c:dLbls>
          <c:showLegendKey val="0"/>
          <c:showVal val="0"/>
          <c:showCatName val="0"/>
          <c:showSerName val="0"/>
          <c:showPercent val="0"/>
          <c:showBubbleSize val="0"/>
        </c:dLbls>
        <c:gapWidth val="190"/>
        <c:axId val="167970104"/>
        <c:axId val="1"/>
      </c:barChart>
      <c:catAx>
        <c:axId val="167970104"/>
        <c:scaling>
          <c:orientation val="minMax"/>
        </c:scaling>
        <c:delete val="0"/>
        <c:axPos val="b"/>
        <c:title>
          <c:tx>
            <c:rich>
              <a:bodyPr/>
              <a:lstStyle/>
              <a:p>
                <a:pPr>
                  <a:defRPr sz="875" b="1"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2236024844720499"/>
              <c:y val="0.89"/>
            </c:manualLayout>
          </c:layout>
          <c:overlay val="0"/>
          <c:spPr>
            <a:noFill/>
            <a:ln w="25390">
              <a:noFill/>
            </a:ln>
          </c:spPr>
        </c:title>
        <c:numFmt formatCode="General" sourceLinked="1"/>
        <c:majorTickMark val="none"/>
        <c:minorTickMark val="none"/>
        <c:tickLblPos val="nextTo"/>
        <c:spPr>
          <a:ln w="3174">
            <a:solidFill>
              <a:srgbClr val="000000"/>
            </a:solidFill>
            <a:prstDash val="solid"/>
          </a:ln>
        </c:spPr>
        <c:txPr>
          <a:bodyPr rot="0" vert="horz"/>
          <a:lstStyle/>
          <a:p>
            <a:pPr>
              <a:defRPr sz="625" b="0" i="0" u="none" strike="noStrike" baseline="0">
                <a:solidFill>
                  <a:srgbClr val="000000"/>
                </a:solidFill>
                <a:latin typeface="Arial"/>
                <a:ea typeface="Arial"/>
                <a:cs typeface="Arial"/>
              </a:defRPr>
            </a:pPr>
            <a:endParaRPr lang="en-US"/>
          </a:p>
        </c:txPr>
        <c:crossAx val="1"/>
        <c:crosses val="autoZero"/>
        <c:auto val="1"/>
        <c:lblAlgn val="ctr"/>
        <c:lblOffset val="5"/>
        <c:tickLblSkip val="1"/>
        <c:tickMarkSkip val="1"/>
        <c:noMultiLvlLbl val="0"/>
      </c:catAx>
      <c:valAx>
        <c:axId val="1"/>
        <c:scaling>
          <c:orientation val="minMax"/>
          <c:max val="4"/>
          <c:min val="0"/>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67970104"/>
        <c:crosses val="autoZero"/>
        <c:crossBetween val="between"/>
        <c:majorUnit val="1"/>
      </c:valAx>
      <c:spPr>
        <a:noFill/>
        <a:ln w="25390">
          <a:noFill/>
        </a:ln>
      </c:spPr>
    </c:plotArea>
    <c:plotVisOnly val="1"/>
    <c:dispBlanksAs val="gap"/>
    <c:showDLblsOverMax val="0"/>
  </c:chart>
  <c:spPr>
    <a:noFill/>
    <a:ln w="3174">
      <a:solidFill>
        <a:srgbClr val="000000"/>
      </a:solidFill>
      <a:prstDash val="solid"/>
    </a:ln>
  </c:spPr>
  <c:txPr>
    <a:bodyPr/>
    <a:lstStyle/>
    <a:p>
      <a:pPr>
        <a:defRPr sz="8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3174061433447"/>
          <c:y val="6.2146892655367235E-2"/>
          <c:w val="0.85665529010238906"/>
          <c:h val="0.56497175141242939"/>
        </c:manualLayout>
      </c:layout>
      <c:barChart>
        <c:barDir val="col"/>
        <c:grouping val="clustered"/>
        <c:varyColors val="0"/>
        <c:ser>
          <c:idx val="0"/>
          <c:order val="0"/>
          <c:tx>
            <c:strRef>
              <c:f>Sheet1!$A$2</c:f>
              <c:strCache>
                <c:ptCount val="1"/>
                <c:pt idx="0">
                  <c:v>الفرق </c:v>
                </c:pt>
              </c:strCache>
            </c:strRef>
          </c:tx>
          <c:spPr>
            <a:solidFill>
              <a:srgbClr val="9999FF"/>
            </a:solidFill>
            <a:ln w="12681">
              <a:solidFill>
                <a:srgbClr val="000000"/>
              </a:solidFill>
              <a:prstDash val="solid"/>
            </a:ln>
          </c:spPr>
          <c:invertIfNegative val="0"/>
          <c:dLbls>
            <c:dLbl>
              <c:idx val="3"/>
              <c:layout>
                <c:manualLayout>
                  <c:x val="1.8931633385198876E-2"/>
                  <c:y val="-0.12129410671825575"/>
                </c:manualLayout>
              </c:layout>
              <c:numFmt formatCode="0.0" sourceLinked="0"/>
              <c:spPr>
                <a:noFill/>
                <a:ln w="25362">
                  <a:noFill/>
                </a:ln>
              </c:spPr>
              <c:txPr>
                <a:bodyPr/>
                <a:lstStyle/>
                <a:p>
                  <a:pPr>
                    <a:defRPr sz="799"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CD-48F5-8A4A-A90BAE03F6BE}"/>
                </c:ext>
              </c:extLst>
            </c:dLbl>
            <c:dLbl>
              <c:idx val="4"/>
              <c:layout>
                <c:manualLayout>
                  <c:x val="3.1549633233270979E-3"/>
                  <c:y val="-6.1030480763361983E-2"/>
                </c:manualLayout>
              </c:layout>
              <c:numFmt formatCode="0.0" sourceLinked="0"/>
              <c:spPr>
                <a:noFill/>
                <a:ln w="25362">
                  <a:noFill/>
                </a:ln>
              </c:spPr>
              <c:txPr>
                <a:bodyPr/>
                <a:lstStyle/>
                <a:p>
                  <a:pPr>
                    <a:defRPr sz="799"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CD-48F5-8A4A-A90BAE03F6BE}"/>
                </c:ext>
              </c:extLst>
            </c:dLbl>
            <c:numFmt formatCode="0.0" sourceLinked="0"/>
            <c:spPr>
              <a:noFill/>
              <a:ln w="25362">
                <a:noFill/>
              </a:ln>
            </c:spPr>
            <c:txPr>
              <a:bodyPr wrap="square" lIns="38100" tIns="19050" rIns="38100" bIns="19050" anchor="ctr">
                <a:spAutoFit/>
              </a:bodyPr>
              <a:lstStyle/>
              <a:p>
                <a:pPr>
                  <a:defRPr sz="799"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Nablus</c:v>
                </c:pt>
                <c:pt idx="2">
                  <c:v>Hebron</c:v>
                </c:pt>
                <c:pt idx="3">
                  <c:v>Jenin</c:v>
                </c:pt>
                <c:pt idx="4">
                  <c:v>Ramallah and  Al-Bireh</c:v>
                </c:pt>
              </c:strCache>
            </c:strRef>
          </c:cat>
          <c:val>
            <c:numRef>
              <c:f>Sheet1!$B$2:$F$2</c:f>
              <c:numCache>
                <c:formatCode>General</c:formatCode>
                <c:ptCount val="5"/>
                <c:pt idx="0">
                  <c:v>2.7</c:v>
                </c:pt>
                <c:pt idx="1">
                  <c:v>2.5</c:v>
                </c:pt>
                <c:pt idx="2">
                  <c:v>2.4</c:v>
                </c:pt>
                <c:pt idx="3">
                  <c:v>1</c:v>
                </c:pt>
                <c:pt idx="4">
                  <c:v>0.9</c:v>
                </c:pt>
              </c:numCache>
            </c:numRef>
          </c:val>
          <c:extLst>
            <c:ext xmlns:c16="http://schemas.microsoft.com/office/drawing/2014/chart" uri="{C3380CC4-5D6E-409C-BE32-E72D297353CC}">
              <c16:uniqueId val="{00000002-2CCD-48F5-8A4A-A90BAE03F6BE}"/>
            </c:ext>
          </c:extLst>
        </c:ser>
        <c:dLbls>
          <c:showLegendKey val="0"/>
          <c:showVal val="0"/>
          <c:showCatName val="0"/>
          <c:showSerName val="0"/>
          <c:showPercent val="0"/>
          <c:showBubbleSize val="0"/>
        </c:dLbls>
        <c:gapWidth val="190"/>
        <c:axId val="167583344"/>
        <c:axId val="1"/>
      </c:barChart>
      <c:catAx>
        <c:axId val="167583344"/>
        <c:scaling>
          <c:orientation val="minMax"/>
        </c:scaling>
        <c:delete val="0"/>
        <c:axPos val="b"/>
        <c:title>
          <c:tx>
            <c:rich>
              <a:bodyPr/>
              <a:lstStyle/>
              <a:p>
                <a:pPr>
                  <a:defRPr sz="874" b="1"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2320819112627989"/>
              <c:y val="0.87570621468926557"/>
            </c:manualLayout>
          </c:layout>
          <c:overlay val="0"/>
          <c:spPr>
            <a:noFill/>
            <a:ln w="25362">
              <a:noFill/>
            </a:ln>
          </c:spPr>
        </c:title>
        <c:numFmt formatCode="General" sourceLinked="1"/>
        <c:majorTickMark val="none"/>
        <c:minorTickMark val="none"/>
        <c:tickLblPos val="nextTo"/>
        <c:spPr>
          <a:ln w="3170">
            <a:solidFill>
              <a:srgbClr val="000000"/>
            </a:solidFill>
            <a:prstDash val="solid"/>
          </a:ln>
        </c:spPr>
        <c:txPr>
          <a:bodyPr rot="0" vert="horz"/>
          <a:lstStyle/>
          <a:p>
            <a:pPr>
              <a:defRPr sz="774" b="0" i="0" u="none" strike="noStrike" baseline="0">
                <a:solidFill>
                  <a:srgbClr val="000000"/>
                </a:solidFill>
                <a:latin typeface="Arial"/>
                <a:ea typeface="Arial"/>
                <a:cs typeface="Arial"/>
              </a:defRPr>
            </a:pPr>
            <a:endParaRPr lang="en-US"/>
          </a:p>
        </c:txPr>
        <c:crossAx val="1"/>
        <c:crosses val="autoZero"/>
        <c:auto val="1"/>
        <c:lblAlgn val="ctr"/>
        <c:lblOffset val="5"/>
        <c:tickLblSkip val="1"/>
        <c:tickMarkSkip val="1"/>
        <c:noMultiLvlLbl val="0"/>
      </c:catAx>
      <c:valAx>
        <c:axId val="1"/>
        <c:scaling>
          <c:orientation val="minMax"/>
          <c:max val="3"/>
          <c:min val="0"/>
        </c:scaling>
        <c:delete val="0"/>
        <c:axPos val="l"/>
        <c:title>
          <c:tx>
            <c:rich>
              <a:bodyPr/>
              <a:lstStyle/>
              <a:p>
                <a:pPr>
                  <a:defRPr sz="874" b="1" i="0" u="none" strike="noStrike" baseline="0">
                    <a:solidFill>
                      <a:srgbClr val="000000"/>
                    </a:solidFill>
                    <a:latin typeface="Times New Roman"/>
                    <a:ea typeface="Times New Roman"/>
                    <a:cs typeface="Times New Roman"/>
                  </a:defRPr>
                </a:pPr>
                <a:r>
                  <a:rPr lang="en-US"/>
                  <a:t>Variations</a:t>
                </a:r>
              </a:p>
            </c:rich>
          </c:tx>
          <c:layout>
            <c:manualLayout>
              <c:xMode val="edge"/>
              <c:yMode val="edge"/>
              <c:x val="6.8259385665529011E-3"/>
              <c:y val="0.1751412429378531"/>
            </c:manualLayout>
          </c:layout>
          <c:overlay val="0"/>
          <c:spPr>
            <a:noFill/>
            <a:ln w="25362">
              <a:noFill/>
            </a:ln>
          </c:spPr>
        </c:title>
        <c:numFmt formatCode="General" sourceLinked="1"/>
        <c:majorTickMark val="out"/>
        <c:minorTickMark val="none"/>
        <c:tickLblPos val="nextTo"/>
        <c:spPr>
          <a:ln w="3170">
            <a:solidFill>
              <a:srgbClr val="000000"/>
            </a:solidFill>
            <a:prstDash val="solid"/>
          </a:ln>
        </c:spPr>
        <c:txPr>
          <a:bodyPr rot="0" vert="horz"/>
          <a:lstStyle/>
          <a:p>
            <a:pPr>
              <a:defRPr sz="849" b="0" i="0" u="none" strike="noStrike" baseline="0">
                <a:solidFill>
                  <a:srgbClr val="000000"/>
                </a:solidFill>
                <a:latin typeface="Arial"/>
                <a:ea typeface="Arial"/>
                <a:cs typeface="Arial"/>
              </a:defRPr>
            </a:pPr>
            <a:endParaRPr lang="en-US"/>
          </a:p>
        </c:txPr>
        <c:crossAx val="167583344"/>
        <c:crosses val="autoZero"/>
        <c:crossBetween val="between"/>
        <c:majorUnit val="1"/>
      </c:valAx>
      <c:spPr>
        <a:noFill/>
        <a:ln w="25362">
          <a:noFill/>
        </a:ln>
      </c:spPr>
    </c:plotArea>
    <c:plotVisOnly val="1"/>
    <c:dispBlanksAs val="gap"/>
    <c:showDLblsOverMax val="0"/>
  </c:chart>
  <c:spPr>
    <a:noFill/>
    <a:ln w="3170">
      <a:solidFill>
        <a:srgbClr val="000000"/>
      </a:solidFill>
      <a:prstDash val="solid"/>
    </a:ln>
  </c:spPr>
  <c:txPr>
    <a:bodyPr/>
    <a:lstStyle/>
    <a:p>
      <a:pPr>
        <a:defRPr sz="799"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4237288135594"/>
          <c:y val="6.4705882352941183E-2"/>
          <c:w val="0.8203389830508474"/>
          <c:h val="0.54117647058823526"/>
        </c:manualLayout>
      </c:layout>
      <c:barChart>
        <c:barDir val="col"/>
        <c:grouping val="clustered"/>
        <c:varyColors val="0"/>
        <c:ser>
          <c:idx val="0"/>
          <c:order val="0"/>
          <c:tx>
            <c:strRef>
              <c:f>Sheet1!$A$2</c:f>
              <c:strCache>
                <c:ptCount val="1"/>
                <c:pt idx="0">
                  <c:v>الفرق </c:v>
                </c:pt>
              </c:strCache>
            </c:strRef>
          </c:tx>
          <c:spPr>
            <a:solidFill>
              <a:srgbClr val="9999FF"/>
            </a:solidFill>
            <a:ln w="12683">
              <a:solidFill>
                <a:srgbClr val="000000"/>
              </a:solidFill>
              <a:prstDash val="solid"/>
            </a:ln>
          </c:spPr>
          <c:invertIfNegative val="0"/>
          <c:dLbls>
            <c:numFmt formatCode="0.0" sourceLinked="0"/>
            <c:spPr>
              <a:noFill/>
              <a:ln w="25366">
                <a:noFill/>
              </a:ln>
            </c:spPr>
            <c:txPr>
              <a:bodyPr wrap="square" lIns="38100" tIns="19050" rIns="38100" bIns="19050" anchor="ctr">
                <a:spAutoFit/>
              </a:bodyPr>
              <a:lstStyle/>
              <a:p>
                <a:pPr>
                  <a:defRPr sz="849"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Jenin</c:v>
                </c:pt>
                <c:pt idx="2">
                  <c:v>Hebron</c:v>
                </c:pt>
                <c:pt idx="3">
                  <c:v>Nablus</c:v>
                </c:pt>
                <c:pt idx="4">
                  <c:v>Ramallah</c:v>
                </c:pt>
              </c:strCache>
            </c:strRef>
          </c:cat>
          <c:val>
            <c:numRef>
              <c:f>Sheet1!$B$2:$F$2</c:f>
              <c:numCache>
                <c:formatCode>General</c:formatCode>
                <c:ptCount val="5"/>
                <c:pt idx="0">
                  <c:v>5.5</c:v>
                </c:pt>
                <c:pt idx="1">
                  <c:v>4.3</c:v>
                </c:pt>
                <c:pt idx="2">
                  <c:v>2.9</c:v>
                </c:pt>
                <c:pt idx="3">
                  <c:v>2.4</c:v>
                </c:pt>
                <c:pt idx="4">
                  <c:v>0.9</c:v>
                </c:pt>
              </c:numCache>
            </c:numRef>
          </c:val>
          <c:extLst>
            <c:ext xmlns:c16="http://schemas.microsoft.com/office/drawing/2014/chart" uri="{C3380CC4-5D6E-409C-BE32-E72D297353CC}">
              <c16:uniqueId val="{00000000-4086-4D7D-960A-C087E1371E2E}"/>
            </c:ext>
          </c:extLst>
        </c:ser>
        <c:dLbls>
          <c:showLegendKey val="0"/>
          <c:showVal val="0"/>
          <c:showCatName val="0"/>
          <c:showSerName val="0"/>
          <c:showPercent val="0"/>
          <c:showBubbleSize val="0"/>
        </c:dLbls>
        <c:gapWidth val="150"/>
        <c:axId val="167883312"/>
        <c:axId val="1"/>
      </c:barChart>
      <c:catAx>
        <c:axId val="167883312"/>
        <c:scaling>
          <c:orientation val="minMax"/>
        </c:scaling>
        <c:delete val="0"/>
        <c:axPos val="b"/>
        <c:title>
          <c:tx>
            <c:rich>
              <a:bodyPr/>
              <a:lstStyle/>
              <a:p>
                <a:pPr>
                  <a:defRPr sz="849" b="1"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88135593220339"/>
              <c:y val="0.88235294117647056"/>
            </c:manualLayout>
          </c:layout>
          <c:overlay val="0"/>
          <c:spPr>
            <a:noFill/>
            <a:ln w="25366">
              <a:noFill/>
            </a:ln>
          </c:spPr>
        </c:title>
        <c:numFmt formatCode="General" sourceLinked="1"/>
        <c:majorTickMark val="none"/>
        <c:minorTickMark val="none"/>
        <c:tickLblPos val="nextTo"/>
        <c:spPr>
          <a:ln w="3171">
            <a:solidFill>
              <a:srgbClr val="000000"/>
            </a:solidFill>
            <a:prstDash val="solid"/>
          </a:ln>
        </c:spPr>
        <c:txPr>
          <a:bodyPr rot="0" vert="horz"/>
          <a:lstStyle/>
          <a:p>
            <a:pPr>
              <a:defRPr sz="849" b="0" i="0" u="none" strike="noStrike" baseline="0">
                <a:solidFill>
                  <a:srgbClr val="000000"/>
                </a:solidFill>
                <a:latin typeface="Simplified Arabic"/>
                <a:ea typeface="Simplified Arabic"/>
                <a:cs typeface="Simplified Arabic"/>
              </a:defRPr>
            </a:pPr>
            <a:endParaRPr lang="en-US"/>
          </a:p>
        </c:txPr>
        <c:crossAx val="1"/>
        <c:crosses val="autoZero"/>
        <c:auto val="1"/>
        <c:lblAlgn val="ctr"/>
        <c:lblOffset val="0"/>
        <c:tickLblSkip val="1"/>
        <c:tickMarkSkip val="1"/>
        <c:noMultiLvlLbl val="0"/>
      </c:catAx>
      <c:valAx>
        <c:axId val="1"/>
        <c:scaling>
          <c:orientation val="minMax"/>
          <c:max val="6"/>
        </c:scaling>
        <c:delete val="0"/>
        <c:axPos val="l"/>
        <c:title>
          <c:tx>
            <c:rich>
              <a:bodyPr/>
              <a:lstStyle/>
              <a:p>
                <a:pPr>
                  <a:defRPr sz="849" b="1" i="0" u="none" strike="noStrike" baseline="0">
                    <a:solidFill>
                      <a:srgbClr val="000000"/>
                    </a:solidFill>
                    <a:latin typeface="Times New Roman"/>
                    <a:ea typeface="Times New Roman"/>
                    <a:cs typeface="Times New Roman"/>
                  </a:defRPr>
                </a:pPr>
                <a:r>
                  <a:rPr lang="en-US"/>
                  <a:t>Variations</a:t>
                </a:r>
              </a:p>
            </c:rich>
          </c:tx>
          <c:layout>
            <c:manualLayout>
              <c:xMode val="edge"/>
              <c:yMode val="edge"/>
              <c:x val="3.3898305084745763E-2"/>
              <c:y val="0.1588235294117647"/>
            </c:manualLayout>
          </c:layout>
          <c:overlay val="0"/>
          <c:spPr>
            <a:noFill/>
            <a:ln w="25366">
              <a:noFill/>
            </a:ln>
          </c:spPr>
        </c:title>
        <c:numFmt formatCode="General" sourceLinked="1"/>
        <c:majorTickMark val="out"/>
        <c:minorTickMark val="none"/>
        <c:tickLblPos val="nextTo"/>
        <c:spPr>
          <a:ln w="3171">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n-US"/>
          </a:p>
        </c:txPr>
        <c:crossAx val="167883312"/>
        <c:crosses val="autoZero"/>
        <c:crossBetween val="between"/>
        <c:majorUnit val="1"/>
      </c:valAx>
      <c:spPr>
        <a:noFill/>
        <a:ln w="25366">
          <a:noFill/>
        </a:ln>
      </c:spPr>
    </c:plotArea>
    <c:plotVisOnly val="1"/>
    <c:dispBlanksAs val="gap"/>
    <c:showDLblsOverMax val="0"/>
  </c:chart>
  <c:spPr>
    <a:noFill/>
    <a:ln w="3171">
      <a:solidFill>
        <a:srgbClr val="000000"/>
      </a:solidFill>
      <a:prstDash val="solid"/>
    </a:ln>
  </c:spPr>
  <c:txPr>
    <a:bodyPr/>
    <a:lstStyle/>
    <a:p>
      <a:pPr>
        <a:defRPr sz="799" b="1"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0.002</cdr:y>
    </cdr:from>
    <cdr:to>
      <cdr:x>0.05275</cdr:x>
      <cdr:y>0.992</cdr:y>
    </cdr:to>
    <cdr:sp macro="" textlink="">
      <cdr:nvSpPr>
        <cdr:cNvPr id="1025" name="Text Box 1"/>
        <cdr:cNvSpPr txBox="1">
          <a:spLocks xmlns:a="http://schemas.openxmlformats.org/drawingml/2006/main" noChangeArrowheads="1"/>
        </cdr:cNvSpPr>
      </cdr:nvSpPr>
      <cdr:spPr bwMode="auto">
        <a:xfrm xmlns:a="http://schemas.openxmlformats.org/drawingml/2006/main">
          <a:off x="0" y="3810"/>
          <a:ext cx="161787" cy="18859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0">
            <a:defRPr sz="1000"/>
          </a:pPr>
          <a:r>
            <a:rPr lang="en-US" sz="700" b="0" i="0" u="none" strike="noStrike" baseline="0">
              <a:solidFill>
                <a:srgbClr val="000000"/>
              </a:solidFill>
              <a:latin typeface="Calibri"/>
              <a:cs typeface="Calibri"/>
            </a:rPr>
            <a:t>Difference from the mean averge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PCBS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Awad</dc:creator>
  <cp:keywords/>
  <dc:description/>
  <cp:lastModifiedBy>pcbs</cp:lastModifiedBy>
  <cp:revision>5</cp:revision>
  <cp:lastPrinted>2024-03-21T13:47:00Z</cp:lastPrinted>
  <dcterms:created xsi:type="dcterms:W3CDTF">2024-03-21T13:37:00Z</dcterms:created>
  <dcterms:modified xsi:type="dcterms:W3CDTF">2024-03-21T13:48:00Z</dcterms:modified>
</cp:coreProperties>
</file>