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2E" w:rsidRPr="005E461A" w:rsidRDefault="00DA0B53" w:rsidP="005E461A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  <w:lang w:eastAsia="en-US"/>
        </w:rPr>
      </w:pPr>
      <w:r>
        <w:rPr>
          <w:b/>
          <w:bCs/>
          <w:color w:val="000000"/>
          <w:sz w:val="32"/>
          <w:szCs w:val="32"/>
          <w:lang w:eastAsia="en-US"/>
        </w:rPr>
        <w:t>T</w:t>
      </w:r>
      <w:r w:rsidR="00EB5DCF" w:rsidRPr="005E461A">
        <w:rPr>
          <w:b/>
          <w:bCs/>
          <w:color w:val="000000"/>
          <w:sz w:val="32"/>
          <w:szCs w:val="32"/>
          <w:lang w:eastAsia="en-US"/>
        </w:rPr>
        <w:t>he Palestinian Central Bureau of Statistics (PCBS) and the Palestinian Meteorological Directorate (PMD)</w:t>
      </w:r>
    </w:p>
    <w:p w:rsidR="006B192E" w:rsidRPr="005E461A" w:rsidRDefault="006B192E" w:rsidP="00EB5DCF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16"/>
          <w:szCs w:val="16"/>
          <w:lang w:eastAsia="en-US"/>
        </w:rPr>
      </w:pPr>
    </w:p>
    <w:p w:rsidR="001C2D12" w:rsidRPr="005E461A" w:rsidRDefault="00841738" w:rsidP="00EB5DCF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E461A">
        <w:rPr>
          <w:b/>
          <w:bCs/>
          <w:color w:val="000000"/>
          <w:sz w:val="28"/>
          <w:szCs w:val="28"/>
          <w:lang w:eastAsia="en-US"/>
        </w:rPr>
        <w:t xml:space="preserve">jointly issue a press release </w:t>
      </w:r>
      <w:r w:rsidR="001C2D12" w:rsidRPr="005E461A">
        <w:rPr>
          <w:b/>
          <w:bCs/>
          <w:color w:val="000000"/>
          <w:sz w:val="28"/>
          <w:szCs w:val="28"/>
          <w:lang w:eastAsia="en-US"/>
        </w:rPr>
        <w:t xml:space="preserve">on the Occasion of </w:t>
      </w:r>
      <w:r w:rsidR="00BF1582" w:rsidRPr="005E461A">
        <w:rPr>
          <w:b/>
          <w:bCs/>
          <w:color w:val="000000"/>
          <w:sz w:val="28"/>
          <w:szCs w:val="28"/>
          <w:lang w:eastAsia="en-US"/>
        </w:rPr>
        <w:t xml:space="preserve">the </w:t>
      </w:r>
      <w:r w:rsidR="001C2D12" w:rsidRPr="005E461A">
        <w:rPr>
          <w:b/>
          <w:bCs/>
          <w:color w:val="000000"/>
          <w:sz w:val="28"/>
          <w:szCs w:val="28"/>
          <w:lang w:eastAsia="en-US"/>
        </w:rPr>
        <w:t>World Meteorological Day</w:t>
      </w:r>
      <w:r w:rsidR="00844C0E" w:rsidRPr="005E461A">
        <w:rPr>
          <w:b/>
          <w:bCs/>
          <w:color w:val="000000"/>
          <w:sz w:val="28"/>
          <w:szCs w:val="28"/>
          <w:lang w:eastAsia="en-US"/>
        </w:rPr>
        <w:t xml:space="preserve"> (WMD)</w:t>
      </w:r>
      <w:r w:rsidR="001C2D12" w:rsidRPr="005E461A">
        <w:rPr>
          <w:b/>
          <w:bCs/>
          <w:color w:val="000000"/>
          <w:sz w:val="28"/>
          <w:szCs w:val="28"/>
          <w:lang w:eastAsia="en-US"/>
        </w:rPr>
        <w:t xml:space="preserve">, </w:t>
      </w:r>
      <w:r w:rsidR="00AF7048" w:rsidRPr="005E461A">
        <w:rPr>
          <w:b/>
          <w:bCs/>
          <w:color w:val="000000"/>
          <w:sz w:val="28"/>
          <w:szCs w:val="28"/>
          <w:lang w:eastAsia="en-US"/>
        </w:rPr>
        <w:t xml:space="preserve">on </w:t>
      </w:r>
      <w:r w:rsidR="001C2D12" w:rsidRPr="005E461A">
        <w:rPr>
          <w:b/>
          <w:bCs/>
          <w:color w:val="000000"/>
          <w:sz w:val="28"/>
          <w:szCs w:val="28"/>
          <w:lang w:eastAsia="en-US"/>
        </w:rPr>
        <w:t xml:space="preserve">March </w:t>
      </w:r>
      <w:r w:rsidRPr="005E461A">
        <w:rPr>
          <w:b/>
          <w:bCs/>
          <w:color w:val="000000"/>
          <w:sz w:val="28"/>
          <w:szCs w:val="28"/>
          <w:lang w:eastAsia="en-US"/>
        </w:rPr>
        <w:t>2</w:t>
      </w:r>
      <w:r w:rsidRPr="005E461A">
        <w:rPr>
          <w:rFonts w:hint="cs"/>
          <w:b/>
          <w:bCs/>
          <w:color w:val="000000"/>
          <w:sz w:val="28"/>
          <w:szCs w:val="28"/>
          <w:rtl/>
          <w:lang w:eastAsia="en-US"/>
        </w:rPr>
        <w:t>3</w:t>
      </w:r>
      <w:r w:rsidRPr="005E461A">
        <w:rPr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 w:rsidRPr="005E461A">
        <w:rPr>
          <w:b/>
          <w:bCs/>
          <w:color w:val="000000"/>
          <w:sz w:val="28"/>
          <w:szCs w:val="28"/>
          <w:lang w:eastAsia="en-US"/>
        </w:rPr>
        <w:t xml:space="preserve">, </w:t>
      </w:r>
      <w:r w:rsidR="00064E81" w:rsidRPr="005E461A">
        <w:rPr>
          <w:rFonts w:hint="cs"/>
          <w:b/>
          <w:bCs/>
          <w:color w:val="000000"/>
          <w:sz w:val="28"/>
          <w:szCs w:val="28"/>
          <w:rtl/>
          <w:lang w:eastAsia="en-US"/>
        </w:rPr>
        <w:t>2023</w:t>
      </w:r>
      <w:r w:rsidR="00C115D0" w:rsidRPr="005E461A">
        <w:rPr>
          <w:b/>
          <w:bCs/>
          <w:color w:val="000000"/>
          <w:sz w:val="28"/>
          <w:szCs w:val="28"/>
          <w:lang w:eastAsia="en-US"/>
        </w:rPr>
        <w:t>.</w:t>
      </w:r>
    </w:p>
    <w:p w:rsidR="00EB5DCF" w:rsidRPr="005E461A" w:rsidRDefault="00EB5DCF" w:rsidP="006B192E">
      <w:pPr>
        <w:pStyle w:val="Heading2"/>
        <w:shd w:val="clear" w:color="auto" w:fill="FFFFFF"/>
        <w:bidi w:val="0"/>
        <w:spacing w:before="0" w:after="0"/>
        <w:jc w:val="both"/>
        <w:rPr>
          <w:rFonts w:ascii="Times New Roman" w:hAnsi="Times New Roman" w:cs="Simplified Arabic"/>
          <w:b w:val="0"/>
          <w:bCs w:val="0"/>
          <w:i w:val="0"/>
          <w:iCs w:val="0"/>
          <w:color w:val="000000"/>
          <w:sz w:val="16"/>
          <w:szCs w:val="16"/>
          <w:lang w:eastAsia="en-US"/>
        </w:rPr>
      </w:pPr>
    </w:p>
    <w:p w:rsidR="005E461A" w:rsidRPr="005E461A" w:rsidRDefault="005E461A" w:rsidP="00EB5DCF">
      <w:pPr>
        <w:pStyle w:val="Heading2"/>
        <w:shd w:val="clear" w:color="auto" w:fill="FFFFFF"/>
        <w:bidi w:val="0"/>
        <w:spacing w:before="0" w:after="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8"/>
          <w:szCs w:val="8"/>
          <w:lang w:eastAsia="en-US"/>
        </w:rPr>
      </w:pPr>
    </w:p>
    <w:p w:rsidR="006D132E" w:rsidRPr="005E461A" w:rsidRDefault="00A55055" w:rsidP="005E461A">
      <w:pPr>
        <w:pStyle w:val="Heading2"/>
        <w:shd w:val="clear" w:color="auto" w:fill="FFFFFF"/>
        <w:bidi w:val="0"/>
        <w:spacing w:before="0" w:after="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6"/>
          <w:szCs w:val="26"/>
          <w:lang w:eastAsia="en-US"/>
        </w:rPr>
      </w:pPr>
      <w:r w:rsidRPr="005E461A">
        <w:rPr>
          <w:rFonts w:ascii="Times New Roman" w:eastAsia="Calibri" w:hAnsi="Times New Roman" w:cs="Times New Roman"/>
          <w:i w:val="0"/>
          <w:iCs w:val="0"/>
          <w:color w:val="000000"/>
          <w:sz w:val="26"/>
          <w:szCs w:val="26"/>
          <w:lang w:eastAsia="en-US"/>
        </w:rPr>
        <w:t>This Year’s Theme:</w:t>
      </w:r>
      <w:r w:rsidR="001A50FB" w:rsidRPr="005E461A">
        <w:rPr>
          <w:rFonts w:ascii="Times New Roman" w:eastAsia="Calibri" w:hAnsi="Times New Roman" w:cs="Times New Roman"/>
          <w:i w:val="0"/>
          <w:iCs w:val="0"/>
          <w:color w:val="000000"/>
          <w:sz w:val="26"/>
          <w:szCs w:val="26"/>
          <w:lang w:eastAsia="en-US"/>
        </w:rPr>
        <w:t xml:space="preserve"> </w:t>
      </w:r>
      <w:r w:rsidRPr="005E461A">
        <w:rPr>
          <w:rFonts w:ascii="Times New Roman" w:eastAsia="Calibri" w:hAnsi="Times New Roman" w:cs="Times New Roman"/>
          <w:i w:val="0"/>
          <w:iCs w:val="0"/>
          <w:color w:val="000000"/>
          <w:sz w:val="26"/>
          <w:szCs w:val="26"/>
          <w:lang w:eastAsia="en-US"/>
        </w:rPr>
        <w:t>"</w:t>
      </w:r>
      <w:r w:rsidR="00546FA7" w:rsidRPr="005E461A">
        <w:rPr>
          <w:rFonts w:ascii="Times New Roman" w:eastAsia="Calibri" w:hAnsi="Times New Roman" w:cs="Times New Roman"/>
          <w:i w:val="0"/>
          <w:iCs w:val="0"/>
          <w:color w:val="000000"/>
          <w:sz w:val="26"/>
          <w:szCs w:val="26"/>
          <w:lang w:eastAsia="en-US"/>
        </w:rPr>
        <w:t>The future of weather, climate and water across generations</w:t>
      </w:r>
      <w:r w:rsidR="00841738" w:rsidRPr="005E461A">
        <w:rPr>
          <w:rFonts w:ascii="Times New Roman" w:eastAsia="Calibri" w:hAnsi="Times New Roman" w:cs="Times New Roman"/>
          <w:i w:val="0"/>
          <w:iCs w:val="0"/>
          <w:color w:val="000000"/>
          <w:sz w:val="26"/>
          <w:szCs w:val="26"/>
          <w:lang w:eastAsia="en-US"/>
        </w:rPr>
        <w:t>"</w:t>
      </w:r>
    </w:p>
    <w:p w:rsidR="001E4DD6" w:rsidRPr="005E461A" w:rsidRDefault="00946F3C" w:rsidP="006B192E">
      <w:pPr>
        <w:pStyle w:val="Heading2"/>
        <w:shd w:val="clear" w:color="auto" w:fill="FFFFFF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</w:pPr>
      <w:r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Every year on </w:t>
      </w:r>
      <w:r w:rsidR="00BD746F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March </w:t>
      </w:r>
      <w:r w:rsidR="0044659F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>23</w:t>
      </w:r>
      <w:r w:rsidR="001E4DD6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vertAlign w:val="superscript"/>
          <w:lang w:eastAsia="en-US"/>
        </w:rPr>
        <w:t>rd</w:t>
      </w:r>
      <w:r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, the World Meteorological Organization (WMO), </w:t>
      </w:r>
      <w:r w:rsidR="00F40456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which </w:t>
      </w:r>
      <w:r w:rsidR="00BD746F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is </w:t>
      </w:r>
      <w:r w:rsidR="00792A98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composed </w:t>
      </w:r>
      <w:r w:rsidR="001E4DD6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of </w:t>
      </w:r>
      <w:r w:rsidR="005F1DB7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>189</w:t>
      </w:r>
      <w:r w:rsidR="001E4DD6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 mem</w:t>
      </w:r>
      <w:bookmarkStart w:id="0" w:name="_GoBack"/>
      <w:bookmarkEnd w:id="0"/>
      <w:r w:rsidR="001E4DD6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>bers, and the global meteorological community celebrate the World Meteorological Day.</w:t>
      </w:r>
      <w:r w:rsidR="00841738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 </w:t>
      </w:r>
      <w:r w:rsidR="001E4DD6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This year’s theme is </w:t>
      </w:r>
      <w:r w:rsidR="00036F98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>"The</w:t>
      </w:r>
      <w:r w:rsidR="009F5CD9" w:rsidRPr="005E461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eastAsia="en-US"/>
        </w:rPr>
        <w:t xml:space="preserve"> future of weather, climate and water across generations".</w:t>
      </w:r>
    </w:p>
    <w:p w:rsidR="00A55055" w:rsidRPr="005E461A" w:rsidRDefault="00EE53E1" w:rsidP="00A96138">
      <w:pPr>
        <w:autoSpaceDE w:val="0"/>
        <w:autoSpaceDN w:val="0"/>
        <w:bidi w:val="0"/>
        <w:adjustRightInd w:val="0"/>
        <w:jc w:val="lowKashida"/>
        <w:rPr>
          <w:color w:val="000000"/>
          <w:sz w:val="26"/>
          <w:szCs w:val="26"/>
          <w:lang w:eastAsia="en-US"/>
        </w:rPr>
      </w:pPr>
      <w:bookmarkStart w:id="1" w:name="OLE_LINK1"/>
      <w:bookmarkStart w:id="2" w:name="OLE_LINK2"/>
      <w:r w:rsidRPr="005E461A">
        <w:rPr>
          <w:color w:val="000000"/>
          <w:sz w:val="26"/>
          <w:szCs w:val="26"/>
          <w:lang w:eastAsia="en-US"/>
        </w:rPr>
        <w:t xml:space="preserve">The following are the most prominent features of the </w:t>
      </w:r>
      <w:r w:rsidR="001E4DD6" w:rsidRPr="005E461A">
        <w:rPr>
          <w:color w:val="000000"/>
          <w:sz w:val="26"/>
          <w:szCs w:val="26"/>
          <w:lang w:eastAsia="en-US"/>
        </w:rPr>
        <w:t>weather</w:t>
      </w:r>
      <w:r w:rsidRPr="005E461A">
        <w:rPr>
          <w:color w:val="000000"/>
          <w:sz w:val="26"/>
          <w:szCs w:val="26"/>
          <w:lang w:eastAsia="en-US"/>
        </w:rPr>
        <w:t xml:space="preserve"> in Palestine </w:t>
      </w:r>
    </w:p>
    <w:p w:rsidR="00A96138" w:rsidRPr="005E461A" w:rsidRDefault="00A96138" w:rsidP="00A96138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8"/>
          <w:szCs w:val="8"/>
          <w:lang w:eastAsia="en-US"/>
        </w:rPr>
      </w:pPr>
    </w:p>
    <w:bookmarkEnd w:id="1"/>
    <w:bookmarkEnd w:id="2"/>
    <w:p w:rsidR="00A96138" w:rsidRPr="005E461A" w:rsidRDefault="00036F98" w:rsidP="006B192E">
      <w:pPr>
        <w:autoSpaceDE w:val="0"/>
        <w:autoSpaceDN w:val="0"/>
        <w:bidi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5E461A">
        <w:rPr>
          <w:b/>
          <w:bCs/>
          <w:color w:val="000000"/>
          <w:sz w:val="26"/>
          <w:szCs w:val="26"/>
        </w:rPr>
        <w:t>Rain</w:t>
      </w:r>
      <w:r w:rsidR="004117B1" w:rsidRPr="005E461A">
        <w:rPr>
          <w:b/>
          <w:bCs/>
          <w:color w:val="000000"/>
          <w:sz w:val="26"/>
          <w:szCs w:val="26"/>
        </w:rPr>
        <w:t xml:space="preserve"> season</w:t>
      </w:r>
      <w:r w:rsidR="00AF7048" w:rsidRPr="005E461A">
        <w:rPr>
          <w:b/>
          <w:bCs/>
          <w:color w:val="000000"/>
          <w:sz w:val="26"/>
          <w:szCs w:val="26"/>
        </w:rPr>
        <w:t xml:space="preserve"> is</w:t>
      </w:r>
      <w:r w:rsidR="004117B1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less than the mean average </w:t>
      </w:r>
      <w:r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>in most governorate</w:t>
      </w:r>
      <w:r w:rsidR="00AF7048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>s</w:t>
      </w:r>
    </w:p>
    <w:p w:rsidR="00A96138" w:rsidRPr="005E461A" w:rsidRDefault="00A96138" w:rsidP="00213213">
      <w:pPr>
        <w:autoSpaceDE w:val="0"/>
        <w:autoSpaceDN w:val="0"/>
        <w:bidi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5E461A">
        <w:rPr>
          <w:color w:val="000000"/>
          <w:sz w:val="26"/>
          <w:szCs w:val="26"/>
          <w:lang w:eastAsia="en-US"/>
        </w:rPr>
        <w:t xml:space="preserve">Data showed that the highest amount of rainfall during the current rain season was </w:t>
      </w:r>
      <w:r w:rsidR="004117B1" w:rsidRPr="005E461A">
        <w:rPr>
          <w:color w:val="000000"/>
          <w:sz w:val="26"/>
          <w:szCs w:val="26"/>
          <w:lang w:eastAsia="en-US"/>
        </w:rPr>
        <w:t>484</w:t>
      </w:r>
      <w:r w:rsidRPr="005E461A">
        <w:rPr>
          <w:color w:val="000000"/>
          <w:sz w:val="26"/>
          <w:szCs w:val="26"/>
          <w:lang w:eastAsia="en-US"/>
        </w:rPr>
        <w:t xml:space="preserve"> mm in </w:t>
      </w:r>
      <w:proofErr w:type="spellStart"/>
      <w:r w:rsidRPr="005E461A">
        <w:rPr>
          <w:color w:val="000000"/>
          <w:sz w:val="26"/>
          <w:szCs w:val="26"/>
          <w:lang w:eastAsia="en-US"/>
        </w:rPr>
        <w:t>Salfit</w:t>
      </w:r>
      <w:proofErr w:type="spellEnd"/>
      <w:r w:rsidRPr="005E461A">
        <w:rPr>
          <w:color w:val="000000"/>
          <w:sz w:val="26"/>
          <w:szCs w:val="26"/>
          <w:lang w:eastAsia="en-US"/>
        </w:rPr>
        <w:t xml:space="preserve"> </w:t>
      </w:r>
      <w:r w:rsidR="00FF69A3" w:rsidRPr="005E461A">
        <w:rPr>
          <w:color w:val="000000"/>
          <w:sz w:val="26"/>
          <w:szCs w:val="26"/>
          <w:lang w:eastAsia="en-US"/>
        </w:rPr>
        <w:t xml:space="preserve">Governorate </w:t>
      </w:r>
      <w:r w:rsidRPr="005E461A">
        <w:rPr>
          <w:color w:val="000000"/>
          <w:sz w:val="26"/>
          <w:szCs w:val="26"/>
          <w:lang w:eastAsia="en-US"/>
        </w:rPr>
        <w:t>(</w:t>
      </w:r>
      <w:r w:rsidR="00213213" w:rsidRPr="005E461A">
        <w:rPr>
          <w:color w:val="000000"/>
          <w:sz w:val="26"/>
          <w:szCs w:val="26"/>
          <w:lang w:eastAsia="en-US"/>
        </w:rPr>
        <w:t>which represented 69.3% of the mean average of the governorate</w:t>
      </w:r>
      <w:r w:rsidRPr="005E461A">
        <w:rPr>
          <w:color w:val="000000"/>
          <w:sz w:val="26"/>
          <w:szCs w:val="26"/>
          <w:lang w:eastAsia="en-US"/>
        </w:rPr>
        <w:t xml:space="preserve">), whereas the lowest amount of rainfall during the current rain season was </w:t>
      </w:r>
      <w:r w:rsidR="004117B1" w:rsidRPr="005E461A">
        <w:rPr>
          <w:color w:val="000000"/>
          <w:sz w:val="26"/>
          <w:szCs w:val="26"/>
          <w:lang w:eastAsia="en-US"/>
        </w:rPr>
        <w:t>92.1</w:t>
      </w:r>
      <w:r w:rsidRPr="005E461A">
        <w:rPr>
          <w:color w:val="000000"/>
          <w:sz w:val="26"/>
          <w:szCs w:val="26"/>
          <w:lang w:eastAsia="en-US"/>
        </w:rPr>
        <w:t xml:space="preserve"> mm in Jericho </w:t>
      </w:r>
      <w:r w:rsidR="0075351F" w:rsidRPr="005E461A">
        <w:rPr>
          <w:color w:val="000000"/>
          <w:sz w:val="26"/>
          <w:szCs w:val="26"/>
          <w:lang w:eastAsia="en-US"/>
        </w:rPr>
        <w:t xml:space="preserve">Governorate </w:t>
      </w:r>
      <w:r w:rsidRPr="005E461A">
        <w:rPr>
          <w:color w:val="000000"/>
          <w:sz w:val="26"/>
          <w:szCs w:val="26"/>
          <w:lang w:eastAsia="en-US"/>
        </w:rPr>
        <w:t>(</w:t>
      </w:r>
      <w:r w:rsidR="00213213" w:rsidRPr="005E461A">
        <w:rPr>
          <w:color w:val="000000"/>
          <w:sz w:val="26"/>
          <w:szCs w:val="26"/>
          <w:lang w:eastAsia="en-US"/>
        </w:rPr>
        <w:t>which represented 55.5% of the mean average of the governorate</w:t>
      </w:r>
      <w:r w:rsidR="00AF7048" w:rsidRPr="005E461A">
        <w:rPr>
          <w:color w:val="000000"/>
          <w:sz w:val="26"/>
          <w:szCs w:val="26"/>
          <w:lang w:eastAsia="en-US"/>
        </w:rPr>
        <w:t>)</w:t>
      </w:r>
      <w:r w:rsidRPr="005E461A">
        <w:rPr>
          <w:color w:val="000000"/>
          <w:sz w:val="26"/>
          <w:szCs w:val="26"/>
          <w:lang w:eastAsia="en-US"/>
        </w:rPr>
        <w:t>.</w:t>
      </w:r>
    </w:p>
    <w:p w:rsidR="00EB23FD" w:rsidRPr="00387044" w:rsidRDefault="00EB23FD" w:rsidP="00EB23FD">
      <w:pPr>
        <w:autoSpaceDE w:val="0"/>
        <w:autoSpaceDN w:val="0"/>
        <w:bidi w:val="0"/>
        <w:adjustRightInd w:val="0"/>
        <w:jc w:val="both"/>
        <w:rPr>
          <w:color w:val="000000"/>
          <w:sz w:val="16"/>
          <w:szCs w:val="16"/>
          <w:lang w:eastAsia="en-US"/>
        </w:rPr>
      </w:pPr>
    </w:p>
    <w:p w:rsidR="005E461A" w:rsidRDefault="005E461A" w:rsidP="00AF7048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color w:val="000000"/>
          <w:sz w:val="26"/>
          <w:szCs w:val="26"/>
          <w:rtl/>
        </w:rPr>
      </w:pPr>
      <w:r>
        <w:rPr>
          <w:b/>
          <w:bCs/>
          <w:color w:val="000000"/>
          <w:sz w:val="26"/>
          <w:szCs w:val="26"/>
        </w:rPr>
        <w:t xml:space="preserve">   </w:t>
      </w:r>
      <w:r w:rsidR="00A96138" w:rsidRPr="005E461A">
        <w:rPr>
          <w:b/>
          <w:bCs/>
          <w:color w:val="000000"/>
          <w:sz w:val="26"/>
          <w:szCs w:val="26"/>
        </w:rPr>
        <w:t xml:space="preserve">Cumulative amounts of rainfall from the beginning of the current rain </w:t>
      </w:r>
      <w:r w:rsidR="00036F98" w:rsidRPr="005E461A">
        <w:rPr>
          <w:b/>
          <w:bCs/>
          <w:color w:val="000000"/>
          <w:sz w:val="26"/>
          <w:szCs w:val="26"/>
        </w:rPr>
        <w:t>season</w:t>
      </w:r>
    </w:p>
    <w:p w:rsidR="00A96138" w:rsidRPr="005E461A" w:rsidRDefault="00036F98" w:rsidP="005E461A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color w:val="000000"/>
          <w:sz w:val="26"/>
          <w:szCs w:val="26"/>
        </w:rPr>
      </w:pPr>
      <w:r w:rsidRPr="005E461A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Pr="005E461A">
        <w:rPr>
          <w:b/>
          <w:bCs/>
          <w:color w:val="000000"/>
          <w:sz w:val="26"/>
          <w:szCs w:val="26"/>
        </w:rPr>
        <w:t>2022</w:t>
      </w:r>
      <w:r w:rsidR="003D2AA2" w:rsidRPr="005E461A">
        <w:rPr>
          <w:b/>
          <w:bCs/>
          <w:color w:val="000000"/>
          <w:sz w:val="26"/>
          <w:szCs w:val="26"/>
        </w:rPr>
        <w:t>/2023</w:t>
      </w:r>
      <w:r w:rsidR="0075351F" w:rsidRPr="005E461A">
        <w:rPr>
          <w:b/>
          <w:bCs/>
          <w:color w:val="000000"/>
          <w:sz w:val="26"/>
          <w:szCs w:val="26"/>
        </w:rPr>
        <w:t xml:space="preserve"> </w:t>
      </w:r>
      <w:r w:rsidR="00A96138" w:rsidRPr="005E461A">
        <w:rPr>
          <w:b/>
          <w:bCs/>
          <w:color w:val="000000"/>
          <w:sz w:val="26"/>
          <w:szCs w:val="26"/>
        </w:rPr>
        <w:t xml:space="preserve">till </w:t>
      </w:r>
      <w:r w:rsidR="005B7847" w:rsidRPr="005E461A">
        <w:rPr>
          <w:b/>
          <w:bCs/>
          <w:color w:val="000000"/>
          <w:sz w:val="26"/>
          <w:szCs w:val="26"/>
        </w:rPr>
        <w:t>09</w:t>
      </w:r>
      <w:r w:rsidR="00A96138" w:rsidRPr="005E461A">
        <w:rPr>
          <w:b/>
          <w:bCs/>
          <w:color w:val="000000"/>
          <w:sz w:val="26"/>
          <w:szCs w:val="26"/>
        </w:rPr>
        <w:t>/03/202</w:t>
      </w:r>
      <w:r w:rsidRPr="005E461A">
        <w:rPr>
          <w:b/>
          <w:bCs/>
          <w:color w:val="000000"/>
          <w:sz w:val="26"/>
          <w:szCs w:val="26"/>
        </w:rPr>
        <w:t>3</w:t>
      </w:r>
    </w:p>
    <w:p w:rsidR="00A96138" w:rsidRPr="00251336" w:rsidRDefault="00A96138" w:rsidP="00A96138">
      <w:pPr>
        <w:pStyle w:val="BodyText2"/>
        <w:bidi w:val="0"/>
        <w:spacing w:after="0" w:line="240" w:lineRule="auto"/>
        <w:ind w:left="-284" w:right="-30"/>
        <w:jc w:val="center"/>
        <w:rPr>
          <w:b/>
          <w:bCs/>
          <w:color w:val="000000"/>
          <w:sz w:val="12"/>
          <w:szCs w:val="12"/>
        </w:rPr>
      </w:pP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801"/>
        <w:gridCol w:w="1418"/>
        <w:gridCol w:w="1559"/>
      </w:tblGrid>
      <w:tr w:rsidR="00EB5DCF" w:rsidRPr="005E461A" w:rsidTr="00387044">
        <w:trPr>
          <w:trHeight w:val="725"/>
          <w:jc w:val="center"/>
        </w:trPr>
        <w:tc>
          <w:tcPr>
            <w:tcW w:w="1601" w:type="dxa"/>
          </w:tcPr>
          <w:p w:rsidR="00A96138" w:rsidRPr="005E461A" w:rsidRDefault="00A96138" w:rsidP="005E461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Governorate</w:t>
            </w:r>
          </w:p>
        </w:tc>
        <w:tc>
          <w:tcPr>
            <w:tcW w:w="1801" w:type="dxa"/>
          </w:tcPr>
          <w:p w:rsidR="00EB5DCF" w:rsidRPr="005E461A" w:rsidRDefault="00A96138" w:rsidP="00EB5DCF">
            <w:pPr>
              <w:pStyle w:val="BodyText2"/>
              <w:bidi w:val="0"/>
              <w:spacing w:after="0" w:line="240" w:lineRule="auto"/>
              <w:ind w:left="-284" w:right="-3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Quantity</w:t>
            </w:r>
            <w:r w:rsidR="00EB5DCF"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 xml:space="preserve">  </w:t>
            </w:r>
          </w:p>
          <w:p w:rsidR="00965BC1" w:rsidRPr="005E461A" w:rsidRDefault="00EB5DCF" w:rsidP="00EB5DCF">
            <w:pPr>
              <w:pStyle w:val="BodyText2"/>
              <w:bidi w:val="0"/>
              <w:spacing w:after="0" w:line="240" w:lineRule="auto"/>
              <w:ind w:left="-284" w:right="-3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 xml:space="preserve">  of</w:t>
            </w:r>
            <w:r w:rsidR="00965BC1"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 xml:space="preserve"> </w:t>
            </w: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Rainfall</w:t>
            </w:r>
            <w:r w:rsidR="00965BC1"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 xml:space="preserve"> till </w:t>
            </w:r>
            <w:r w:rsidR="005B7847"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09</w:t>
            </w:r>
            <w:r w:rsidR="00965BC1"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/03/</w:t>
            </w:r>
            <w:r w:rsidR="005B7847"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2023</w:t>
            </w:r>
          </w:p>
          <w:p w:rsidR="00A96138" w:rsidRPr="005E461A" w:rsidRDefault="00A96138" w:rsidP="00EB5DC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(mm)</w:t>
            </w:r>
          </w:p>
        </w:tc>
        <w:tc>
          <w:tcPr>
            <w:tcW w:w="1418" w:type="dxa"/>
          </w:tcPr>
          <w:p w:rsidR="00A96138" w:rsidRPr="005E461A" w:rsidRDefault="00A96138" w:rsidP="0089535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Mean Average</w:t>
            </w:r>
          </w:p>
          <w:p w:rsidR="00A96138" w:rsidRPr="005E461A" w:rsidRDefault="00A96138" w:rsidP="0089535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(mm</w:t>
            </w:r>
          </w:p>
        </w:tc>
        <w:tc>
          <w:tcPr>
            <w:tcW w:w="1559" w:type="dxa"/>
            <w:vAlign w:val="center"/>
          </w:tcPr>
          <w:p w:rsidR="00A96138" w:rsidRPr="005E461A" w:rsidRDefault="00A96138" w:rsidP="0089535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E461A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% of Mean Average</w:t>
            </w:r>
          </w:p>
        </w:tc>
      </w:tr>
      <w:tr w:rsidR="00EB5DCF" w:rsidRPr="005E461A" w:rsidTr="00387044">
        <w:trPr>
          <w:trHeight w:hRule="exact" w:val="245"/>
          <w:jc w:val="center"/>
        </w:trPr>
        <w:tc>
          <w:tcPr>
            <w:tcW w:w="1601" w:type="dxa"/>
            <w:vAlign w:val="bottom"/>
          </w:tcPr>
          <w:p w:rsidR="005B7847" w:rsidRPr="005E461A" w:rsidRDefault="005B7847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proofErr w:type="spellStart"/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Salfit</w:t>
            </w:r>
            <w:proofErr w:type="spellEnd"/>
          </w:p>
        </w:tc>
        <w:tc>
          <w:tcPr>
            <w:tcW w:w="1801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484.0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698.1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69.3</w:t>
            </w:r>
          </w:p>
        </w:tc>
      </w:tr>
      <w:tr w:rsidR="00EB5DCF" w:rsidRPr="005E461A" w:rsidTr="00387044">
        <w:trPr>
          <w:trHeight w:hRule="exact" w:val="261"/>
          <w:jc w:val="center"/>
        </w:trPr>
        <w:tc>
          <w:tcPr>
            <w:tcW w:w="1601" w:type="dxa"/>
            <w:vAlign w:val="bottom"/>
          </w:tcPr>
          <w:p w:rsidR="005B7847" w:rsidRPr="005E461A" w:rsidRDefault="00895355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E461A">
              <w:rPr>
                <w:rFonts w:asciiTheme="majorBidi" w:hAnsiTheme="majorBidi" w:cstheme="majorBidi"/>
                <w:color w:val="000000"/>
                <w:lang w:eastAsia="en-US"/>
              </w:rPr>
              <w:t>Ramallah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456.8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615.2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74.3</w:t>
            </w:r>
          </w:p>
        </w:tc>
      </w:tr>
      <w:tr w:rsidR="00EB5DCF" w:rsidRPr="005E461A" w:rsidTr="00387044">
        <w:trPr>
          <w:trHeight w:hRule="exact" w:val="309"/>
          <w:jc w:val="center"/>
        </w:trPr>
        <w:tc>
          <w:tcPr>
            <w:tcW w:w="1601" w:type="dxa"/>
          </w:tcPr>
          <w:p w:rsidR="000D3677" w:rsidRPr="005E461A" w:rsidRDefault="00895355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Bethlehem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387.7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518.4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74.8</w:t>
            </w:r>
          </w:p>
        </w:tc>
      </w:tr>
      <w:tr w:rsidR="00EB5DCF" w:rsidRPr="005E461A" w:rsidTr="00387044">
        <w:trPr>
          <w:trHeight w:hRule="exact" w:val="245"/>
          <w:jc w:val="center"/>
        </w:trPr>
        <w:tc>
          <w:tcPr>
            <w:tcW w:w="1601" w:type="dxa"/>
            <w:vAlign w:val="bottom"/>
          </w:tcPr>
          <w:p w:rsidR="005B7847" w:rsidRPr="005E461A" w:rsidRDefault="005B7847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Nablus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375.6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660.1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0D367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56.9</w:t>
            </w:r>
          </w:p>
        </w:tc>
      </w:tr>
      <w:tr w:rsidR="00EB5DCF" w:rsidRPr="005E461A" w:rsidTr="00387044">
        <w:trPr>
          <w:trHeight w:hRule="exact" w:val="306"/>
          <w:jc w:val="center"/>
        </w:trPr>
        <w:tc>
          <w:tcPr>
            <w:tcW w:w="1601" w:type="dxa"/>
            <w:vAlign w:val="bottom"/>
          </w:tcPr>
          <w:p w:rsidR="005B7847" w:rsidRPr="005E461A" w:rsidRDefault="00895355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proofErr w:type="spellStart"/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Qalqiliy</w:t>
            </w:r>
            <w:r w:rsidR="00AF7048"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a</w:t>
            </w:r>
            <w:proofErr w:type="spellEnd"/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363.0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624.9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58.1</w:t>
            </w:r>
          </w:p>
        </w:tc>
      </w:tr>
      <w:tr w:rsidR="00EB5DCF" w:rsidRPr="005E461A" w:rsidTr="00387044">
        <w:trPr>
          <w:trHeight w:hRule="exact" w:val="363"/>
          <w:jc w:val="center"/>
        </w:trPr>
        <w:tc>
          <w:tcPr>
            <w:tcW w:w="1601" w:type="dxa"/>
            <w:vAlign w:val="bottom"/>
          </w:tcPr>
          <w:p w:rsidR="005B7847" w:rsidRPr="005E461A" w:rsidRDefault="005B7847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Jerusalem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351.2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537.0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65.4</w:t>
            </w:r>
          </w:p>
        </w:tc>
      </w:tr>
      <w:tr w:rsidR="00EB5DCF" w:rsidRPr="005E461A" w:rsidTr="00387044">
        <w:trPr>
          <w:trHeight w:hRule="exact" w:val="255"/>
          <w:jc w:val="center"/>
        </w:trPr>
        <w:tc>
          <w:tcPr>
            <w:tcW w:w="1601" w:type="dxa"/>
            <w:vAlign w:val="bottom"/>
          </w:tcPr>
          <w:p w:rsidR="005B7847" w:rsidRPr="005E461A" w:rsidRDefault="00895355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proofErr w:type="spellStart"/>
            <w:r w:rsidRPr="005E461A">
              <w:rPr>
                <w:rFonts w:asciiTheme="majorBidi" w:hAnsiTheme="majorBidi" w:cstheme="majorBidi"/>
                <w:color w:val="000000"/>
                <w:lang w:eastAsia="en-US"/>
              </w:rPr>
              <w:t>Tulkarm</w:t>
            </w:r>
            <w:proofErr w:type="spellEnd"/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334.5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602.4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55.5</w:t>
            </w:r>
          </w:p>
        </w:tc>
      </w:tr>
      <w:tr w:rsidR="00EB5DCF" w:rsidRPr="005E461A" w:rsidTr="00387044">
        <w:trPr>
          <w:trHeight w:hRule="exact" w:val="258"/>
          <w:jc w:val="center"/>
        </w:trPr>
        <w:tc>
          <w:tcPr>
            <w:tcW w:w="1601" w:type="dxa"/>
          </w:tcPr>
          <w:p w:rsidR="005B7847" w:rsidRPr="005E461A" w:rsidRDefault="00895355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Hebron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327.8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595.9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55.0</w:t>
            </w:r>
          </w:p>
        </w:tc>
      </w:tr>
      <w:tr w:rsidR="00EB5DCF" w:rsidRPr="005E461A" w:rsidTr="00387044">
        <w:trPr>
          <w:trHeight w:hRule="exact" w:val="261"/>
          <w:jc w:val="center"/>
        </w:trPr>
        <w:tc>
          <w:tcPr>
            <w:tcW w:w="1601" w:type="dxa"/>
            <w:vAlign w:val="bottom"/>
          </w:tcPr>
          <w:p w:rsidR="005B7847" w:rsidRPr="005E461A" w:rsidRDefault="005B7847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Jenin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304.8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468.2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65.1</w:t>
            </w:r>
          </w:p>
        </w:tc>
      </w:tr>
      <w:tr w:rsidR="00EB5DCF" w:rsidRPr="005E461A" w:rsidTr="00387044">
        <w:trPr>
          <w:trHeight w:hRule="exact" w:val="306"/>
          <w:jc w:val="center"/>
        </w:trPr>
        <w:tc>
          <w:tcPr>
            <w:tcW w:w="1601" w:type="dxa"/>
            <w:vAlign w:val="bottom"/>
          </w:tcPr>
          <w:p w:rsidR="005B7847" w:rsidRPr="005E461A" w:rsidRDefault="005B7847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Tubas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301.5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431.2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69.9</w:t>
            </w:r>
          </w:p>
        </w:tc>
      </w:tr>
      <w:tr w:rsidR="00EB5DCF" w:rsidRPr="005E461A" w:rsidTr="00387044">
        <w:trPr>
          <w:trHeight w:hRule="exact" w:val="306"/>
          <w:jc w:val="center"/>
        </w:trPr>
        <w:tc>
          <w:tcPr>
            <w:tcW w:w="1601" w:type="dxa"/>
            <w:vAlign w:val="bottom"/>
          </w:tcPr>
          <w:p w:rsidR="005B7847" w:rsidRPr="005E461A" w:rsidRDefault="005B7847" w:rsidP="009831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eastAsia="en-US"/>
              </w:rPr>
            </w:pPr>
            <w:r w:rsidRPr="005E461A">
              <w:rPr>
                <w:rFonts w:asciiTheme="majorBidi" w:eastAsia="Calibri" w:hAnsiTheme="majorBidi" w:cstheme="majorBidi"/>
                <w:color w:val="000000"/>
                <w:lang w:eastAsia="en-US"/>
              </w:rPr>
              <w:t>Jericho</w:t>
            </w:r>
          </w:p>
        </w:tc>
        <w:tc>
          <w:tcPr>
            <w:tcW w:w="1801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92.1</w:t>
            </w:r>
          </w:p>
        </w:tc>
        <w:tc>
          <w:tcPr>
            <w:tcW w:w="1418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166.0</w:t>
            </w:r>
          </w:p>
        </w:tc>
        <w:tc>
          <w:tcPr>
            <w:tcW w:w="1559" w:type="dxa"/>
            <w:vAlign w:val="bottom"/>
          </w:tcPr>
          <w:p w:rsidR="005B7847" w:rsidRPr="005E461A" w:rsidRDefault="005B7847" w:rsidP="005B7847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E461A">
              <w:rPr>
                <w:rFonts w:asciiTheme="majorBidi" w:hAnsiTheme="majorBidi" w:cstheme="majorBidi"/>
                <w:color w:val="000000"/>
              </w:rPr>
              <w:t>55.5</w:t>
            </w:r>
          </w:p>
        </w:tc>
      </w:tr>
    </w:tbl>
    <w:p w:rsidR="005E461A" w:rsidRPr="00387044" w:rsidRDefault="005E461A" w:rsidP="0098313F">
      <w:pPr>
        <w:autoSpaceDE w:val="0"/>
        <w:autoSpaceDN w:val="0"/>
        <w:bidi w:val="0"/>
        <w:adjustRightInd w:val="0"/>
        <w:jc w:val="lowKashida"/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:rsidR="00895355" w:rsidRPr="005E461A" w:rsidRDefault="002F4C8E" w:rsidP="005E461A">
      <w:pPr>
        <w:autoSpaceDE w:val="0"/>
        <w:autoSpaceDN w:val="0"/>
        <w:bidi w:val="0"/>
        <w:adjustRightInd w:val="0"/>
        <w:jc w:val="lowKashida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The </w:t>
      </w:r>
      <w:r w:rsidR="00A96138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Highest Annual Humidity </w:t>
      </w:r>
      <w:r w:rsidR="00895355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was </w:t>
      </w:r>
      <w:r w:rsidR="00A96138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in Nablus and the Lowest </w:t>
      </w:r>
      <w:r w:rsidR="00895355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>was</w:t>
      </w:r>
      <w:r w:rsidR="00A96138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in </w:t>
      </w:r>
      <w:r w:rsidR="004117B1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>Jericho</w:t>
      </w:r>
    </w:p>
    <w:p w:rsidR="002F4C8E" w:rsidRPr="005E461A" w:rsidRDefault="00A96138" w:rsidP="00895355">
      <w:pPr>
        <w:autoSpaceDE w:val="0"/>
        <w:autoSpaceDN w:val="0"/>
        <w:bidi w:val="0"/>
        <w:adjustRightInd w:val="0"/>
        <w:jc w:val="lowKashida"/>
        <w:rPr>
          <w:color w:val="000000"/>
          <w:sz w:val="26"/>
          <w:szCs w:val="26"/>
          <w:lang w:eastAsia="en-US"/>
        </w:rPr>
      </w:pPr>
      <w:r w:rsidRPr="005E461A">
        <w:rPr>
          <w:color w:val="000000"/>
          <w:sz w:val="26"/>
          <w:szCs w:val="26"/>
          <w:lang w:eastAsia="en-US"/>
        </w:rPr>
        <w:t xml:space="preserve">Data showed that the annual relative humidity in </w:t>
      </w:r>
      <w:r w:rsidR="004117B1" w:rsidRPr="005E461A">
        <w:rPr>
          <w:color w:val="000000"/>
          <w:sz w:val="26"/>
          <w:szCs w:val="26"/>
          <w:lang w:eastAsia="en-US"/>
        </w:rPr>
        <w:t>2021</w:t>
      </w:r>
      <w:r w:rsidRPr="005E461A">
        <w:rPr>
          <w:color w:val="000000"/>
          <w:sz w:val="26"/>
          <w:szCs w:val="26"/>
          <w:lang w:eastAsia="en-US"/>
        </w:rPr>
        <w:t xml:space="preserve"> ranged between </w:t>
      </w:r>
      <w:r w:rsidR="004117B1" w:rsidRPr="005E461A">
        <w:rPr>
          <w:rFonts w:hint="cs"/>
          <w:color w:val="000000"/>
          <w:sz w:val="26"/>
          <w:szCs w:val="26"/>
          <w:rtl/>
          <w:lang w:eastAsia="en-US"/>
        </w:rPr>
        <w:t>75</w:t>
      </w:r>
      <w:r w:rsidRPr="005E461A">
        <w:rPr>
          <w:color w:val="000000"/>
          <w:sz w:val="26"/>
          <w:szCs w:val="26"/>
          <w:lang w:eastAsia="en-US"/>
        </w:rPr>
        <w:t xml:space="preserve">% in </w:t>
      </w:r>
      <w:r w:rsidR="00895355" w:rsidRPr="005E461A">
        <w:rPr>
          <w:color w:val="000000"/>
          <w:sz w:val="26"/>
          <w:szCs w:val="26"/>
          <w:lang w:eastAsia="en-US"/>
        </w:rPr>
        <w:t>Nablus</w:t>
      </w:r>
      <w:r w:rsidRPr="005E461A">
        <w:rPr>
          <w:color w:val="000000"/>
          <w:sz w:val="26"/>
          <w:szCs w:val="26"/>
          <w:lang w:eastAsia="en-US"/>
        </w:rPr>
        <w:t xml:space="preserve"> Station and </w:t>
      </w:r>
      <w:r w:rsidR="004117B1" w:rsidRPr="005E461A">
        <w:rPr>
          <w:rFonts w:hint="cs"/>
          <w:color w:val="000000"/>
          <w:sz w:val="26"/>
          <w:szCs w:val="26"/>
          <w:rtl/>
          <w:lang w:eastAsia="en-US"/>
        </w:rPr>
        <w:t>42</w:t>
      </w:r>
      <w:r w:rsidRPr="005E461A">
        <w:rPr>
          <w:color w:val="000000"/>
          <w:sz w:val="26"/>
          <w:szCs w:val="26"/>
          <w:lang w:eastAsia="en-US"/>
        </w:rPr>
        <w:t xml:space="preserve">% in </w:t>
      </w:r>
      <w:r w:rsidR="004117B1" w:rsidRPr="005E461A">
        <w:rPr>
          <w:color w:val="000000"/>
          <w:sz w:val="26"/>
          <w:szCs w:val="26"/>
          <w:lang w:eastAsia="en-US"/>
        </w:rPr>
        <w:t xml:space="preserve">Jericho </w:t>
      </w:r>
      <w:r w:rsidRPr="005E461A">
        <w:rPr>
          <w:color w:val="000000"/>
          <w:sz w:val="26"/>
          <w:szCs w:val="26"/>
          <w:lang w:eastAsia="en-US"/>
        </w:rPr>
        <w:t>Station.</w:t>
      </w:r>
    </w:p>
    <w:p w:rsidR="00A96138" w:rsidRPr="00387044" w:rsidRDefault="00A96138" w:rsidP="002F4C8E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rtl/>
          <w:lang w:eastAsia="en-US"/>
        </w:rPr>
      </w:pPr>
      <w:r w:rsidRPr="00387044">
        <w:rPr>
          <w:color w:val="000000"/>
          <w:sz w:val="16"/>
          <w:szCs w:val="16"/>
          <w:lang w:eastAsia="en-US"/>
        </w:rPr>
        <w:t xml:space="preserve"> </w:t>
      </w:r>
    </w:p>
    <w:p w:rsidR="005E461A" w:rsidRPr="005E461A" w:rsidRDefault="00A96138" w:rsidP="0098313F">
      <w:pPr>
        <w:pStyle w:val="BodyText2"/>
        <w:bidi w:val="0"/>
        <w:spacing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  <w:r w:rsidRPr="005E461A">
        <w:rPr>
          <w:b/>
          <w:bCs/>
          <w:color w:val="000000"/>
          <w:sz w:val="26"/>
          <w:szCs w:val="26"/>
        </w:rPr>
        <w:t xml:space="preserve">Mean Relative Humidity (%) in </w:t>
      </w:r>
      <w:r w:rsidR="002E5E3D" w:rsidRPr="005E461A">
        <w:rPr>
          <w:b/>
          <w:bCs/>
          <w:color w:val="000000"/>
          <w:sz w:val="26"/>
          <w:szCs w:val="26"/>
        </w:rPr>
        <w:t>2021</w:t>
      </w:r>
      <w:r w:rsidRPr="005E461A">
        <w:rPr>
          <w:b/>
          <w:bCs/>
          <w:color w:val="000000"/>
          <w:sz w:val="26"/>
          <w:szCs w:val="26"/>
        </w:rPr>
        <w:t xml:space="preserve"> and</w:t>
      </w:r>
    </w:p>
    <w:p w:rsidR="003B3542" w:rsidRPr="005E461A" w:rsidRDefault="00A96138" w:rsidP="005E461A">
      <w:pPr>
        <w:pStyle w:val="BodyText2"/>
        <w:bidi w:val="0"/>
        <w:spacing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  <w:r w:rsidRPr="005E461A">
        <w:rPr>
          <w:b/>
          <w:bCs/>
          <w:color w:val="000000"/>
          <w:sz w:val="26"/>
          <w:szCs w:val="26"/>
        </w:rPr>
        <w:t xml:space="preserve"> Mean Average in Some West Bank Stations</w:t>
      </w:r>
    </w:p>
    <w:p w:rsidR="00A96138" w:rsidRPr="0098313F" w:rsidRDefault="00A96138" w:rsidP="0098313F">
      <w:pPr>
        <w:pStyle w:val="BodyText2"/>
        <w:bidi w:val="0"/>
        <w:spacing w:after="0" w:line="240" w:lineRule="auto"/>
        <w:ind w:right="-739"/>
        <w:rPr>
          <w:b/>
          <w:bCs/>
          <w:color w:val="000000"/>
          <w:sz w:val="4"/>
          <w:szCs w:val="4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701"/>
        <w:gridCol w:w="1276"/>
        <w:gridCol w:w="1276"/>
      </w:tblGrid>
      <w:tr w:rsidR="00A96138" w:rsidRPr="0098313F" w:rsidTr="005E461A">
        <w:trPr>
          <w:trHeight w:val="858"/>
          <w:jc w:val="center"/>
        </w:trPr>
        <w:tc>
          <w:tcPr>
            <w:tcW w:w="1271" w:type="dxa"/>
            <w:vAlign w:val="center"/>
          </w:tcPr>
          <w:p w:rsidR="00A96138" w:rsidRPr="0098313F" w:rsidRDefault="00A96138" w:rsidP="0052715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Station</w:t>
            </w:r>
          </w:p>
        </w:tc>
        <w:tc>
          <w:tcPr>
            <w:tcW w:w="1701" w:type="dxa"/>
            <w:vAlign w:val="center"/>
          </w:tcPr>
          <w:p w:rsidR="00A96138" w:rsidRPr="0098313F" w:rsidRDefault="00A96138" w:rsidP="00E05D8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Relative Humidity (%), </w:t>
            </w:r>
            <w:r w:rsidR="00E05D85" w:rsidRPr="009831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A96138" w:rsidRPr="0098313F" w:rsidRDefault="00A96138" w:rsidP="0052715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Mean Average</w:t>
            </w:r>
          </w:p>
          <w:p w:rsidR="00A96138" w:rsidRPr="0098313F" w:rsidRDefault="00A96138" w:rsidP="0052715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vAlign w:val="center"/>
          </w:tcPr>
          <w:p w:rsidR="00A96138" w:rsidRPr="0098313F" w:rsidRDefault="00A96138" w:rsidP="0052715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% of Mean Average</w:t>
            </w:r>
          </w:p>
        </w:tc>
      </w:tr>
      <w:tr w:rsidR="00A96138" w:rsidRPr="0098313F" w:rsidTr="005E461A">
        <w:trPr>
          <w:trHeight w:val="276"/>
          <w:jc w:val="center"/>
        </w:trPr>
        <w:tc>
          <w:tcPr>
            <w:tcW w:w="1271" w:type="dxa"/>
          </w:tcPr>
          <w:p w:rsidR="00A96138" w:rsidRPr="0098313F" w:rsidRDefault="00A96138" w:rsidP="0098313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Nablus</w:t>
            </w:r>
          </w:p>
        </w:tc>
        <w:tc>
          <w:tcPr>
            <w:tcW w:w="1701" w:type="dxa"/>
            <w:vAlign w:val="center"/>
          </w:tcPr>
          <w:p w:rsidR="00A96138" w:rsidRPr="0098313F" w:rsidRDefault="004117B1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75</w:t>
            </w:r>
          </w:p>
        </w:tc>
        <w:tc>
          <w:tcPr>
            <w:tcW w:w="1276" w:type="dxa"/>
            <w:vAlign w:val="center"/>
          </w:tcPr>
          <w:p w:rsidR="00A96138" w:rsidRPr="0098313F" w:rsidRDefault="00A96138" w:rsidP="007002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61</w:t>
            </w:r>
          </w:p>
        </w:tc>
        <w:tc>
          <w:tcPr>
            <w:tcW w:w="1276" w:type="dxa"/>
            <w:vAlign w:val="center"/>
          </w:tcPr>
          <w:p w:rsidR="00A96138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123</w:t>
            </w:r>
          </w:p>
        </w:tc>
      </w:tr>
      <w:tr w:rsidR="0070027C" w:rsidRPr="0098313F" w:rsidTr="005E461A">
        <w:trPr>
          <w:trHeight w:val="265"/>
          <w:jc w:val="center"/>
        </w:trPr>
        <w:tc>
          <w:tcPr>
            <w:tcW w:w="1271" w:type="dxa"/>
          </w:tcPr>
          <w:p w:rsidR="0070027C" w:rsidRPr="0098313F" w:rsidRDefault="00A54D91" w:rsidP="0098313F">
            <w:pPr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Ramallah</w:t>
            </w:r>
          </w:p>
        </w:tc>
        <w:tc>
          <w:tcPr>
            <w:tcW w:w="1701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99</w:t>
            </w:r>
          </w:p>
        </w:tc>
      </w:tr>
      <w:tr w:rsidR="0070027C" w:rsidRPr="0098313F" w:rsidTr="005E461A">
        <w:trPr>
          <w:trHeight w:val="284"/>
          <w:jc w:val="center"/>
        </w:trPr>
        <w:tc>
          <w:tcPr>
            <w:tcW w:w="1271" w:type="dxa"/>
          </w:tcPr>
          <w:p w:rsidR="0070027C" w:rsidRPr="0098313F" w:rsidRDefault="0070027C" w:rsidP="0098313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Hebron</w:t>
            </w:r>
          </w:p>
        </w:tc>
        <w:tc>
          <w:tcPr>
            <w:tcW w:w="1701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65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105</w:t>
            </w:r>
          </w:p>
        </w:tc>
      </w:tr>
      <w:tr w:rsidR="0070027C" w:rsidRPr="0098313F" w:rsidTr="005E461A">
        <w:trPr>
          <w:trHeight w:val="259"/>
          <w:jc w:val="center"/>
        </w:trPr>
        <w:tc>
          <w:tcPr>
            <w:tcW w:w="1271" w:type="dxa"/>
          </w:tcPr>
          <w:p w:rsidR="0070027C" w:rsidRPr="0098313F" w:rsidRDefault="0070027C" w:rsidP="0098313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Jenin</w:t>
            </w:r>
          </w:p>
        </w:tc>
        <w:tc>
          <w:tcPr>
            <w:tcW w:w="1701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64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93</w:t>
            </w:r>
          </w:p>
        </w:tc>
      </w:tr>
      <w:tr w:rsidR="0070027C" w:rsidRPr="0098313F" w:rsidTr="005E461A">
        <w:trPr>
          <w:trHeight w:val="278"/>
          <w:jc w:val="center"/>
        </w:trPr>
        <w:tc>
          <w:tcPr>
            <w:tcW w:w="1271" w:type="dxa"/>
          </w:tcPr>
          <w:p w:rsidR="0070027C" w:rsidRPr="0098313F" w:rsidRDefault="0070027C" w:rsidP="0098313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Tulkarm</w:t>
            </w:r>
            <w:proofErr w:type="spellEnd"/>
          </w:p>
        </w:tc>
        <w:tc>
          <w:tcPr>
            <w:tcW w:w="1701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77</w:t>
            </w:r>
          </w:p>
        </w:tc>
      </w:tr>
      <w:tr w:rsidR="0070027C" w:rsidRPr="0098313F" w:rsidTr="005E461A">
        <w:trPr>
          <w:trHeight w:val="281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70027C" w:rsidRPr="0098313F" w:rsidRDefault="0070027C" w:rsidP="0098313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eastAsia="en-US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  <w:t>Jericho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027C" w:rsidRPr="0098313F" w:rsidRDefault="0070027C" w:rsidP="007002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027C" w:rsidRPr="0098313F" w:rsidRDefault="0070027C" w:rsidP="0070027C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8313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81</w:t>
            </w:r>
          </w:p>
        </w:tc>
      </w:tr>
    </w:tbl>
    <w:p w:rsidR="00F74CB3" w:rsidRPr="006B192E" w:rsidRDefault="00F74CB3" w:rsidP="00F74CB3">
      <w:pPr>
        <w:autoSpaceDE w:val="0"/>
        <w:autoSpaceDN w:val="0"/>
        <w:bidi w:val="0"/>
        <w:adjustRightInd w:val="0"/>
        <w:jc w:val="lowKashida"/>
        <w:rPr>
          <w:color w:val="000000"/>
          <w:sz w:val="16"/>
          <w:szCs w:val="16"/>
          <w:rtl/>
          <w:lang w:eastAsia="en-US"/>
        </w:rPr>
      </w:pPr>
    </w:p>
    <w:p w:rsidR="005E461A" w:rsidRDefault="005E461A" w:rsidP="002F4C8E">
      <w:pPr>
        <w:autoSpaceDE w:val="0"/>
        <w:autoSpaceDN w:val="0"/>
        <w:bidi w:val="0"/>
        <w:adjustRightInd w:val="0"/>
        <w:ind w:right="-426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5B7847" w:rsidRPr="005E461A" w:rsidRDefault="005B7847" w:rsidP="005E461A">
      <w:pPr>
        <w:autoSpaceDE w:val="0"/>
        <w:autoSpaceDN w:val="0"/>
        <w:bidi w:val="0"/>
        <w:adjustRightInd w:val="0"/>
        <w:ind w:right="-426"/>
        <w:jc w:val="both"/>
        <w:rPr>
          <w:color w:val="000000"/>
          <w:sz w:val="26"/>
          <w:szCs w:val="26"/>
          <w:lang w:eastAsia="en-US"/>
        </w:rPr>
      </w:pPr>
      <w:r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Total Evaporation </w:t>
      </w:r>
      <w:r w:rsidR="00895355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was </w:t>
      </w:r>
      <w:proofErr w:type="gramStart"/>
      <w:r w:rsidR="002F4C8E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>Higher</w:t>
      </w:r>
      <w:proofErr w:type="gramEnd"/>
      <w:r w:rsidR="002F4C8E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than the Mean Average in </w:t>
      </w:r>
      <w:r w:rsidR="003F3ADD" w:rsidRPr="005E461A">
        <w:rPr>
          <w:rFonts w:eastAsia="Calibri"/>
          <w:b/>
          <w:bCs/>
          <w:color w:val="000000"/>
          <w:sz w:val="26"/>
          <w:szCs w:val="26"/>
          <w:lang w:eastAsia="en-US"/>
        </w:rPr>
        <w:t>2021</w:t>
      </w:r>
      <w:r w:rsidRPr="005E461A">
        <w:rPr>
          <w:color w:val="000000"/>
          <w:sz w:val="26"/>
          <w:szCs w:val="26"/>
          <w:lang w:eastAsia="en-US"/>
        </w:rPr>
        <w:tab/>
      </w:r>
    </w:p>
    <w:p w:rsidR="005B7847" w:rsidRPr="005E461A" w:rsidRDefault="005B7847" w:rsidP="00895355">
      <w:pPr>
        <w:autoSpaceDE w:val="0"/>
        <w:autoSpaceDN w:val="0"/>
        <w:bidi w:val="0"/>
        <w:adjustRightInd w:val="0"/>
        <w:ind w:right="-426"/>
        <w:jc w:val="both"/>
        <w:rPr>
          <w:color w:val="000000"/>
          <w:sz w:val="26"/>
          <w:szCs w:val="26"/>
          <w:lang w:eastAsia="en-US"/>
        </w:rPr>
      </w:pPr>
      <w:r w:rsidRPr="005E461A">
        <w:rPr>
          <w:color w:val="000000"/>
          <w:sz w:val="26"/>
          <w:szCs w:val="26"/>
          <w:lang w:eastAsia="en-US"/>
        </w:rPr>
        <w:t xml:space="preserve">Data showed that the total evaporation in Palestine during </w:t>
      </w:r>
      <w:r w:rsidR="003F3ADD" w:rsidRPr="005E461A">
        <w:rPr>
          <w:color w:val="000000"/>
          <w:sz w:val="26"/>
          <w:szCs w:val="26"/>
          <w:lang w:eastAsia="en-US"/>
        </w:rPr>
        <w:t>2021</w:t>
      </w:r>
      <w:r w:rsidRPr="005E461A">
        <w:rPr>
          <w:color w:val="000000"/>
          <w:sz w:val="26"/>
          <w:szCs w:val="26"/>
          <w:lang w:eastAsia="en-US"/>
        </w:rPr>
        <w:t xml:space="preserve"> increased in the majority of available stations, where it reached its highest </w:t>
      </w:r>
      <w:r w:rsidR="00AF7048" w:rsidRPr="005E461A">
        <w:rPr>
          <w:color w:val="000000"/>
          <w:sz w:val="26"/>
          <w:szCs w:val="26"/>
          <w:lang w:eastAsia="en-US"/>
        </w:rPr>
        <w:t>(</w:t>
      </w:r>
      <w:r w:rsidR="00895355" w:rsidRPr="005E461A">
        <w:rPr>
          <w:color w:val="000000"/>
          <w:sz w:val="26"/>
          <w:szCs w:val="26"/>
          <w:lang w:eastAsia="en-US"/>
        </w:rPr>
        <w:t>2,847 mm</w:t>
      </w:r>
      <w:r w:rsidR="00AF7048" w:rsidRPr="005E461A">
        <w:rPr>
          <w:color w:val="000000"/>
          <w:sz w:val="26"/>
          <w:szCs w:val="26"/>
          <w:lang w:eastAsia="en-US"/>
        </w:rPr>
        <w:t>)</w:t>
      </w:r>
      <w:r w:rsidR="00895355" w:rsidRPr="005E461A">
        <w:rPr>
          <w:color w:val="000000"/>
          <w:sz w:val="26"/>
          <w:szCs w:val="26"/>
          <w:lang w:eastAsia="en-US"/>
        </w:rPr>
        <w:t xml:space="preserve"> </w:t>
      </w:r>
      <w:r w:rsidRPr="005E461A">
        <w:rPr>
          <w:color w:val="000000"/>
          <w:sz w:val="26"/>
          <w:szCs w:val="26"/>
          <w:lang w:eastAsia="en-US"/>
        </w:rPr>
        <w:t xml:space="preserve">in Jericho Station and </w:t>
      </w:r>
      <w:r w:rsidR="00895355" w:rsidRPr="005E461A">
        <w:rPr>
          <w:color w:val="000000"/>
          <w:sz w:val="26"/>
          <w:szCs w:val="26"/>
          <w:lang w:eastAsia="en-US"/>
        </w:rPr>
        <w:t>its</w:t>
      </w:r>
      <w:r w:rsidRPr="005E461A">
        <w:rPr>
          <w:color w:val="000000"/>
          <w:sz w:val="26"/>
          <w:szCs w:val="26"/>
          <w:lang w:eastAsia="en-US"/>
        </w:rPr>
        <w:t xml:space="preserve"> lowest </w:t>
      </w:r>
      <w:r w:rsidR="00AF7048" w:rsidRPr="005E461A">
        <w:rPr>
          <w:color w:val="000000"/>
          <w:sz w:val="26"/>
          <w:szCs w:val="26"/>
          <w:lang w:eastAsia="en-US"/>
        </w:rPr>
        <w:t>(</w:t>
      </w:r>
      <w:r w:rsidRPr="005E461A">
        <w:rPr>
          <w:color w:val="000000"/>
          <w:sz w:val="26"/>
          <w:szCs w:val="26"/>
          <w:lang w:eastAsia="en-US"/>
        </w:rPr>
        <w:t>1,</w:t>
      </w:r>
      <w:r w:rsidR="003F3ADD" w:rsidRPr="005E461A">
        <w:rPr>
          <w:color w:val="000000"/>
          <w:sz w:val="26"/>
          <w:szCs w:val="26"/>
          <w:lang w:eastAsia="en-US"/>
        </w:rPr>
        <w:t xml:space="preserve">825 </w:t>
      </w:r>
      <w:r w:rsidRPr="005E461A">
        <w:rPr>
          <w:color w:val="000000"/>
          <w:sz w:val="26"/>
          <w:szCs w:val="26"/>
          <w:lang w:eastAsia="en-US"/>
        </w:rPr>
        <w:t>mm</w:t>
      </w:r>
      <w:r w:rsidR="00AF7048" w:rsidRPr="005E461A">
        <w:rPr>
          <w:color w:val="000000"/>
          <w:sz w:val="26"/>
          <w:szCs w:val="26"/>
          <w:lang w:eastAsia="en-US"/>
        </w:rPr>
        <w:t>)</w:t>
      </w:r>
      <w:r w:rsidRPr="005E461A">
        <w:rPr>
          <w:color w:val="000000"/>
          <w:sz w:val="26"/>
          <w:szCs w:val="26"/>
          <w:lang w:eastAsia="en-US"/>
        </w:rPr>
        <w:t xml:space="preserve"> in </w:t>
      </w:r>
      <w:r w:rsidR="00895355" w:rsidRPr="005E461A">
        <w:rPr>
          <w:color w:val="000000"/>
          <w:sz w:val="26"/>
          <w:szCs w:val="26"/>
          <w:lang w:eastAsia="en-US"/>
        </w:rPr>
        <w:t>Nablus</w:t>
      </w:r>
      <w:r w:rsidRPr="005E461A">
        <w:rPr>
          <w:color w:val="000000"/>
          <w:sz w:val="26"/>
          <w:szCs w:val="26"/>
          <w:lang w:eastAsia="en-US"/>
        </w:rPr>
        <w:t xml:space="preserve"> Station. </w:t>
      </w:r>
    </w:p>
    <w:p w:rsidR="005B7847" w:rsidRPr="006B192E" w:rsidRDefault="005B7847" w:rsidP="005B7847">
      <w:pPr>
        <w:autoSpaceDE w:val="0"/>
        <w:autoSpaceDN w:val="0"/>
        <w:bidi w:val="0"/>
        <w:adjustRightInd w:val="0"/>
        <w:ind w:right="-426"/>
        <w:jc w:val="both"/>
        <w:rPr>
          <w:color w:val="000000"/>
          <w:sz w:val="16"/>
          <w:szCs w:val="16"/>
          <w:lang w:eastAsia="en-US"/>
        </w:rPr>
      </w:pPr>
    </w:p>
    <w:p w:rsidR="005B7847" w:rsidRPr="005E461A" w:rsidRDefault="005B7847" w:rsidP="005E461A">
      <w:pPr>
        <w:pStyle w:val="BodyText2"/>
        <w:bidi w:val="0"/>
        <w:spacing w:line="240" w:lineRule="auto"/>
        <w:jc w:val="center"/>
        <w:rPr>
          <w:color w:val="000000"/>
          <w:sz w:val="26"/>
          <w:szCs w:val="26"/>
          <w:rtl/>
        </w:rPr>
      </w:pPr>
      <w:r w:rsidRPr="005E461A">
        <w:rPr>
          <w:b/>
          <w:bCs/>
          <w:color w:val="000000"/>
          <w:sz w:val="26"/>
          <w:szCs w:val="26"/>
        </w:rPr>
        <w:t>Evaporation Total in 20</w:t>
      </w:r>
      <w:r w:rsidR="00DE38DA" w:rsidRPr="005E461A">
        <w:rPr>
          <w:b/>
          <w:bCs/>
          <w:color w:val="000000"/>
          <w:sz w:val="26"/>
          <w:szCs w:val="26"/>
        </w:rPr>
        <w:t>21</w:t>
      </w:r>
      <w:r w:rsidRPr="005E461A">
        <w:rPr>
          <w:b/>
          <w:bCs/>
          <w:color w:val="000000"/>
          <w:sz w:val="26"/>
          <w:szCs w:val="26"/>
        </w:rPr>
        <w:t xml:space="preserve"> and Mean</w:t>
      </w:r>
      <w:r w:rsidR="00DE38DA" w:rsidRPr="005E461A">
        <w:rPr>
          <w:b/>
          <w:bCs/>
          <w:color w:val="000000"/>
          <w:sz w:val="26"/>
          <w:szCs w:val="26"/>
        </w:rPr>
        <w:t xml:space="preserve"> </w:t>
      </w:r>
      <w:r w:rsidRPr="005E461A">
        <w:rPr>
          <w:b/>
          <w:bCs/>
          <w:color w:val="000000"/>
          <w:sz w:val="26"/>
          <w:szCs w:val="26"/>
        </w:rPr>
        <w:t>Average in Some West Bank Stations</w:t>
      </w:r>
    </w:p>
    <w:tbl>
      <w:tblPr>
        <w:tblW w:w="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732"/>
        <w:gridCol w:w="1244"/>
        <w:gridCol w:w="1246"/>
      </w:tblGrid>
      <w:tr w:rsidR="005B7847" w:rsidRPr="00706AD8" w:rsidTr="005E461A">
        <w:trPr>
          <w:trHeight w:val="639"/>
          <w:jc w:val="center"/>
        </w:trPr>
        <w:tc>
          <w:tcPr>
            <w:tcW w:w="1384" w:type="dxa"/>
          </w:tcPr>
          <w:p w:rsidR="005B7847" w:rsidRPr="00706AD8" w:rsidRDefault="005B7847" w:rsidP="00895C9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B7847" w:rsidRPr="00706AD8" w:rsidRDefault="005B7847" w:rsidP="00895C9D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Station</w:t>
            </w:r>
          </w:p>
        </w:tc>
        <w:tc>
          <w:tcPr>
            <w:tcW w:w="1732" w:type="dxa"/>
          </w:tcPr>
          <w:p w:rsidR="005B7847" w:rsidRPr="00706AD8" w:rsidRDefault="005B7847" w:rsidP="00DE38DA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Average </w:t>
            </w:r>
            <w:r w:rsidRPr="00706AD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Evaporation  (mm), 20</w:t>
            </w:r>
            <w:r w:rsidR="00DE38D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44" w:type="dxa"/>
          </w:tcPr>
          <w:p w:rsidR="005B7847" w:rsidRPr="00706AD8" w:rsidRDefault="005B7847" w:rsidP="00895C9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706AD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Mean Average</w:t>
            </w:r>
          </w:p>
          <w:p w:rsidR="005B7847" w:rsidRPr="00706AD8" w:rsidRDefault="005B7847" w:rsidP="00895C9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(mm)</w:t>
            </w:r>
          </w:p>
        </w:tc>
        <w:tc>
          <w:tcPr>
            <w:tcW w:w="1244" w:type="dxa"/>
          </w:tcPr>
          <w:p w:rsidR="005B7847" w:rsidRPr="00706AD8" w:rsidRDefault="005B7847" w:rsidP="00895C9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b/>
                <w:bCs/>
                <w:color w:val="000000"/>
                <w:sz w:val="22"/>
                <w:szCs w:val="22"/>
                <w:lang w:eastAsia="en-US"/>
              </w:rPr>
              <w:t>% of  Mean Average</w:t>
            </w:r>
          </w:p>
        </w:tc>
      </w:tr>
      <w:tr w:rsidR="00B55D50" w:rsidRPr="00706AD8" w:rsidTr="005E461A">
        <w:trPr>
          <w:trHeight w:val="351"/>
          <w:jc w:val="center"/>
        </w:trPr>
        <w:tc>
          <w:tcPr>
            <w:tcW w:w="1384" w:type="dxa"/>
          </w:tcPr>
          <w:p w:rsidR="00B55D50" w:rsidRPr="00706AD8" w:rsidRDefault="00B55D50" w:rsidP="00B55D50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706AD8">
              <w:rPr>
                <w:color w:val="000000"/>
                <w:sz w:val="22"/>
                <w:szCs w:val="22"/>
                <w:lang w:eastAsia="en-US"/>
              </w:rPr>
              <w:t>Jericho</w:t>
            </w:r>
          </w:p>
        </w:tc>
        <w:tc>
          <w:tcPr>
            <w:tcW w:w="1732" w:type="dxa"/>
            <w:vAlign w:val="center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2,847</w:t>
            </w:r>
          </w:p>
        </w:tc>
        <w:tc>
          <w:tcPr>
            <w:tcW w:w="1244" w:type="dxa"/>
            <w:vAlign w:val="center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1244" w:type="dxa"/>
            <w:vAlign w:val="bottom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136</w:t>
            </w:r>
          </w:p>
        </w:tc>
      </w:tr>
      <w:tr w:rsidR="00B55D50" w:rsidRPr="00706AD8" w:rsidTr="005E461A">
        <w:trPr>
          <w:trHeight w:val="351"/>
          <w:jc w:val="center"/>
        </w:trPr>
        <w:tc>
          <w:tcPr>
            <w:tcW w:w="1384" w:type="dxa"/>
          </w:tcPr>
          <w:p w:rsidR="00B55D50" w:rsidRPr="00706AD8" w:rsidRDefault="00B55D50" w:rsidP="00B55D50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color w:val="000000"/>
                <w:sz w:val="22"/>
                <w:szCs w:val="22"/>
                <w:lang w:eastAsia="en-US"/>
              </w:rPr>
              <w:t>Jenin</w:t>
            </w:r>
          </w:p>
        </w:tc>
        <w:tc>
          <w:tcPr>
            <w:tcW w:w="1732" w:type="dxa"/>
            <w:vAlign w:val="center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2,081</w:t>
            </w:r>
          </w:p>
        </w:tc>
        <w:tc>
          <w:tcPr>
            <w:tcW w:w="1244" w:type="dxa"/>
            <w:vAlign w:val="center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..</w:t>
            </w:r>
          </w:p>
        </w:tc>
        <w:tc>
          <w:tcPr>
            <w:tcW w:w="1244" w:type="dxa"/>
            <w:vAlign w:val="bottom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..</w:t>
            </w:r>
          </w:p>
        </w:tc>
      </w:tr>
      <w:tr w:rsidR="00B55D50" w:rsidRPr="00706AD8" w:rsidTr="005E461A">
        <w:trPr>
          <w:trHeight w:val="351"/>
          <w:jc w:val="center"/>
        </w:trPr>
        <w:tc>
          <w:tcPr>
            <w:tcW w:w="1384" w:type="dxa"/>
          </w:tcPr>
          <w:p w:rsidR="00B55D50" w:rsidRPr="00706AD8" w:rsidRDefault="00B55D50" w:rsidP="00B55D50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color w:val="000000"/>
                <w:sz w:val="22"/>
                <w:szCs w:val="22"/>
                <w:lang w:eastAsia="en-US"/>
              </w:rPr>
              <w:t>Hebron</w:t>
            </w:r>
          </w:p>
        </w:tc>
        <w:tc>
          <w:tcPr>
            <w:tcW w:w="1732" w:type="dxa"/>
            <w:vAlign w:val="center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,</w:t>
            </w: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244" w:type="dxa"/>
            <w:vAlign w:val="center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1,608</w:t>
            </w:r>
          </w:p>
        </w:tc>
        <w:tc>
          <w:tcPr>
            <w:tcW w:w="1244" w:type="dxa"/>
            <w:vAlign w:val="bottom"/>
          </w:tcPr>
          <w:p w:rsidR="00B55D50" w:rsidRPr="00357761" w:rsidRDefault="00B55D50" w:rsidP="00B55D50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120</w:t>
            </w:r>
          </w:p>
        </w:tc>
      </w:tr>
      <w:tr w:rsidR="00DE38DA" w:rsidRPr="00706AD8" w:rsidTr="005E461A">
        <w:trPr>
          <w:trHeight w:val="351"/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DE38DA" w:rsidRPr="00706AD8" w:rsidRDefault="00DE38DA" w:rsidP="00DE38DA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color w:val="000000"/>
                <w:sz w:val="22"/>
                <w:szCs w:val="22"/>
                <w:lang w:eastAsia="en-US"/>
              </w:rPr>
              <w:t>Ramallah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DE38DA" w:rsidRPr="00357761" w:rsidRDefault="00DE38DA" w:rsidP="00DE38D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1,862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E38DA" w:rsidRPr="00357761" w:rsidRDefault="00DE38DA" w:rsidP="00DE38D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1,889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bottom"/>
          </w:tcPr>
          <w:p w:rsidR="00DE38DA" w:rsidRPr="00357761" w:rsidRDefault="00DE38DA" w:rsidP="00DE38D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99</w:t>
            </w:r>
          </w:p>
        </w:tc>
      </w:tr>
      <w:tr w:rsidR="00DE38DA" w:rsidRPr="00706AD8" w:rsidTr="005E461A">
        <w:trPr>
          <w:trHeight w:val="351"/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DE38DA" w:rsidRPr="00706AD8" w:rsidRDefault="00DE38DA" w:rsidP="00DE38DA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color w:val="000000"/>
                <w:sz w:val="22"/>
                <w:szCs w:val="22"/>
                <w:lang w:eastAsia="en-US"/>
              </w:rPr>
              <w:t>Nablus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DE38DA" w:rsidRPr="00357761" w:rsidRDefault="00DE38DA" w:rsidP="00DE38D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1,825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E38DA" w:rsidRPr="00357761" w:rsidRDefault="00DE38DA" w:rsidP="00DE38D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1,682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bottom"/>
          </w:tcPr>
          <w:p w:rsidR="00DE38DA" w:rsidRPr="00357761" w:rsidRDefault="00DE38DA" w:rsidP="00DE38D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357761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109</w:t>
            </w:r>
          </w:p>
        </w:tc>
      </w:tr>
      <w:tr w:rsidR="00DE38DA" w:rsidRPr="00706AD8" w:rsidTr="005E461A">
        <w:trPr>
          <w:trHeight w:val="351"/>
          <w:jc w:val="center"/>
        </w:trPr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8DA" w:rsidRPr="00706AD8" w:rsidRDefault="00DE38DA" w:rsidP="00DE3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06AD8">
              <w:rPr>
                <w:rFonts w:ascii="Simplified Arabic" w:cs="Simplified Arabic"/>
                <w:color w:val="000000"/>
                <w:sz w:val="22"/>
                <w:szCs w:val="22"/>
                <w:lang w:eastAsia="en-US"/>
              </w:rPr>
              <w:t xml:space="preserve">..: Data not Available </w:t>
            </w:r>
          </w:p>
        </w:tc>
      </w:tr>
    </w:tbl>
    <w:p w:rsidR="0098313F" w:rsidRPr="005E461A" w:rsidRDefault="0098313F" w:rsidP="00B55D50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8"/>
          <w:szCs w:val="8"/>
          <w:lang w:eastAsia="en-US"/>
        </w:rPr>
      </w:pPr>
    </w:p>
    <w:p w:rsidR="00EB23FD" w:rsidRPr="005E461A" w:rsidRDefault="00EB23FD" w:rsidP="0098313F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  <w:sz w:val="26"/>
          <w:szCs w:val="26"/>
          <w:lang w:eastAsia="en-US"/>
        </w:rPr>
      </w:pPr>
      <w:r w:rsidRPr="005E461A">
        <w:rPr>
          <w:b/>
          <w:bCs/>
          <w:color w:val="000000"/>
          <w:sz w:val="26"/>
          <w:szCs w:val="26"/>
          <w:lang w:eastAsia="en-US"/>
        </w:rPr>
        <w:t xml:space="preserve">Air Temperatures in </w:t>
      </w:r>
      <w:r w:rsidR="00B55D50" w:rsidRPr="005E461A">
        <w:rPr>
          <w:b/>
          <w:bCs/>
          <w:color w:val="000000"/>
          <w:sz w:val="26"/>
          <w:szCs w:val="26"/>
          <w:lang w:eastAsia="en-US"/>
        </w:rPr>
        <w:t>2021</w:t>
      </w:r>
      <w:r w:rsidRPr="005E461A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807065" w:rsidRPr="005E461A">
        <w:rPr>
          <w:b/>
          <w:bCs/>
          <w:color w:val="000000"/>
          <w:sz w:val="26"/>
          <w:szCs w:val="26"/>
          <w:lang w:eastAsia="en-US"/>
        </w:rPr>
        <w:t xml:space="preserve">are </w:t>
      </w:r>
      <w:r w:rsidRPr="005E461A">
        <w:rPr>
          <w:b/>
          <w:bCs/>
          <w:color w:val="000000"/>
          <w:sz w:val="26"/>
          <w:szCs w:val="26"/>
          <w:lang w:eastAsia="en-US"/>
        </w:rPr>
        <w:t>higher than the mean average</w:t>
      </w:r>
    </w:p>
    <w:p w:rsidR="00EB23FD" w:rsidRPr="005E461A" w:rsidRDefault="006160FD" w:rsidP="00E95C7A">
      <w:pPr>
        <w:autoSpaceDE w:val="0"/>
        <w:autoSpaceDN w:val="0"/>
        <w:bidi w:val="0"/>
        <w:adjustRightInd w:val="0"/>
        <w:jc w:val="both"/>
        <w:rPr>
          <w:color w:val="000000"/>
          <w:sz w:val="26"/>
          <w:szCs w:val="26"/>
          <w:rtl/>
          <w:lang w:eastAsia="en-US"/>
        </w:rPr>
      </w:pPr>
      <w:r w:rsidRPr="005E461A">
        <w:rPr>
          <w:color w:val="000000"/>
          <w:sz w:val="26"/>
          <w:szCs w:val="26"/>
          <w:lang w:eastAsia="en-US"/>
        </w:rPr>
        <w:t>Te</w:t>
      </w:r>
      <w:r w:rsidR="00EB23FD" w:rsidRPr="005E461A">
        <w:rPr>
          <w:color w:val="000000"/>
          <w:sz w:val="26"/>
          <w:szCs w:val="26"/>
          <w:lang w:eastAsia="en-US"/>
        </w:rPr>
        <w:t xml:space="preserve">mperature data were analyzed by selecting stations that represent the climate system in Palestine. The analysis sample was taken for a station representing the mountainous and semi-coastal areas and </w:t>
      </w:r>
      <w:r w:rsidR="00C537AC" w:rsidRPr="005E461A">
        <w:rPr>
          <w:color w:val="000000"/>
          <w:sz w:val="26"/>
          <w:szCs w:val="26"/>
          <w:lang w:eastAsia="en-US"/>
        </w:rPr>
        <w:t>Al-</w:t>
      </w:r>
      <w:proofErr w:type="spellStart"/>
      <w:r w:rsidR="00C537AC" w:rsidRPr="005E461A">
        <w:rPr>
          <w:color w:val="000000"/>
          <w:sz w:val="26"/>
          <w:szCs w:val="26"/>
          <w:lang w:eastAsia="en-US"/>
        </w:rPr>
        <w:t>Aghwar</w:t>
      </w:r>
      <w:proofErr w:type="spellEnd"/>
      <w:r w:rsidR="00C537AC" w:rsidRPr="005E461A">
        <w:rPr>
          <w:color w:val="000000"/>
          <w:sz w:val="26"/>
          <w:szCs w:val="26"/>
          <w:lang w:eastAsia="en-US"/>
        </w:rPr>
        <w:t xml:space="preserve"> </w:t>
      </w:r>
      <w:r w:rsidR="00EB23FD" w:rsidRPr="005E461A">
        <w:rPr>
          <w:color w:val="000000"/>
          <w:sz w:val="26"/>
          <w:szCs w:val="26"/>
          <w:lang w:eastAsia="en-US"/>
        </w:rPr>
        <w:t>region. PMD</w:t>
      </w:r>
      <w:r w:rsidR="00EB23FD" w:rsidRPr="005E461A" w:rsidDel="00EE0083">
        <w:rPr>
          <w:color w:val="000000"/>
          <w:sz w:val="26"/>
          <w:szCs w:val="26"/>
          <w:lang w:eastAsia="en-US"/>
        </w:rPr>
        <w:t xml:space="preserve"> </w:t>
      </w:r>
      <w:r w:rsidR="00EB23FD" w:rsidRPr="005E461A">
        <w:rPr>
          <w:color w:val="000000"/>
          <w:sz w:val="26"/>
          <w:szCs w:val="26"/>
          <w:lang w:eastAsia="en-US"/>
        </w:rPr>
        <w:t xml:space="preserve">data showed that air temperatures in </w:t>
      </w:r>
      <w:r w:rsidR="00E95C7A" w:rsidRPr="005E461A">
        <w:rPr>
          <w:color w:val="000000"/>
          <w:sz w:val="26"/>
          <w:szCs w:val="26"/>
          <w:lang w:eastAsia="en-US"/>
        </w:rPr>
        <w:t>2021</w:t>
      </w:r>
      <w:r w:rsidR="00EB23FD" w:rsidRPr="005E461A">
        <w:rPr>
          <w:rFonts w:hint="cs"/>
          <w:color w:val="000000"/>
          <w:sz w:val="26"/>
          <w:szCs w:val="26"/>
          <w:rtl/>
          <w:lang w:eastAsia="en-US"/>
        </w:rPr>
        <w:t xml:space="preserve"> </w:t>
      </w:r>
      <w:r w:rsidR="00EB23FD" w:rsidRPr="005E461A">
        <w:rPr>
          <w:color w:val="000000"/>
          <w:sz w:val="26"/>
          <w:szCs w:val="26"/>
          <w:lang w:eastAsia="en-US"/>
        </w:rPr>
        <w:t xml:space="preserve">were higher than the mean average </w:t>
      </w:r>
      <w:r w:rsidR="00F006D5" w:rsidRPr="005E461A">
        <w:rPr>
          <w:color w:val="000000"/>
          <w:sz w:val="26"/>
          <w:szCs w:val="26"/>
          <w:lang w:eastAsia="en-US"/>
        </w:rPr>
        <w:t xml:space="preserve">by </w:t>
      </w:r>
      <w:r w:rsidR="00AF7048" w:rsidRPr="005E461A">
        <w:rPr>
          <w:color w:val="000000"/>
          <w:sz w:val="26"/>
          <w:szCs w:val="26"/>
          <w:lang w:eastAsia="en-US"/>
        </w:rPr>
        <w:t>(</w:t>
      </w:r>
      <w:r w:rsidR="00F006D5" w:rsidRPr="005E461A">
        <w:rPr>
          <w:color w:val="000000"/>
          <w:sz w:val="26"/>
          <w:szCs w:val="26"/>
          <w:lang w:eastAsia="en-US"/>
        </w:rPr>
        <w:t>3.4</w:t>
      </w:r>
      <w:r w:rsidR="00EB23FD" w:rsidRPr="005E461A">
        <w:rPr>
          <w:color w:val="000000"/>
          <w:sz w:val="26"/>
          <w:szCs w:val="26"/>
          <w:lang w:eastAsia="en-US"/>
        </w:rPr>
        <w:t>°</w:t>
      </w:r>
      <w:r w:rsidR="00F006D5" w:rsidRPr="005E461A">
        <w:rPr>
          <w:color w:val="000000"/>
          <w:sz w:val="26"/>
          <w:szCs w:val="26"/>
          <w:lang w:eastAsia="en-US"/>
        </w:rPr>
        <w:t>C</w:t>
      </w:r>
      <w:r w:rsidR="00F006D5" w:rsidRPr="005E461A">
        <w:rPr>
          <w:rFonts w:hint="cs"/>
          <w:color w:val="000000"/>
          <w:sz w:val="26"/>
          <w:szCs w:val="26"/>
          <w:rtl/>
          <w:lang w:eastAsia="en-US"/>
        </w:rPr>
        <w:t xml:space="preserve"> (</w:t>
      </w:r>
      <w:r w:rsidR="00F006D5" w:rsidRPr="005E461A">
        <w:rPr>
          <w:color w:val="000000"/>
          <w:sz w:val="26"/>
          <w:szCs w:val="26"/>
          <w:lang w:eastAsia="en-US"/>
        </w:rPr>
        <w:t>in</w:t>
      </w:r>
      <w:r w:rsidR="00EB23FD" w:rsidRPr="005E461A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EB23FD" w:rsidRPr="005E461A">
        <w:rPr>
          <w:color w:val="000000"/>
          <w:sz w:val="26"/>
          <w:szCs w:val="26"/>
          <w:lang w:eastAsia="en-US"/>
        </w:rPr>
        <w:t>Tulkarm</w:t>
      </w:r>
      <w:proofErr w:type="spellEnd"/>
      <w:r w:rsidR="00B55D50" w:rsidRPr="005E461A">
        <w:rPr>
          <w:color w:val="000000"/>
          <w:sz w:val="26"/>
          <w:szCs w:val="26"/>
          <w:lang w:eastAsia="en-US"/>
        </w:rPr>
        <w:t xml:space="preserve"> and </w:t>
      </w:r>
      <w:r w:rsidR="00F006D5" w:rsidRPr="005E461A">
        <w:rPr>
          <w:color w:val="000000"/>
          <w:sz w:val="26"/>
          <w:szCs w:val="26"/>
          <w:lang w:eastAsia="en-US"/>
        </w:rPr>
        <w:t>Jericho stations</w:t>
      </w:r>
      <w:r w:rsidR="004C7565" w:rsidRPr="005E461A">
        <w:rPr>
          <w:color w:val="000000"/>
          <w:sz w:val="26"/>
          <w:szCs w:val="26"/>
          <w:lang w:eastAsia="en-US"/>
        </w:rPr>
        <w:t>.</w:t>
      </w:r>
    </w:p>
    <w:p w:rsidR="00EB23FD" w:rsidRPr="006B192E" w:rsidRDefault="00EB23FD" w:rsidP="00EB23FD">
      <w:pPr>
        <w:autoSpaceDE w:val="0"/>
        <w:autoSpaceDN w:val="0"/>
        <w:bidi w:val="0"/>
        <w:adjustRightInd w:val="0"/>
        <w:ind w:right="-426"/>
        <w:jc w:val="both"/>
        <w:rPr>
          <w:bCs/>
          <w:color w:val="000000"/>
          <w:sz w:val="16"/>
          <w:szCs w:val="16"/>
          <w:lang w:eastAsia="en-US"/>
        </w:rPr>
      </w:pPr>
    </w:p>
    <w:p w:rsidR="002E5E3D" w:rsidRPr="005E461A" w:rsidRDefault="00EB23FD" w:rsidP="00F006D5">
      <w:pPr>
        <w:autoSpaceDE w:val="0"/>
        <w:autoSpaceDN w:val="0"/>
        <w:bidi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5E461A">
        <w:rPr>
          <w:color w:val="000000"/>
          <w:sz w:val="26"/>
          <w:szCs w:val="26"/>
          <w:lang w:eastAsia="en-US"/>
        </w:rPr>
        <w:t xml:space="preserve">This significant rise in air temperatures is due to Palestine being affected by heat waves during the months of </w:t>
      </w:r>
      <w:r w:rsidR="00E95C7A" w:rsidRPr="005E461A">
        <w:rPr>
          <w:color w:val="000000"/>
          <w:sz w:val="26"/>
          <w:szCs w:val="26"/>
          <w:lang w:eastAsia="en-US"/>
        </w:rPr>
        <w:t>July</w:t>
      </w:r>
      <w:r w:rsidRPr="005E461A">
        <w:rPr>
          <w:color w:val="000000"/>
          <w:sz w:val="26"/>
          <w:szCs w:val="26"/>
          <w:lang w:eastAsia="en-US"/>
        </w:rPr>
        <w:t xml:space="preserve">, August and </w:t>
      </w:r>
      <w:r w:rsidR="00E95C7A" w:rsidRPr="005E461A">
        <w:rPr>
          <w:color w:val="000000"/>
          <w:sz w:val="26"/>
          <w:szCs w:val="26"/>
          <w:lang w:eastAsia="en-US"/>
        </w:rPr>
        <w:t>October</w:t>
      </w:r>
      <w:r w:rsidR="00744A0D" w:rsidRPr="005E461A">
        <w:rPr>
          <w:color w:val="000000"/>
          <w:sz w:val="26"/>
          <w:szCs w:val="26"/>
          <w:lang w:eastAsia="en-US"/>
        </w:rPr>
        <w:t xml:space="preserve">, </w:t>
      </w:r>
      <w:r w:rsidRPr="005E461A">
        <w:rPr>
          <w:color w:val="000000"/>
          <w:sz w:val="26"/>
          <w:szCs w:val="26"/>
          <w:lang w:eastAsia="en-US"/>
        </w:rPr>
        <w:t>where the effect of which was greater on the mountainous, coastal and semi-coastal areas</w:t>
      </w:r>
      <w:r w:rsidR="00807065" w:rsidRPr="005E461A">
        <w:rPr>
          <w:color w:val="000000"/>
          <w:sz w:val="26"/>
          <w:szCs w:val="26"/>
          <w:lang w:eastAsia="en-US"/>
        </w:rPr>
        <w:t xml:space="preserve">; </w:t>
      </w:r>
      <w:r w:rsidRPr="005E461A">
        <w:rPr>
          <w:color w:val="000000"/>
          <w:sz w:val="26"/>
          <w:szCs w:val="26"/>
          <w:lang w:eastAsia="en-US"/>
        </w:rPr>
        <w:t xml:space="preserve">hence, it made the temperature rise in these areas reaching higher percentages from their mean average. Thus, those heat waves were accompanied by a marked increase in humidity levels in the same areas. </w:t>
      </w:r>
    </w:p>
    <w:p w:rsidR="006B192E" w:rsidRPr="006B192E" w:rsidRDefault="006B192E" w:rsidP="00F006D5">
      <w:pPr>
        <w:autoSpaceDE w:val="0"/>
        <w:autoSpaceDN w:val="0"/>
        <w:bidi w:val="0"/>
        <w:adjustRightInd w:val="0"/>
        <w:ind w:right="-29"/>
        <w:jc w:val="both"/>
        <w:rPr>
          <w:color w:val="000000"/>
          <w:sz w:val="16"/>
          <w:szCs w:val="16"/>
          <w:lang w:eastAsia="en-US"/>
        </w:rPr>
      </w:pPr>
    </w:p>
    <w:p w:rsidR="005E461A" w:rsidRPr="005E461A" w:rsidRDefault="00EB23FD" w:rsidP="006B192E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6"/>
          <w:szCs w:val="26"/>
          <w:lang w:eastAsia="en-US"/>
        </w:rPr>
      </w:pPr>
      <w:r w:rsidRPr="005E461A">
        <w:rPr>
          <w:b/>
          <w:bCs/>
          <w:color w:val="000000"/>
          <w:sz w:val="26"/>
          <w:szCs w:val="26"/>
          <w:lang w:eastAsia="en-US"/>
        </w:rPr>
        <w:t>Variations in Air Temperature</w:t>
      </w:r>
      <w:r w:rsidR="00744A0D" w:rsidRPr="005E461A">
        <w:rPr>
          <w:b/>
          <w:bCs/>
          <w:color w:val="000000"/>
          <w:sz w:val="26"/>
          <w:szCs w:val="26"/>
          <w:lang w:eastAsia="en-US"/>
        </w:rPr>
        <w:t>s</w:t>
      </w:r>
      <w:r w:rsidRPr="005E461A">
        <w:rPr>
          <w:b/>
          <w:bCs/>
          <w:color w:val="000000"/>
          <w:sz w:val="26"/>
          <w:szCs w:val="26"/>
          <w:lang w:eastAsia="en-US"/>
        </w:rPr>
        <w:t xml:space="preserve"> (°C) in </w:t>
      </w:r>
      <w:r w:rsidR="00D7473B" w:rsidRPr="005E461A">
        <w:rPr>
          <w:b/>
          <w:bCs/>
          <w:color w:val="000000"/>
          <w:sz w:val="26"/>
          <w:szCs w:val="26"/>
          <w:lang w:eastAsia="en-US"/>
        </w:rPr>
        <w:t>2021</w:t>
      </w:r>
      <w:r w:rsidRPr="005E461A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:rsidR="003B3542" w:rsidRPr="005E461A" w:rsidRDefault="00EB23FD" w:rsidP="005E461A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6"/>
          <w:szCs w:val="26"/>
          <w:lang w:eastAsia="en-US"/>
        </w:rPr>
      </w:pPr>
      <w:proofErr w:type="gramStart"/>
      <w:r w:rsidRPr="005E461A">
        <w:rPr>
          <w:b/>
          <w:bCs/>
          <w:color w:val="000000"/>
          <w:sz w:val="26"/>
          <w:szCs w:val="26"/>
          <w:lang w:eastAsia="en-US"/>
        </w:rPr>
        <w:t>from</w:t>
      </w:r>
      <w:proofErr w:type="gramEnd"/>
      <w:r w:rsidRPr="005E461A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7D0902" w:rsidRPr="005E461A">
        <w:rPr>
          <w:b/>
          <w:bCs/>
          <w:color w:val="000000"/>
          <w:sz w:val="26"/>
          <w:szCs w:val="26"/>
          <w:lang w:eastAsia="en-US"/>
        </w:rPr>
        <w:t xml:space="preserve">the </w:t>
      </w:r>
      <w:r w:rsidRPr="005E461A">
        <w:rPr>
          <w:b/>
          <w:bCs/>
          <w:color w:val="000000"/>
          <w:sz w:val="26"/>
          <w:szCs w:val="26"/>
          <w:lang w:eastAsia="en-US"/>
        </w:rPr>
        <w:t xml:space="preserve">Mean </w:t>
      </w:r>
      <w:r w:rsidR="00807065" w:rsidRPr="005E461A">
        <w:rPr>
          <w:b/>
          <w:bCs/>
          <w:color w:val="000000"/>
          <w:sz w:val="26"/>
          <w:szCs w:val="26"/>
          <w:lang w:eastAsia="en-US"/>
        </w:rPr>
        <w:t>Average in</w:t>
      </w:r>
      <w:r w:rsidRPr="005E461A">
        <w:rPr>
          <w:b/>
          <w:bCs/>
          <w:color w:val="000000"/>
          <w:sz w:val="26"/>
          <w:szCs w:val="26"/>
          <w:lang w:eastAsia="en-US"/>
        </w:rPr>
        <w:t xml:space="preserve"> some West Bank Stations</w:t>
      </w:r>
    </w:p>
    <w:p w:rsidR="00EB5DCF" w:rsidRDefault="00EB5DCF" w:rsidP="00EB5DCF">
      <w:pPr>
        <w:autoSpaceDE w:val="0"/>
        <w:autoSpaceDN w:val="0"/>
        <w:bidi w:val="0"/>
        <w:adjustRightInd w:val="0"/>
        <w:ind w:right="-29"/>
        <w:jc w:val="center"/>
        <w:rPr>
          <w:b/>
          <w:bCs/>
          <w:color w:val="000000"/>
          <w:sz w:val="26"/>
          <w:szCs w:val="26"/>
          <w:lang w:eastAsia="en-US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eastAsia="en-US"/>
        </w:rPr>
        <w:drawing>
          <wp:inline distT="0" distB="0" distL="0" distR="0">
            <wp:extent cx="3401695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25" cy="203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1A" w:rsidRDefault="005E461A" w:rsidP="005E461A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6"/>
          <w:szCs w:val="6"/>
          <w:lang w:eastAsia="en-US"/>
        </w:rPr>
      </w:pPr>
      <w:bookmarkStart w:id="3" w:name="_MON_1677272805"/>
      <w:bookmarkEnd w:id="3"/>
    </w:p>
    <w:p w:rsidR="005E461A" w:rsidRDefault="005E461A" w:rsidP="005E461A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6"/>
          <w:szCs w:val="6"/>
          <w:lang w:eastAsia="en-US"/>
        </w:rPr>
      </w:pPr>
    </w:p>
    <w:p w:rsidR="005E461A" w:rsidRDefault="005E461A" w:rsidP="005E461A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6"/>
          <w:szCs w:val="6"/>
          <w:lang w:eastAsia="en-US"/>
        </w:rPr>
      </w:pPr>
    </w:p>
    <w:p w:rsidR="006B192E" w:rsidRPr="005E461A" w:rsidRDefault="005E461A" w:rsidP="005E461A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6"/>
          <w:szCs w:val="6"/>
          <w:lang w:eastAsia="en-US"/>
        </w:rPr>
      </w:pPr>
      <w:r w:rsidRPr="00394AF1">
        <w:rPr>
          <w:noProof/>
          <w:lang w:eastAsia="en-US"/>
        </w:rPr>
        <w:drawing>
          <wp:inline distT="0" distB="0" distL="0" distR="0" wp14:anchorId="57596516" wp14:editId="1B87DFAD">
            <wp:extent cx="1057275" cy="1200150"/>
            <wp:effectExtent l="0" t="0" r="9525" b="0"/>
            <wp:docPr id="5" name="Picture 1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92E" w:rsidRPr="005E461A" w:rsidSect="005E461A">
      <w:footerReference w:type="default" r:id="rId10"/>
      <w:pgSz w:w="11906" w:h="16838" w:code="9"/>
      <w:pgMar w:top="709" w:right="991" w:bottom="1418" w:left="851" w:header="142" w:footer="262" w:gutter="0"/>
      <w:cols w:space="995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93" w:rsidRDefault="00867293" w:rsidP="00C51517">
      <w:r>
        <w:separator/>
      </w:r>
    </w:p>
  </w:endnote>
  <w:endnote w:type="continuationSeparator" w:id="0">
    <w:p w:rsidR="00867293" w:rsidRDefault="00867293" w:rsidP="00C5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11001130"/>
      <w:docPartObj>
        <w:docPartGallery w:val="Page Numbers (Bottom of Page)"/>
        <w:docPartUnique/>
      </w:docPartObj>
    </w:sdtPr>
    <w:sdtEndPr/>
    <w:sdtContent>
      <w:p w:rsidR="005E461A" w:rsidRDefault="005E46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B5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E461A" w:rsidRDefault="005E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93" w:rsidRDefault="00867293" w:rsidP="00C51517">
      <w:r>
        <w:separator/>
      </w:r>
    </w:p>
  </w:footnote>
  <w:footnote w:type="continuationSeparator" w:id="0">
    <w:p w:rsidR="00867293" w:rsidRDefault="00867293" w:rsidP="00C5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B7A"/>
    <w:multiLevelType w:val="multilevel"/>
    <w:tmpl w:val="7576CEF6"/>
    <w:lvl w:ilvl="0">
      <w:start w:val="7"/>
      <w:numFmt w:val="decimal"/>
      <w:lvlText w:val="%1"/>
      <w:lvlJc w:val="left"/>
      <w:pPr>
        <w:tabs>
          <w:tab w:val="num" w:pos="510"/>
        </w:tabs>
        <w:ind w:left="510" w:righ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206"/>
        </w:tabs>
        <w:ind w:left="206" w:right="206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-308" w:right="-3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-462"/>
        </w:tabs>
        <w:ind w:left="-462" w:right="-46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976"/>
        </w:tabs>
        <w:ind w:left="-976" w:right="-97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1130"/>
        </w:tabs>
        <w:ind w:left="-1130" w:right="-113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1284"/>
        </w:tabs>
        <w:ind w:left="-1284" w:right="-128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1798"/>
        </w:tabs>
        <w:ind w:left="-1798" w:right="-17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right="-1952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A0"/>
    <w:rsid w:val="0000076A"/>
    <w:rsid w:val="00001A68"/>
    <w:rsid w:val="0000248C"/>
    <w:rsid w:val="00002720"/>
    <w:rsid w:val="00002BB5"/>
    <w:rsid w:val="00002D3B"/>
    <w:rsid w:val="00003CD4"/>
    <w:rsid w:val="00004BC2"/>
    <w:rsid w:val="00014279"/>
    <w:rsid w:val="00015598"/>
    <w:rsid w:val="00017B65"/>
    <w:rsid w:val="00020358"/>
    <w:rsid w:val="00022EFB"/>
    <w:rsid w:val="00022F2C"/>
    <w:rsid w:val="00024C39"/>
    <w:rsid w:val="00027DDA"/>
    <w:rsid w:val="0003161C"/>
    <w:rsid w:val="00036F98"/>
    <w:rsid w:val="0004273A"/>
    <w:rsid w:val="0005243A"/>
    <w:rsid w:val="00053228"/>
    <w:rsid w:val="00055AA4"/>
    <w:rsid w:val="00055DD8"/>
    <w:rsid w:val="0005650C"/>
    <w:rsid w:val="00056A10"/>
    <w:rsid w:val="00064E81"/>
    <w:rsid w:val="00064F45"/>
    <w:rsid w:val="000719A2"/>
    <w:rsid w:val="00072431"/>
    <w:rsid w:val="00081972"/>
    <w:rsid w:val="00084436"/>
    <w:rsid w:val="00084B5D"/>
    <w:rsid w:val="00097CA7"/>
    <w:rsid w:val="000A029A"/>
    <w:rsid w:val="000A1996"/>
    <w:rsid w:val="000A7D92"/>
    <w:rsid w:val="000B1F4A"/>
    <w:rsid w:val="000B32A4"/>
    <w:rsid w:val="000B48BB"/>
    <w:rsid w:val="000B6C18"/>
    <w:rsid w:val="000B7C31"/>
    <w:rsid w:val="000C02FA"/>
    <w:rsid w:val="000C0544"/>
    <w:rsid w:val="000D080A"/>
    <w:rsid w:val="000D3677"/>
    <w:rsid w:val="000D45B4"/>
    <w:rsid w:val="000E3BD9"/>
    <w:rsid w:val="000E5127"/>
    <w:rsid w:val="000F180A"/>
    <w:rsid w:val="000F36A8"/>
    <w:rsid w:val="00103320"/>
    <w:rsid w:val="00103B97"/>
    <w:rsid w:val="00104ED7"/>
    <w:rsid w:val="0010798B"/>
    <w:rsid w:val="001106CD"/>
    <w:rsid w:val="001122BA"/>
    <w:rsid w:val="00112362"/>
    <w:rsid w:val="00112940"/>
    <w:rsid w:val="001134C2"/>
    <w:rsid w:val="00116168"/>
    <w:rsid w:val="001163A5"/>
    <w:rsid w:val="00116D57"/>
    <w:rsid w:val="0011773E"/>
    <w:rsid w:val="00121162"/>
    <w:rsid w:val="00122738"/>
    <w:rsid w:val="00132D2A"/>
    <w:rsid w:val="00134F26"/>
    <w:rsid w:val="00135CC4"/>
    <w:rsid w:val="00142172"/>
    <w:rsid w:val="00144354"/>
    <w:rsid w:val="00144D71"/>
    <w:rsid w:val="001525DA"/>
    <w:rsid w:val="00153EEF"/>
    <w:rsid w:val="00153FCE"/>
    <w:rsid w:val="00165437"/>
    <w:rsid w:val="00171DAD"/>
    <w:rsid w:val="00171E79"/>
    <w:rsid w:val="001732A2"/>
    <w:rsid w:val="00180E63"/>
    <w:rsid w:val="001877B9"/>
    <w:rsid w:val="00197485"/>
    <w:rsid w:val="001A27B3"/>
    <w:rsid w:val="001A2C6C"/>
    <w:rsid w:val="001A50FB"/>
    <w:rsid w:val="001B02DA"/>
    <w:rsid w:val="001B670E"/>
    <w:rsid w:val="001B70E7"/>
    <w:rsid w:val="001C2D12"/>
    <w:rsid w:val="001C37F1"/>
    <w:rsid w:val="001C47A6"/>
    <w:rsid w:val="001C4810"/>
    <w:rsid w:val="001C4FE1"/>
    <w:rsid w:val="001D3E0C"/>
    <w:rsid w:val="001D477F"/>
    <w:rsid w:val="001E4765"/>
    <w:rsid w:val="001E4DD6"/>
    <w:rsid w:val="001F31A5"/>
    <w:rsid w:val="001F38E3"/>
    <w:rsid w:val="001F5ADC"/>
    <w:rsid w:val="002004A4"/>
    <w:rsid w:val="00213213"/>
    <w:rsid w:val="00215FA1"/>
    <w:rsid w:val="002167D5"/>
    <w:rsid w:val="002179B8"/>
    <w:rsid w:val="00217B49"/>
    <w:rsid w:val="0022554E"/>
    <w:rsid w:val="002312FB"/>
    <w:rsid w:val="00237002"/>
    <w:rsid w:val="00240A4C"/>
    <w:rsid w:val="00242296"/>
    <w:rsid w:val="00250658"/>
    <w:rsid w:val="002547F6"/>
    <w:rsid w:val="00261256"/>
    <w:rsid w:val="00267204"/>
    <w:rsid w:val="002765FE"/>
    <w:rsid w:val="002804AB"/>
    <w:rsid w:val="00286BE2"/>
    <w:rsid w:val="002912C6"/>
    <w:rsid w:val="00291CDC"/>
    <w:rsid w:val="002946F9"/>
    <w:rsid w:val="00295EAD"/>
    <w:rsid w:val="002A3821"/>
    <w:rsid w:val="002A3DA5"/>
    <w:rsid w:val="002A47B8"/>
    <w:rsid w:val="002A6586"/>
    <w:rsid w:val="002B0642"/>
    <w:rsid w:val="002B0C16"/>
    <w:rsid w:val="002B10D5"/>
    <w:rsid w:val="002B2765"/>
    <w:rsid w:val="002B3808"/>
    <w:rsid w:val="002B779A"/>
    <w:rsid w:val="002C2454"/>
    <w:rsid w:val="002C329A"/>
    <w:rsid w:val="002C4F55"/>
    <w:rsid w:val="002D3B83"/>
    <w:rsid w:val="002E122C"/>
    <w:rsid w:val="002E1EDB"/>
    <w:rsid w:val="002E200E"/>
    <w:rsid w:val="002E3F03"/>
    <w:rsid w:val="002E5E3D"/>
    <w:rsid w:val="002F2C67"/>
    <w:rsid w:val="002F42C5"/>
    <w:rsid w:val="002F4C8E"/>
    <w:rsid w:val="002F553C"/>
    <w:rsid w:val="003100AC"/>
    <w:rsid w:val="003108EE"/>
    <w:rsid w:val="00310CA0"/>
    <w:rsid w:val="0031179E"/>
    <w:rsid w:val="003211AE"/>
    <w:rsid w:val="003224F6"/>
    <w:rsid w:val="00326BE8"/>
    <w:rsid w:val="00335510"/>
    <w:rsid w:val="003355E3"/>
    <w:rsid w:val="00341EE7"/>
    <w:rsid w:val="00343AF8"/>
    <w:rsid w:val="00346B2C"/>
    <w:rsid w:val="00347D54"/>
    <w:rsid w:val="00352BAC"/>
    <w:rsid w:val="003567C1"/>
    <w:rsid w:val="00356C6F"/>
    <w:rsid w:val="00362EAB"/>
    <w:rsid w:val="00363912"/>
    <w:rsid w:val="0036799D"/>
    <w:rsid w:val="0037431E"/>
    <w:rsid w:val="00375F5D"/>
    <w:rsid w:val="00377C8E"/>
    <w:rsid w:val="00381147"/>
    <w:rsid w:val="00383CB0"/>
    <w:rsid w:val="00387044"/>
    <w:rsid w:val="00391863"/>
    <w:rsid w:val="003A1680"/>
    <w:rsid w:val="003A19E8"/>
    <w:rsid w:val="003A24E3"/>
    <w:rsid w:val="003B040A"/>
    <w:rsid w:val="003B3542"/>
    <w:rsid w:val="003C2794"/>
    <w:rsid w:val="003D1A05"/>
    <w:rsid w:val="003D1A92"/>
    <w:rsid w:val="003D2AA2"/>
    <w:rsid w:val="003D3B01"/>
    <w:rsid w:val="003E0C81"/>
    <w:rsid w:val="003E342D"/>
    <w:rsid w:val="003E6DFD"/>
    <w:rsid w:val="003F11CE"/>
    <w:rsid w:val="003F17F2"/>
    <w:rsid w:val="003F3ADD"/>
    <w:rsid w:val="003F775F"/>
    <w:rsid w:val="00400B83"/>
    <w:rsid w:val="00401571"/>
    <w:rsid w:val="00405956"/>
    <w:rsid w:val="004073AB"/>
    <w:rsid w:val="004117B1"/>
    <w:rsid w:val="00413CEA"/>
    <w:rsid w:val="004168B7"/>
    <w:rsid w:val="004216FB"/>
    <w:rsid w:val="00421FF6"/>
    <w:rsid w:val="00422990"/>
    <w:rsid w:val="00423085"/>
    <w:rsid w:val="00425B81"/>
    <w:rsid w:val="004364C4"/>
    <w:rsid w:val="00436CD0"/>
    <w:rsid w:val="004377CC"/>
    <w:rsid w:val="0044659F"/>
    <w:rsid w:val="004511FB"/>
    <w:rsid w:val="00452047"/>
    <w:rsid w:val="00452060"/>
    <w:rsid w:val="00456B69"/>
    <w:rsid w:val="0046114D"/>
    <w:rsid w:val="004650D2"/>
    <w:rsid w:val="00467C60"/>
    <w:rsid w:val="00477C08"/>
    <w:rsid w:val="00480BAC"/>
    <w:rsid w:val="00496B0C"/>
    <w:rsid w:val="00497112"/>
    <w:rsid w:val="004A34B8"/>
    <w:rsid w:val="004A7D52"/>
    <w:rsid w:val="004B07EB"/>
    <w:rsid w:val="004B1928"/>
    <w:rsid w:val="004B25B3"/>
    <w:rsid w:val="004B71B3"/>
    <w:rsid w:val="004C03E7"/>
    <w:rsid w:val="004C0E00"/>
    <w:rsid w:val="004C219D"/>
    <w:rsid w:val="004C43EB"/>
    <w:rsid w:val="004C6336"/>
    <w:rsid w:val="004C7565"/>
    <w:rsid w:val="004D022C"/>
    <w:rsid w:val="004D1438"/>
    <w:rsid w:val="004D22C4"/>
    <w:rsid w:val="004E34A4"/>
    <w:rsid w:val="004E4945"/>
    <w:rsid w:val="004E53A2"/>
    <w:rsid w:val="004E7DF2"/>
    <w:rsid w:val="004E7ED8"/>
    <w:rsid w:val="00502BB2"/>
    <w:rsid w:val="0050429C"/>
    <w:rsid w:val="00504FB8"/>
    <w:rsid w:val="005101A0"/>
    <w:rsid w:val="005152B4"/>
    <w:rsid w:val="00520E22"/>
    <w:rsid w:val="00521F42"/>
    <w:rsid w:val="005244B7"/>
    <w:rsid w:val="00526BEF"/>
    <w:rsid w:val="0052715B"/>
    <w:rsid w:val="0053089A"/>
    <w:rsid w:val="005316F8"/>
    <w:rsid w:val="00533A7D"/>
    <w:rsid w:val="00546FA7"/>
    <w:rsid w:val="00550AD6"/>
    <w:rsid w:val="0055124F"/>
    <w:rsid w:val="00557947"/>
    <w:rsid w:val="00563AA7"/>
    <w:rsid w:val="005655C7"/>
    <w:rsid w:val="00567FD7"/>
    <w:rsid w:val="005754A8"/>
    <w:rsid w:val="00576E75"/>
    <w:rsid w:val="0058119B"/>
    <w:rsid w:val="00581A2B"/>
    <w:rsid w:val="00585A02"/>
    <w:rsid w:val="005867F3"/>
    <w:rsid w:val="0059377C"/>
    <w:rsid w:val="005A35C7"/>
    <w:rsid w:val="005A393D"/>
    <w:rsid w:val="005A4971"/>
    <w:rsid w:val="005A514A"/>
    <w:rsid w:val="005A52FD"/>
    <w:rsid w:val="005A6078"/>
    <w:rsid w:val="005A72BE"/>
    <w:rsid w:val="005B7847"/>
    <w:rsid w:val="005C493B"/>
    <w:rsid w:val="005C7713"/>
    <w:rsid w:val="005D5EA9"/>
    <w:rsid w:val="005D739D"/>
    <w:rsid w:val="005D7A39"/>
    <w:rsid w:val="005E461A"/>
    <w:rsid w:val="005F1DB7"/>
    <w:rsid w:val="005F3721"/>
    <w:rsid w:val="005F5456"/>
    <w:rsid w:val="0060651B"/>
    <w:rsid w:val="00606EA1"/>
    <w:rsid w:val="006102F4"/>
    <w:rsid w:val="006160FD"/>
    <w:rsid w:val="00620895"/>
    <w:rsid w:val="00621701"/>
    <w:rsid w:val="00621B51"/>
    <w:rsid w:val="00624C8B"/>
    <w:rsid w:val="00625CB5"/>
    <w:rsid w:val="00632A61"/>
    <w:rsid w:val="00636180"/>
    <w:rsid w:val="006367AD"/>
    <w:rsid w:val="00645C94"/>
    <w:rsid w:val="00650064"/>
    <w:rsid w:val="00654B46"/>
    <w:rsid w:val="00655184"/>
    <w:rsid w:val="00655E80"/>
    <w:rsid w:val="00656176"/>
    <w:rsid w:val="00656741"/>
    <w:rsid w:val="00657FF9"/>
    <w:rsid w:val="00670C6E"/>
    <w:rsid w:val="006720C3"/>
    <w:rsid w:val="0067313D"/>
    <w:rsid w:val="006768F9"/>
    <w:rsid w:val="00691885"/>
    <w:rsid w:val="006971A1"/>
    <w:rsid w:val="006A02A9"/>
    <w:rsid w:val="006A1E89"/>
    <w:rsid w:val="006A7320"/>
    <w:rsid w:val="006B192E"/>
    <w:rsid w:val="006C2FC7"/>
    <w:rsid w:val="006C3978"/>
    <w:rsid w:val="006C7880"/>
    <w:rsid w:val="006D132E"/>
    <w:rsid w:val="006D5573"/>
    <w:rsid w:val="006E07E4"/>
    <w:rsid w:val="006E0A78"/>
    <w:rsid w:val="006E3B92"/>
    <w:rsid w:val="006E4874"/>
    <w:rsid w:val="006E5994"/>
    <w:rsid w:val="006E6520"/>
    <w:rsid w:val="006E6679"/>
    <w:rsid w:val="006F02F9"/>
    <w:rsid w:val="006F0D39"/>
    <w:rsid w:val="006F5D2D"/>
    <w:rsid w:val="0070027C"/>
    <w:rsid w:val="00700788"/>
    <w:rsid w:val="00711DA5"/>
    <w:rsid w:val="00712276"/>
    <w:rsid w:val="00716A4C"/>
    <w:rsid w:val="0072091F"/>
    <w:rsid w:val="007230EB"/>
    <w:rsid w:val="007267A3"/>
    <w:rsid w:val="00730233"/>
    <w:rsid w:val="007310BE"/>
    <w:rsid w:val="0073530D"/>
    <w:rsid w:val="00741A12"/>
    <w:rsid w:val="00742EB6"/>
    <w:rsid w:val="00744A0D"/>
    <w:rsid w:val="00746AE2"/>
    <w:rsid w:val="00750C06"/>
    <w:rsid w:val="0075351F"/>
    <w:rsid w:val="0076272B"/>
    <w:rsid w:val="00762DA2"/>
    <w:rsid w:val="00763A8F"/>
    <w:rsid w:val="00774E06"/>
    <w:rsid w:val="0077587F"/>
    <w:rsid w:val="00782610"/>
    <w:rsid w:val="0078340F"/>
    <w:rsid w:val="00785214"/>
    <w:rsid w:val="007854B8"/>
    <w:rsid w:val="0079289C"/>
    <w:rsid w:val="00792A98"/>
    <w:rsid w:val="007976F4"/>
    <w:rsid w:val="007A058D"/>
    <w:rsid w:val="007B1E08"/>
    <w:rsid w:val="007C1061"/>
    <w:rsid w:val="007C352C"/>
    <w:rsid w:val="007C5A6A"/>
    <w:rsid w:val="007C5D12"/>
    <w:rsid w:val="007D0902"/>
    <w:rsid w:val="007D2B7E"/>
    <w:rsid w:val="007D34CD"/>
    <w:rsid w:val="007E02C3"/>
    <w:rsid w:val="007E2BAA"/>
    <w:rsid w:val="007E3A08"/>
    <w:rsid w:val="007E75FC"/>
    <w:rsid w:val="007F097C"/>
    <w:rsid w:val="00807065"/>
    <w:rsid w:val="00807651"/>
    <w:rsid w:val="00812ECA"/>
    <w:rsid w:val="00820A3D"/>
    <w:rsid w:val="008226F5"/>
    <w:rsid w:val="008242B2"/>
    <w:rsid w:val="008253E5"/>
    <w:rsid w:val="00833198"/>
    <w:rsid w:val="0083361E"/>
    <w:rsid w:val="008356F6"/>
    <w:rsid w:val="00841738"/>
    <w:rsid w:val="00844C0E"/>
    <w:rsid w:val="00846B63"/>
    <w:rsid w:val="00852E92"/>
    <w:rsid w:val="00854D14"/>
    <w:rsid w:val="00855FCA"/>
    <w:rsid w:val="00867293"/>
    <w:rsid w:val="00871C9D"/>
    <w:rsid w:val="0087364D"/>
    <w:rsid w:val="008761B3"/>
    <w:rsid w:val="0088203E"/>
    <w:rsid w:val="00886792"/>
    <w:rsid w:val="008901E2"/>
    <w:rsid w:val="00895355"/>
    <w:rsid w:val="0089567D"/>
    <w:rsid w:val="00895C9D"/>
    <w:rsid w:val="00897AE7"/>
    <w:rsid w:val="008A01D9"/>
    <w:rsid w:val="008A7324"/>
    <w:rsid w:val="008B02C5"/>
    <w:rsid w:val="008C1384"/>
    <w:rsid w:val="008C73D1"/>
    <w:rsid w:val="008C7B9A"/>
    <w:rsid w:val="008D15E3"/>
    <w:rsid w:val="008D3121"/>
    <w:rsid w:val="008D58C9"/>
    <w:rsid w:val="008E2B74"/>
    <w:rsid w:val="008E64AC"/>
    <w:rsid w:val="008E69E8"/>
    <w:rsid w:val="00904AFE"/>
    <w:rsid w:val="009078BC"/>
    <w:rsid w:val="00913E0F"/>
    <w:rsid w:val="00916991"/>
    <w:rsid w:val="00916BE1"/>
    <w:rsid w:val="009229FF"/>
    <w:rsid w:val="00922A58"/>
    <w:rsid w:val="00945A58"/>
    <w:rsid w:val="00946F3C"/>
    <w:rsid w:val="00947413"/>
    <w:rsid w:val="00950B5E"/>
    <w:rsid w:val="009529E5"/>
    <w:rsid w:val="0095321F"/>
    <w:rsid w:val="00953447"/>
    <w:rsid w:val="00955155"/>
    <w:rsid w:val="00955389"/>
    <w:rsid w:val="009559E3"/>
    <w:rsid w:val="00956C4E"/>
    <w:rsid w:val="009639F1"/>
    <w:rsid w:val="00965BC1"/>
    <w:rsid w:val="00966E90"/>
    <w:rsid w:val="00967DC5"/>
    <w:rsid w:val="00973213"/>
    <w:rsid w:val="0097322D"/>
    <w:rsid w:val="00974621"/>
    <w:rsid w:val="00975AAE"/>
    <w:rsid w:val="00982FA5"/>
    <w:rsid w:val="0098313F"/>
    <w:rsid w:val="009906A1"/>
    <w:rsid w:val="0099617E"/>
    <w:rsid w:val="00997832"/>
    <w:rsid w:val="009A687E"/>
    <w:rsid w:val="009A7C6C"/>
    <w:rsid w:val="009B4801"/>
    <w:rsid w:val="009B5416"/>
    <w:rsid w:val="009B574A"/>
    <w:rsid w:val="009C5B46"/>
    <w:rsid w:val="009E5BD0"/>
    <w:rsid w:val="009F0301"/>
    <w:rsid w:val="009F5CBD"/>
    <w:rsid w:val="009F5CD9"/>
    <w:rsid w:val="009F7E76"/>
    <w:rsid w:val="00A02111"/>
    <w:rsid w:val="00A05A53"/>
    <w:rsid w:val="00A17A7A"/>
    <w:rsid w:val="00A22A7E"/>
    <w:rsid w:val="00A236AD"/>
    <w:rsid w:val="00A23DF0"/>
    <w:rsid w:val="00A327C2"/>
    <w:rsid w:val="00A3715B"/>
    <w:rsid w:val="00A40E95"/>
    <w:rsid w:val="00A4698D"/>
    <w:rsid w:val="00A535D2"/>
    <w:rsid w:val="00A54D91"/>
    <w:rsid w:val="00A55055"/>
    <w:rsid w:val="00A55D54"/>
    <w:rsid w:val="00A60156"/>
    <w:rsid w:val="00A61E75"/>
    <w:rsid w:val="00A625C6"/>
    <w:rsid w:val="00A72382"/>
    <w:rsid w:val="00A741A1"/>
    <w:rsid w:val="00A804CA"/>
    <w:rsid w:val="00A96138"/>
    <w:rsid w:val="00AA0A83"/>
    <w:rsid w:val="00AA286B"/>
    <w:rsid w:val="00AC2D14"/>
    <w:rsid w:val="00AC598E"/>
    <w:rsid w:val="00AD0E03"/>
    <w:rsid w:val="00AD2057"/>
    <w:rsid w:val="00AD3949"/>
    <w:rsid w:val="00AE46F7"/>
    <w:rsid w:val="00AF614E"/>
    <w:rsid w:val="00AF7048"/>
    <w:rsid w:val="00B007D7"/>
    <w:rsid w:val="00B0308F"/>
    <w:rsid w:val="00B038A0"/>
    <w:rsid w:val="00B04281"/>
    <w:rsid w:val="00B144B7"/>
    <w:rsid w:val="00B14762"/>
    <w:rsid w:val="00B15F6C"/>
    <w:rsid w:val="00B17592"/>
    <w:rsid w:val="00B30F91"/>
    <w:rsid w:val="00B31CA2"/>
    <w:rsid w:val="00B32A06"/>
    <w:rsid w:val="00B37F2E"/>
    <w:rsid w:val="00B41334"/>
    <w:rsid w:val="00B41B1A"/>
    <w:rsid w:val="00B449B5"/>
    <w:rsid w:val="00B4704F"/>
    <w:rsid w:val="00B47187"/>
    <w:rsid w:val="00B55D50"/>
    <w:rsid w:val="00B71B5B"/>
    <w:rsid w:val="00B77457"/>
    <w:rsid w:val="00B803EF"/>
    <w:rsid w:val="00B80D3C"/>
    <w:rsid w:val="00B81867"/>
    <w:rsid w:val="00B83637"/>
    <w:rsid w:val="00B86B6A"/>
    <w:rsid w:val="00B87C45"/>
    <w:rsid w:val="00B90A59"/>
    <w:rsid w:val="00B931C7"/>
    <w:rsid w:val="00BA4701"/>
    <w:rsid w:val="00BA6A4D"/>
    <w:rsid w:val="00BA757E"/>
    <w:rsid w:val="00BA7B01"/>
    <w:rsid w:val="00BB3F21"/>
    <w:rsid w:val="00BC0ED8"/>
    <w:rsid w:val="00BC257D"/>
    <w:rsid w:val="00BC6428"/>
    <w:rsid w:val="00BD0686"/>
    <w:rsid w:val="00BD0891"/>
    <w:rsid w:val="00BD0E14"/>
    <w:rsid w:val="00BD2C22"/>
    <w:rsid w:val="00BD3466"/>
    <w:rsid w:val="00BD53C7"/>
    <w:rsid w:val="00BD746F"/>
    <w:rsid w:val="00BE08CE"/>
    <w:rsid w:val="00BE3E2B"/>
    <w:rsid w:val="00BF1582"/>
    <w:rsid w:val="00BF3BCC"/>
    <w:rsid w:val="00C02A19"/>
    <w:rsid w:val="00C0601A"/>
    <w:rsid w:val="00C115D0"/>
    <w:rsid w:val="00C156EA"/>
    <w:rsid w:val="00C15CF9"/>
    <w:rsid w:val="00C15F61"/>
    <w:rsid w:val="00C16F17"/>
    <w:rsid w:val="00C27B5F"/>
    <w:rsid w:val="00C3002B"/>
    <w:rsid w:val="00C31142"/>
    <w:rsid w:val="00C34221"/>
    <w:rsid w:val="00C37A96"/>
    <w:rsid w:val="00C436B8"/>
    <w:rsid w:val="00C4588E"/>
    <w:rsid w:val="00C47B71"/>
    <w:rsid w:val="00C50FA0"/>
    <w:rsid w:val="00C51517"/>
    <w:rsid w:val="00C537AC"/>
    <w:rsid w:val="00C600F0"/>
    <w:rsid w:val="00C61B93"/>
    <w:rsid w:val="00C6429F"/>
    <w:rsid w:val="00C7040F"/>
    <w:rsid w:val="00C73A90"/>
    <w:rsid w:val="00C75EA9"/>
    <w:rsid w:val="00C76732"/>
    <w:rsid w:val="00C77EA8"/>
    <w:rsid w:val="00C81C4C"/>
    <w:rsid w:val="00C8467A"/>
    <w:rsid w:val="00C84F04"/>
    <w:rsid w:val="00C900B3"/>
    <w:rsid w:val="00C97CDE"/>
    <w:rsid w:val="00CA078A"/>
    <w:rsid w:val="00CA509C"/>
    <w:rsid w:val="00CB5337"/>
    <w:rsid w:val="00CB6C37"/>
    <w:rsid w:val="00CB6D0F"/>
    <w:rsid w:val="00CB6DB8"/>
    <w:rsid w:val="00CB7C1E"/>
    <w:rsid w:val="00CC0457"/>
    <w:rsid w:val="00CC3482"/>
    <w:rsid w:val="00CC57C5"/>
    <w:rsid w:val="00CD1CBD"/>
    <w:rsid w:val="00CD4EFE"/>
    <w:rsid w:val="00CD57C4"/>
    <w:rsid w:val="00CE44F2"/>
    <w:rsid w:val="00CE7F4B"/>
    <w:rsid w:val="00CF3B6A"/>
    <w:rsid w:val="00D0017E"/>
    <w:rsid w:val="00D068E8"/>
    <w:rsid w:val="00D14146"/>
    <w:rsid w:val="00D164F8"/>
    <w:rsid w:val="00D24FA1"/>
    <w:rsid w:val="00D32227"/>
    <w:rsid w:val="00D34CFE"/>
    <w:rsid w:val="00D42406"/>
    <w:rsid w:val="00D43434"/>
    <w:rsid w:val="00D50511"/>
    <w:rsid w:val="00D52CBA"/>
    <w:rsid w:val="00D578B2"/>
    <w:rsid w:val="00D62C98"/>
    <w:rsid w:val="00D62D8F"/>
    <w:rsid w:val="00D654E0"/>
    <w:rsid w:val="00D67C0E"/>
    <w:rsid w:val="00D70750"/>
    <w:rsid w:val="00D7473B"/>
    <w:rsid w:val="00D74E49"/>
    <w:rsid w:val="00D77143"/>
    <w:rsid w:val="00D77337"/>
    <w:rsid w:val="00D776DB"/>
    <w:rsid w:val="00D90146"/>
    <w:rsid w:val="00D94408"/>
    <w:rsid w:val="00D956BD"/>
    <w:rsid w:val="00D95A38"/>
    <w:rsid w:val="00D9645E"/>
    <w:rsid w:val="00D964B8"/>
    <w:rsid w:val="00D97E38"/>
    <w:rsid w:val="00DA0774"/>
    <w:rsid w:val="00DA0B53"/>
    <w:rsid w:val="00DA1CE9"/>
    <w:rsid w:val="00DA35BB"/>
    <w:rsid w:val="00DA5124"/>
    <w:rsid w:val="00DB6826"/>
    <w:rsid w:val="00DB6870"/>
    <w:rsid w:val="00DC2CE6"/>
    <w:rsid w:val="00DC4022"/>
    <w:rsid w:val="00DC631B"/>
    <w:rsid w:val="00DC7613"/>
    <w:rsid w:val="00DC7F80"/>
    <w:rsid w:val="00DD17C1"/>
    <w:rsid w:val="00DD1B58"/>
    <w:rsid w:val="00DD214A"/>
    <w:rsid w:val="00DD461D"/>
    <w:rsid w:val="00DD4A7A"/>
    <w:rsid w:val="00DD7CA3"/>
    <w:rsid w:val="00DE38DA"/>
    <w:rsid w:val="00DF0F58"/>
    <w:rsid w:val="00DF287C"/>
    <w:rsid w:val="00DF372D"/>
    <w:rsid w:val="00DF3D2B"/>
    <w:rsid w:val="00DF7C3E"/>
    <w:rsid w:val="00E04F77"/>
    <w:rsid w:val="00E057C3"/>
    <w:rsid w:val="00E05D20"/>
    <w:rsid w:val="00E05D85"/>
    <w:rsid w:val="00E06779"/>
    <w:rsid w:val="00E21BEF"/>
    <w:rsid w:val="00E26CC4"/>
    <w:rsid w:val="00E30CE6"/>
    <w:rsid w:val="00E33491"/>
    <w:rsid w:val="00E33693"/>
    <w:rsid w:val="00E346D2"/>
    <w:rsid w:val="00E41BBC"/>
    <w:rsid w:val="00E4369F"/>
    <w:rsid w:val="00E50A9E"/>
    <w:rsid w:val="00E55449"/>
    <w:rsid w:val="00E66C78"/>
    <w:rsid w:val="00E700CF"/>
    <w:rsid w:val="00E706FA"/>
    <w:rsid w:val="00E72580"/>
    <w:rsid w:val="00E72F31"/>
    <w:rsid w:val="00E73184"/>
    <w:rsid w:val="00E74221"/>
    <w:rsid w:val="00E76335"/>
    <w:rsid w:val="00E777F5"/>
    <w:rsid w:val="00E8170C"/>
    <w:rsid w:val="00E838C3"/>
    <w:rsid w:val="00E91B66"/>
    <w:rsid w:val="00E9459A"/>
    <w:rsid w:val="00E94AF5"/>
    <w:rsid w:val="00E95C7A"/>
    <w:rsid w:val="00E97344"/>
    <w:rsid w:val="00EA2327"/>
    <w:rsid w:val="00EA51A2"/>
    <w:rsid w:val="00EA5CA5"/>
    <w:rsid w:val="00EA7E45"/>
    <w:rsid w:val="00EB1DDC"/>
    <w:rsid w:val="00EB23FD"/>
    <w:rsid w:val="00EB56D3"/>
    <w:rsid w:val="00EB5DCF"/>
    <w:rsid w:val="00EC2977"/>
    <w:rsid w:val="00EC2A1D"/>
    <w:rsid w:val="00ED128F"/>
    <w:rsid w:val="00ED1F58"/>
    <w:rsid w:val="00ED50BD"/>
    <w:rsid w:val="00ED5258"/>
    <w:rsid w:val="00ED70B3"/>
    <w:rsid w:val="00EE02E9"/>
    <w:rsid w:val="00EE156D"/>
    <w:rsid w:val="00EE51BF"/>
    <w:rsid w:val="00EE53E1"/>
    <w:rsid w:val="00EE54EF"/>
    <w:rsid w:val="00EE5A59"/>
    <w:rsid w:val="00EF1F23"/>
    <w:rsid w:val="00F00046"/>
    <w:rsid w:val="00F006D5"/>
    <w:rsid w:val="00F01E98"/>
    <w:rsid w:val="00F0328F"/>
    <w:rsid w:val="00F06938"/>
    <w:rsid w:val="00F12E77"/>
    <w:rsid w:val="00F22B1C"/>
    <w:rsid w:val="00F32863"/>
    <w:rsid w:val="00F37B41"/>
    <w:rsid w:val="00F40456"/>
    <w:rsid w:val="00F44FB9"/>
    <w:rsid w:val="00F46339"/>
    <w:rsid w:val="00F47707"/>
    <w:rsid w:val="00F542EB"/>
    <w:rsid w:val="00F57151"/>
    <w:rsid w:val="00F67302"/>
    <w:rsid w:val="00F71188"/>
    <w:rsid w:val="00F72A3E"/>
    <w:rsid w:val="00F7382A"/>
    <w:rsid w:val="00F74259"/>
    <w:rsid w:val="00F74CB3"/>
    <w:rsid w:val="00F869A1"/>
    <w:rsid w:val="00F95207"/>
    <w:rsid w:val="00FA5D0D"/>
    <w:rsid w:val="00FA7905"/>
    <w:rsid w:val="00FB31C9"/>
    <w:rsid w:val="00FC1A69"/>
    <w:rsid w:val="00FD0EF9"/>
    <w:rsid w:val="00FD3C1E"/>
    <w:rsid w:val="00FD6778"/>
    <w:rsid w:val="00FE1F80"/>
    <w:rsid w:val="00FE703B"/>
    <w:rsid w:val="00FE797B"/>
    <w:rsid w:val="00FF05E0"/>
    <w:rsid w:val="00FF522B"/>
    <w:rsid w:val="00FF69A3"/>
    <w:rsid w:val="00FF6E9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00B0AD"/>
  <w15:chartTrackingRefBased/>
  <w15:docId w15:val="{851C260C-7D57-45B6-B4CE-F0D1DF9C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296"/>
      </w:tabs>
      <w:ind w:left="-722"/>
      <w:jc w:val="lowKashida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lowKashida"/>
    </w:pPr>
    <w:rPr>
      <w:rFonts w:cs="Simplified Arabic"/>
      <w:sz w:val="20"/>
      <w:szCs w:val="20"/>
      <w:lang w:eastAsia="en-US"/>
    </w:rPr>
  </w:style>
  <w:style w:type="character" w:styleId="Hyperlink">
    <w:name w:val="Hyperlink"/>
    <w:uiPriority w:val="99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qFormat/>
    <w:pPr>
      <w:jc w:val="center"/>
    </w:pPr>
    <w:rPr>
      <w:rFonts w:cs="Simplified Arabic"/>
      <w:b/>
      <w:b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BodyText3">
    <w:name w:val="Body Text 3"/>
    <w:basedOn w:val="Normal"/>
    <w:semiHidden/>
    <w:pPr>
      <w:jc w:val="lowKashida"/>
    </w:pPr>
    <w:rPr>
      <w:rFonts w:cs="Simplified Arabic"/>
      <w:szCs w:val="26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">
    <w:name w:val="نص في بالون"/>
    <w:basedOn w:val="Normal"/>
    <w:semiHidden/>
    <w:rPr>
      <w:rFonts w:ascii="Tahoma" w:hAnsi="Tahoma" w:cs="Tahoma"/>
      <w:sz w:val="16"/>
      <w:szCs w:val="16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hps">
    <w:name w:val="hps"/>
    <w:basedOn w:val="DefaultParagraphFont"/>
  </w:style>
  <w:style w:type="character" w:customStyle="1" w:styleId="shorttext">
    <w:name w:val="short_text"/>
    <w:basedOn w:val="DefaultParagraphFont"/>
  </w:style>
  <w:style w:type="character" w:styleId="Strong">
    <w:name w:val="Strong"/>
    <w:uiPriority w:val="22"/>
    <w:qFormat/>
    <w:rsid w:val="007C5A6A"/>
    <w:rPr>
      <w:b/>
      <w:bCs/>
    </w:rPr>
  </w:style>
  <w:style w:type="character" w:styleId="CommentReference">
    <w:name w:val="annotation reference"/>
    <w:uiPriority w:val="99"/>
    <w:semiHidden/>
    <w:unhideWhenUsed/>
    <w:rsid w:val="00276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F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765FE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5F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765FE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5151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51517"/>
    <w:rPr>
      <w:sz w:val="24"/>
      <w:szCs w:val="24"/>
      <w:lang w:eastAsia="ar-SA"/>
    </w:rPr>
  </w:style>
  <w:style w:type="character" w:customStyle="1" w:styleId="HeaderChar">
    <w:name w:val="Header Char"/>
    <w:link w:val="Header"/>
    <w:rsid w:val="00C51517"/>
    <w:rPr>
      <w:rFonts w:cs="Traditional Arabic"/>
    </w:rPr>
  </w:style>
  <w:style w:type="table" w:styleId="TableGrid">
    <w:name w:val="Table Grid"/>
    <w:basedOn w:val="TableNormal"/>
    <w:uiPriority w:val="59"/>
    <w:rsid w:val="00C5151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A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2A6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12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0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74EE8-7233-4C92-9828-94ED46D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vt:lpstr>
    </vt:vector>
  </TitlesOfParts>
  <Company>pcbs</Company>
  <LinksUpToDate>false</LinksUpToDate>
  <CharactersWithSpaces>3494</CharactersWithSpaces>
  <SharedDoc>false</SharedDoc>
  <HLinks>
    <vt:vector size="12" baseType="variant">
      <vt:variant>
        <vt:i4>6291552</vt:i4>
      </vt:variant>
      <vt:variant>
        <vt:i4>9</vt:i4>
      </vt:variant>
      <vt:variant>
        <vt:i4>0</vt:i4>
      </vt:variant>
      <vt:variant>
        <vt:i4>5</vt:i4>
      </vt:variant>
      <vt:variant>
        <vt:lpwstr>http://www.pmd.ps/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dc:title>
  <dc:subject/>
  <dc:creator>zahran</dc:creator>
  <cp:keywords/>
  <cp:lastModifiedBy>Hadeel Badran</cp:lastModifiedBy>
  <cp:revision>6</cp:revision>
  <cp:lastPrinted>2023-03-19T10:52:00Z</cp:lastPrinted>
  <dcterms:created xsi:type="dcterms:W3CDTF">2023-03-19T10:32:00Z</dcterms:created>
  <dcterms:modified xsi:type="dcterms:W3CDTF">2023-03-19T11:11:00Z</dcterms:modified>
</cp:coreProperties>
</file>