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CC" w:rsidRPr="003A177D" w:rsidRDefault="00F87336" w:rsidP="0091252D">
      <w:pPr>
        <w:bidi w:val="0"/>
        <w:spacing w:after="0"/>
        <w:jc w:val="both"/>
        <w:rPr>
          <w:rStyle w:val="longtext"/>
          <w:rFonts w:ascii="Times New Roman" w:hAnsi="Times New Roman" w:cs="Times New Roman"/>
          <w:b/>
          <w:bCs/>
          <w:sz w:val="24"/>
          <w:szCs w:val="24"/>
          <w:shd w:val="clear" w:color="auto" w:fill="FFFFFF"/>
        </w:rPr>
      </w:pPr>
      <w:r w:rsidRPr="003A177D">
        <w:rPr>
          <w:rStyle w:val="longtext"/>
          <w:rFonts w:ascii="Times New Roman" w:hAnsi="Times New Roman" w:cs="Times New Roman"/>
          <w:b/>
          <w:bCs/>
          <w:sz w:val="24"/>
          <w:szCs w:val="24"/>
          <w:shd w:val="clear" w:color="auto" w:fill="FFFFFF"/>
        </w:rPr>
        <w:t>A</w:t>
      </w:r>
      <w:r w:rsidR="00047FCD" w:rsidRPr="003A177D">
        <w:rPr>
          <w:rStyle w:val="longtext"/>
          <w:rFonts w:ascii="Times New Roman" w:hAnsi="Times New Roman" w:cs="Times New Roman"/>
          <w:b/>
          <w:bCs/>
          <w:sz w:val="24"/>
          <w:szCs w:val="24"/>
          <w:shd w:val="clear" w:color="auto" w:fill="FFFFFF"/>
        </w:rPr>
        <w:t>round</w:t>
      </w:r>
      <w:r w:rsidRPr="003A177D">
        <w:rPr>
          <w:rStyle w:val="longtext"/>
          <w:rFonts w:ascii="Times New Roman" w:hAnsi="Times New Roman" w:cs="Times New Roman"/>
          <w:b/>
          <w:bCs/>
          <w:sz w:val="24"/>
          <w:szCs w:val="24"/>
          <w:shd w:val="clear" w:color="auto" w:fill="FFFFFF"/>
        </w:rPr>
        <w:t xml:space="preserve"> </w:t>
      </w:r>
      <w:r w:rsidR="00A15A20" w:rsidRPr="003A177D">
        <w:rPr>
          <w:rStyle w:val="longtext"/>
          <w:rFonts w:ascii="Times New Roman" w:hAnsi="Times New Roman" w:cs="Times New Roman"/>
          <w:b/>
          <w:bCs/>
          <w:sz w:val="24"/>
          <w:szCs w:val="24"/>
          <w:shd w:val="clear" w:color="auto" w:fill="FFFFFF"/>
        </w:rPr>
        <w:t>2</w:t>
      </w:r>
      <w:r w:rsidRPr="003A177D">
        <w:rPr>
          <w:rStyle w:val="longtext"/>
          <w:rFonts w:ascii="Times New Roman" w:hAnsi="Times New Roman" w:cs="Times New Roman"/>
          <w:b/>
          <w:bCs/>
          <w:sz w:val="24"/>
          <w:szCs w:val="24"/>
          <w:shd w:val="clear" w:color="auto" w:fill="FFFFFF"/>
        </w:rPr>
        <w:t>.</w:t>
      </w:r>
      <w:r w:rsidR="00A15A20" w:rsidRPr="003A177D">
        <w:rPr>
          <w:rStyle w:val="longtext"/>
          <w:rFonts w:ascii="Times New Roman" w:hAnsi="Times New Roman" w:cs="Times New Roman"/>
          <w:b/>
          <w:bCs/>
          <w:sz w:val="24"/>
          <w:szCs w:val="24"/>
          <w:shd w:val="clear" w:color="auto" w:fill="FFFFFF"/>
        </w:rPr>
        <w:t>6</w:t>
      </w:r>
      <w:r w:rsidRPr="003A177D">
        <w:rPr>
          <w:rStyle w:val="longtext"/>
          <w:rFonts w:ascii="Times New Roman" w:hAnsi="Times New Roman" w:cs="Times New Roman"/>
          <w:b/>
          <w:bCs/>
          <w:sz w:val="24"/>
          <w:szCs w:val="24"/>
          <w:shd w:val="clear" w:color="auto" w:fill="FFFFFF"/>
        </w:rPr>
        <w:t xml:space="preserve"> </w:t>
      </w:r>
      <w:r w:rsidR="0051225F" w:rsidRPr="003A177D">
        <w:rPr>
          <w:rStyle w:val="longtext"/>
          <w:rFonts w:ascii="Times New Roman" w:hAnsi="Times New Roman" w:cs="Times New Roman"/>
          <w:b/>
          <w:bCs/>
          <w:sz w:val="24"/>
          <w:szCs w:val="24"/>
          <w:shd w:val="clear" w:color="auto" w:fill="FFFFFF"/>
        </w:rPr>
        <w:t>M</w:t>
      </w:r>
      <w:r w:rsidRPr="003A177D">
        <w:rPr>
          <w:rStyle w:val="longtext"/>
          <w:rFonts w:ascii="Times New Roman" w:hAnsi="Times New Roman" w:cs="Times New Roman"/>
          <w:b/>
          <w:bCs/>
          <w:sz w:val="24"/>
          <w:szCs w:val="24"/>
          <w:shd w:val="clear" w:color="auto" w:fill="FFFFFF"/>
        </w:rPr>
        <w:t xml:space="preserve">illion </w:t>
      </w:r>
      <w:r w:rsidR="0051225F" w:rsidRPr="003A177D">
        <w:rPr>
          <w:rStyle w:val="longtext"/>
          <w:rFonts w:ascii="Times New Roman" w:hAnsi="Times New Roman" w:cs="Times New Roman"/>
          <w:b/>
          <w:bCs/>
          <w:sz w:val="24"/>
          <w:szCs w:val="24"/>
          <w:shd w:val="clear" w:color="auto" w:fill="FFFFFF"/>
        </w:rPr>
        <w:t>V</w:t>
      </w:r>
      <w:r w:rsidRPr="003A177D">
        <w:rPr>
          <w:rStyle w:val="longtext"/>
          <w:rFonts w:ascii="Times New Roman" w:hAnsi="Times New Roman" w:cs="Times New Roman"/>
          <w:b/>
          <w:bCs/>
          <w:sz w:val="24"/>
          <w:szCs w:val="24"/>
          <w:shd w:val="clear" w:color="auto" w:fill="FFFFFF"/>
        </w:rPr>
        <w:t xml:space="preserve">isits to </w:t>
      </w:r>
      <w:r w:rsidR="0051225F" w:rsidRPr="003A177D">
        <w:rPr>
          <w:rStyle w:val="longtext"/>
          <w:rFonts w:ascii="Times New Roman" w:hAnsi="Times New Roman" w:cs="Times New Roman"/>
          <w:b/>
          <w:bCs/>
          <w:sz w:val="24"/>
          <w:szCs w:val="24"/>
          <w:shd w:val="clear" w:color="auto" w:fill="FFFFFF"/>
        </w:rPr>
        <w:t>T</w:t>
      </w:r>
      <w:r w:rsidRPr="003A177D">
        <w:rPr>
          <w:rStyle w:val="longtext"/>
          <w:rFonts w:ascii="Times New Roman" w:hAnsi="Times New Roman" w:cs="Times New Roman"/>
          <w:b/>
          <w:bCs/>
          <w:sz w:val="24"/>
          <w:szCs w:val="24"/>
          <w:shd w:val="clear" w:color="auto" w:fill="FFFFFF"/>
        </w:rPr>
        <w:t xml:space="preserve">ourist Sites in the </w:t>
      </w:r>
      <w:r w:rsidR="00A15A20" w:rsidRPr="003A177D">
        <w:rPr>
          <w:rStyle w:val="longtext"/>
          <w:rFonts w:ascii="Times New Roman" w:hAnsi="Times New Roman" w:cs="Times New Roman"/>
          <w:b/>
          <w:bCs/>
          <w:sz w:val="24"/>
          <w:szCs w:val="24"/>
          <w:shd w:val="clear" w:color="auto" w:fill="FFFFFF"/>
        </w:rPr>
        <w:t>West Bank</w:t>
      </w:r>
      <w:r w:rsidRPr="003A177D">
        <w:rPr>
          <w:rStyle w:val="longtext"/>
          <w:rFonts w:ascii="Times New Roman" w:hAnsi="Times New Roman" w:cs="Times New Roman"/>
          <w:b/>
          <w:bCs/>
          <w:sz w:val="24"/>
          <w:szCs w:val="24"/>
          <w:shd w:val="clear" w:color="auto" w:fill="FFFFFF"/>
        </w:rPr>
        <w:t xml:space="preserve"> </w:t>
      </w:r>
      <w:r w:rsidR="00B60EEE" w:rsidRPr="003A177D">
        <w:rPr>
          <w:rStyle w:val="longtext"/>
          <w:rFonts w:ascii="Times New Roman" w:hAnsi="Times New Roman" w:cs="Times New Roman"/>
          <w:b/>
          <w:bCs/>
          <w:sz w:val="24"/>
          <w:szCs w:val="24"/>
          <w:shd w:val="clear" w:color="auto" w:fill="FFFFFF"/>
        </w:rPr>
        <w:t>D</w:t>
      </w:r>
      <w:r w:rsidR="0091252D" w:rsidRPr="003A177D">
        <w:rPr>
          <w:rStyle w:val="longtext"/>
          <w:rFonts w:ascii="Times New Roman" w:hAnsi="Times New Roman" w:cs="Times New Roman"/>
          <w:b/>
          <w:bCs/>
          <w:sz w:val="24"/>
          <w:szCs w:val="24"/>
          <w:shd w:val="clear" w:color="auto" w:fill="FFFFFF"/>
        </w:rPr>
        <w:t>uring the</w:t>
      </w:r>
      <w:r w:rsidRPr="003A177D">
        <w:rPr>
          <w:rStyle w:val="longtext"/>
          <w:rFonts w:ascii="Times New Roman" w:hAnsi="Times New Roman" w:cs="Times New Roman"/>
          <w:b/>
          <w:bCs/>
          <w:sz w:val="24"/>
          <w:szCs w:val="24"/>
          <w:shd w:val="clear" w:color="auto" w:fill="FFFFFF"/>
        </w:rPr>
        <w:t xml:space="preserve"> </w:t>
      </w:r>
      <w:r w:rsidR="00A15A20" w:rsidRPr="003A177D">
        <w:rPr>
          <w:rStyle w:val="longtext"/>
          <w:rFonts w:ascii="Times New Roman" w:hAnsi="Times New Roman" w:cs="Times New Roman"/>
          <w:b/>
          <w:bCs/>
          <w:sz w:val="24"/>
          <w:szCs w:val="24"/>
          <w:shd w:val="clear" w:color="auto" w:fill="FFFFFF"/>
        </w:rPr>
        <w:t xml:space="preserve">First Half of </w:t>
      </w:r>
      <w:r w:rsidRPr="003A177D">
        <w:rPr>
          <w:rStyle w:val="longtext"/>
          <w:rFonts w:ascii="Times New Roman" w:hAnsi="Times New Roman" w:cs="Times New Roman"/>
          <w:b/>
          <w:bCs/>
          <w:sz w:val="24"/>
          <w:szCs w:val="24"/>
          <w:shd w:val="clear" w:color="auto" w:fill="FFFFFF"/>
        </w:rPr>
        <w:t>201</w:t>
      </w:r>
      <w:r w:rsidR="00A15A20" w:rsidRPr="003A177D">
        <w:rPr>
          <w:rStyle w:val="longtext"/>
          <w:rFonts w:ascii="Times New Roman" w:hAnsi="Times New Roman" w:cs="Times New Roman"/>
          <w:b/>
          <w:bCs/>
          <w:sz w:val="24"/>
          <w:szCs w:val="24"/>
          <w:shd w:val="clear" w:color="auto" w:fill="FFFFFF"/>
        </w:rPr>
        <w:t>3</w:t>
      </w:r>
    </w:p>
    <w:p w:rsidR="0051709E" w:rsidRPr="003A177D" w:rsidRDefault="0051709E" w:rsidP="007E6967">
      <w:pPr>
        <w:shd w:val="clear" w:color="auto" w:fill="FFFFFF" w:themeFill="background1"/>
        <w:bidi w:val="0"/>
        <w:spacing w:after="0" w:line="240" w:lineRule="auto"/>
        <w:jc w:val="both"/>
        <w:textAlignment w:val="top"/>
        <w:rPr>
          <w:rStyle w:val="longtext"/>
          <w:rFonts w:asciiTheme="majorBidi" w:hAnsiTheme="majorBidi" w:cstheme="majorBidi"/>
          <w:sz w:val="24"/>
          <w:szCs w:val="24"/>
          <w:shd w:val="clear" w:color="auto" w:fill="FFFFFF"/>
        </w:rPr>
      </w:pPr>
    </w:p>
    <w:p w:rsidR="00B60EEE" w:rsidRPr="003A177D" w:rsidRDefault="00B60EEE" w:rsidP="00B60EEE">
      <w:pPr>
        <w:shd w:val="clear" w:color="auto" w:fill="FFFFFF" w:themeFill="background1"/>
        <w:bidi w:val="0"/>
        <w:spacing w:before="120" w:after="120" w:line="240" w:lineRule="auto"/>
        <w:jc w:val="both"/>
        <w:textAlignment w:val="top"/>
        <w:rPr>
          <w:rStyle w:val="longtext"/>
          <w:rFonts w:asciiTheme="majorBidi" w:hAnsiTheme="majorBidi" w:cstheme="majorBidi"/>
          <w:sz w:val="24"/>
          <w:szCs w:val="24"/>
          <w:shd w:val="clear" w:color="auto" w:fill="FFFFFF"/>
        </w:rPr>
      </w:pPr>
      <w:r w:rsidRPr="003A177D">
        <w:rPr>
          <w:rStyle w:val="longtext"/>
          <w:rFonts w:asciiTheme="majorBidi" w:hAnsiTheme="majorBidi" w:cstheme="majorBidi"/>
          <w:sz w:val="24"/>
          <w:szCs w:val="24"/>
          <w:shd w:val="clear" w:color="auto" w:fill="FFFFFF"/>
        </w:rPr>
        <w:t>On the occasion of World Tourism Day on September 27, the Palestinian Central Bureau of Statistics, in collaboration with the Ministry of Tourism and Antiquities, presents the following facts on tourism in Palestine.</w:t>
      </w:r>
    </w:p>
    <w:p w:rsidR="006A38EB" w:rsidRPr="003A177D" w:rsidRDefault="006A38EB" w:rsidP="00BD77EB">
      <w:pPr>
        <w:shd w:val="clear" w:color="auto" w:fill="FFFFFF" w:themeFill="background1"/>
        <w:bidi w:val="0"/>
        <w:spacing w:before="120" w:after="120" w:line="240" w:lineRule="auto"/>
        <w:jc w:val="both"/>
        <w:textAlignment w:val="top"/>
        <w:rPr>
          <w:rStyle w:val="longtext"/>
          <w:rFonts w:asciiTheme="majorBidi" w:hAnsiTheme="majorBidi" w:cstheme="majorBidi"/>
          <w:sz w:val="20"/>
          <w:szCs w:val="20"/>
          <w:shd w:val="clear" w:color="auto" w:fill="FFFFFF"/>
        </w:rPr>
      </w:pPr>
    </w:p>
    <w:p w:rsidR="006A38EB" w:rsidRPr="003A177D" w:rsidRDefault="00B60EEE" w:rsidP="00CC7328">
      <w:pPr>
        <w:shd w:val="clear" w:color="auto" w:fill="FFFFFF" w:themeFill="background1"/>
        <w:bidi w:val="0"/>
        <w:spacing w:before="120" w:after="120" w:line="240" w:lineRule="auto"/>
        <w:jc w:val="both"/>
        <w:textAlignment w:val="top"/>
        <w:rPr>
          <w:rStyle w:val="longtext"/>
          <w:rFonts w:asciiTheme="majorBidi" w:hAnsiTheme="majorBidi" w:cstheme="majorBidi"/>
          <w:sz w:val="24"/>
          <w:szCs w:val="24"/>
          <w:shd w:val="clear" w:color="auto" w:fill="FFFFFF"/>
        </w:rPr>
      </w:pPr>
      <w:r w:rsidRPr="003A177D">
        <w:rPr>
          <w:rStyle w:val="longtext"/>
          <w:rFonts w:asciiTheme="majorBidi" w:hAnsiTheme="majorBidi" w:cstheme="majorBidi"/>
          <w:sz w:val="24"/>
          <w:szCs w:val="24"/>
          <w:shd w:val="clear" w:color="auto" w:fill="FFFFFF"/>
        </w:rPr>
        <w:t>During the first half of 2013, around 2.6 million visits were made to tourist sites in the West Bank. These included 1.4 million visits by inbound visitors and 1.2 million visits by domestic visitors to gardens, parks and other tourism sites. The number of visits rose by 13% compared with the same period in 2012, but domestic visits fell by one percent.</w:t>
      </w:r>
    </w:p>
    <w:p w:rsidR="00177FDB" w:rsidRPr="003A177D" w:rsidRDefault="00177FDB" w:rsidP="00BD77EB">
      <w:pPr>
        <w:pStyle w:val="Title"/>
        <w:shd w:val="clear" w:color="auto" w:fill="FFFFFF" w:themeFill="background1"/>
        <w:spacing w:before="120" w:after="120"/>
        <w:jc w:val="both"/>
        <w:rPr>
          <w:rStyle w:val="longtext"/>
          <w:b w:val="0"/>
          <w:bCs w:val="0"/>
          <w:sz w:val="20"/>
          <w:szCs w:val="20"/>
          <w:shd w:val="clear" w:color="auto" w:fill="FFFFFF"/>
        </w:rPr>
      </w:pPr>
    </w:p>
    <w:p w:rsidR="00CA50C4" w:rsidRPr="003A177D" w:rsidRDefault="006C7FE3" w:rsidP="006C7FE3">
      <w:pPr>
        <w:pStyle w:val="Title"/>
        <w:shd w:val="clear" w:color="auto" w:fill="FFFFFF" w:themeFill="background1"/>
        <w:spacing w:before="120" w:after="120"/>
        <w:jc w:val="both"/>
        <w:rPr>
          <w:rStyle w:val="longtext"/>
          <w:b w:val="0"/>
          <w:bCs w:val="0"/>
          <w:shd w:val="clear" w:color="auto" w:fill="FFFFFF"/>
        </w:rPr>
      </w:pPr>
      <w:r w:rsidRPr="003A177D">
        <w:rPr>
          <w:rStyle w:val="longtext"/>
          <w:b w:val="0"/>
          <w:bCs w:val="0"/>
          <w:shd w:val="clear" w:color="auto" w:fill="FFFFFF"/>
        </w:rPr>
        <w:t>Most inbound visits were to Bethlehem governorate with 47%, followed by Jericho and Al-</w:t>
      </w:r>
      <w:proofErr w:type="spellStart"/>
      <w:r w:rsidRPr="003A177D">
        <w:rPr>
          <w:rStyle w:val="longtext"/>
          <w:b w:val="0"/>
          <w:bCs w:val="0"/>
          <w:shd w:val="clear" w:color="auto" w:fill="FFFFFF"/>
        </w:rPr>
        <w:t>Aghwar</w:t>
      </w:r>
      <w:proofErr w:type="spellEnd"/>
      <w:r w:rsidRPr="003A177D">
        <w:rPr>
          <w:rStyle w:val="longtext"/>
          <w:b w:val="0"/>
          <w:bCs w:val="0"/>
          <w:shd w:val="clear" w:color="auto" w:fill="FFFFFF"/>
        </w:rPr>
        <w:t xml:space="preserve"> governorate with 29%, Jenin with 10%</w:t>
      </w:r>
      <w:r w:rsidRPr="003A177D">
        <w:rPr>
          <w:rStyle w:val="longtext"/>
          <w:rFonts w:asciiTheme="majorBidi" w:hAnsiTheme="majorBidi" w:cstheme="majorBidi"/>
          <w:b w:val="0"/>
          <w:shd w:val="clear" w:color="auto" w:fill="FFFFFF"/>
        </w:rPr>
        <w:t xml:space="preserve"> and</w:t>
      </w:r>
      <w:r w:rsidRPr="003A177D">
        <w:rPr>
          <w:rStyle w:val="longtext"/>
          <w:b w:val="0"/>
          <w:bCs w:val="0"/>
          <w:shd w:val="clear" w:color="auto" w:fill="FFFFFF"/>
        </w:rPr>
        <w:t xml:space="preserve"> Hebron governorate with 8%.</w:t>
      </w:r>
    </w:p>
    <w:p w:rsidR="00FF5BAB" w:rsidRPr="003A177D" w:rsidRDefault="00FF5BAB" w:rsidP="00FF5BAB">
      <w:pPr>
        <w:pStyle w:val="Title"/>
        <w:shd w:val="clear" w:color="auto" w:fill="FFFFFF" w:themeFill="background1"/>
        <w:jc w:val="both"/>
        <w:rPr>
          <w:rStyle w:val="longtext"/>
          <w:b w:val="0"/>
          <w:bCs w:val="0"/>
          <w:shd w:val="clear" w:color="auto" w:fill="FFFFFF"/>
        </w:rPr>
      </w:pPr>
    </w:p>
    <w:p w:rsidR="00FF5BAB" w:rsidRPr="003A177D" w:rsidRDefault="00FF5BAB" w:rsidP="00FF5BAB">
      <w:pPr>
        <w:pStyle w:val="Title"/>
        <w:shd w:val="clear" w:color="auto" w:fill="FFFFFF" w:themeFill="background1"/>
        <w:jc w:val="both"/>
        <w:rPr>
          <w:rStyle w:val="longtext"/>
          <w:b w:val="0"/>
          <w:bCs w:val="0"/>
          <w:shd w:val="clear" w:color="auto" w:fill="FFFFFF"/>
        </w:rPr>
      </w:pPr>
      <w:r w:rsidRPr="003A177D">
        <w:rPr>
          <w:rStyle w:val="longtext"/>
          <w:b w:val="0"/>
          <w:bCs w:val="0"/>
          <w:noProof/>
          <w:shd w:val="clear" w:color="auto" w:fill="FFFFFF"/>
        </w:rPr>
        <w:drawing>
          <wp:inline distT="0" distB="0" distL="0" distR="0">
            <wp:extent cx="3129064" cy="2449902"/>
            <wp:effectExtent l="19050" t="0" r="14186" b="7548"/>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F5BAB" w:rsidRPr="003A177D" w:rsidRDefault="00FF5BAB" w:rsidP="00FF5BAB">
      <w:pPr>
        <w:pStyle w:val="Title"/>
        <w:shd w:val="clear" w:color="auto" w:fill="FFFFFF" w:themeFill="background1"/>
        <w:jc w:val="both"/>
        <w:rPr>
          <w:rStyle w:val="longtext"/>
          <w:b w:val="0"/>
          <w:bCs w:val="0"/>
          <w:shd w:val="clear" w:color="auto" w:fill="FFFFFF"/>
        </w:rPr>
      </w:pPr>
    </w:p>
    <w:p w:rsidR="006C7FE3" w:rsidRDefault="006C7FE3" w:rsidP="006C7FE3">
      <w:pPr>
        <w:pStyle w:val="Title"/>
        <w:shd w:val="clear" w:color="auto" w:fill="FFFFFF" w:themeFill="background1"/>
        <w:jc w:val="both"/>
        <w:rPr>
          <w:rStyle w:val="longtext"/>
          <w:b w:val="0"/>
          <w:bCs w:val="0"/>
          <w:shd w:val="clear" w:color="auto" w:fill="FFFFFF"/>
        </w:rPr>
      </w:pPr>
      <w:r w:rsidRPr="003A177D">
        <w:rPr>
          <w:rStyle w:val="longtext"/>
          <w:b w:val="0"/>
          <w:bCs w:val="0"/>
          <w:shd w:val="clear" w:color="auto" w:fill="FFFFFF"/>
        </w:rPr>
        <w:t>Palestinians residing in Israel made up the largest proportion of inbound visitors with 31%, followed by 19% from Russia, 6% from the United States, 5% from Poland and 3% each from Italy, India, Germany and Indonesia.</w:t>
      </w:r>
    </w:p>
    <w:p w:rsidR="00DB4943" w:rsidRDefault="00DB4943" w:rsidP="006C7FE3">
      <w:pPr>
        <w:pStyle w:val="Title"/>
        <w:shd w:val="clear" w:color="auto" w:fill="FFFFFF" w:themeFill="background1"/>
        <w:jc w:val="both"/>
        <w:rPr>
          <w:rStyle w:val="longtext"/>
          <w:b w:val="0"/>
          <w:bCs w:val="0"/>
          <w:shd w:val="clear" w:color="auto" w:fill="FFFFFF"/>
        </w:rPr>
      </w:pPr>
    </w:p>
    <w:p w:rsidR="00DB4943" w:rsidRDefault="00DB4943" w:rsidP="006C7FE3">
      <w:pPr>
        <w:pStyle w:val="Title"/>
        <w:shd w:val="clear" w:color="auto" w:fill="FFFFFF" w:themeFill="background1"/>
        <w:jc w:val="both"/>
        <w:rPr>
          <w:rStyle w:val="longtext"/>
          <w:b w:val="0"/>
          <w:bCs w:val="0"/>
          <w:shd w:val="clear" w:color="auto" w:fill="FFFFFF"/>
        </w:rPr>
      </w:pPr>
    </w:p>
    <w:p w:rsidR="00DB4943" w:rsidRDefault="00DB4943" w:rsidP="006C7FE3">
      <w:pPr>
        <w:pStyle w:val="Title"/>
        <w:shd w:val="clear" w:color="auto" w:fill="FFFFFF" w:themeFill="background1"/>
        <w:jc w:val="both"/>
        <w:rPr>
          <w:rStyle w:val="longtext"/>
          <w:b w:val="0"/>
          <w:bCs w:val="0"/>
          <w:shd w:val="clear" w:color="auto" w:fill="FFFFFF"/>
        </w:rPr>
      </w:pPr>
    </w:p>
    <w:p w:rsidR="00DB4943" w:rsidRPr="003A177D" w:rsidRDefault="00DB4943" w:rsidP="006C7FE3">
      <w:pPr>
        <w:pStyle w:val="Title"/>
        <w:shd w:val="clear" w:color="auto" w:fill="FFFFFF" w:themeFill="background1"/>
        <w:jc w:val="both"/>
        <w:rPr>
          <w:rStyle w:val="longtext"/>
          <w:b w:val="0"/>
          <w:bCs w:val="0"/>
          <w:shd w:val="clear" w:color="auto" w:fill="FFFFFF"/>
        </w:rPr>
      </w:pPr>
    </w:p>
    <w:p w:rsidR="0051709E" w:rsidRPr="003A177D" w:rsidRDefault="003D5293" w:rsidP="00B60EEE">
      <w:pPr>
        <w:shd w:val="clear" w:color="auto" w:fill="FFFFFF" w:themeFill="background1"/>
        <w:bidi w:val="0"/>
        <w:jc w:val="lowKashida"/>
        <w:rPr>
          <w:rStyle w:val="longtext"/>
          <w:rFonts w:ascii="Times New Roman" w:hAnsi="Times New Roman" w:cs="Times New Roman"/>
          <w:b/>
          <w:bCs/>
          <w:sz w:val="24"/>
          <w:szCs w:val="24"/>
          <w:shd w:val="clear" w:color="auto" w:fill="FFFFFF"/>
        </w:rPr>
      </w:pPr>
      <w:r w:rsidRPr="003A177D">
        <w:rPr>
          <w:rStyle w:val="longtext"/>
          <w:rFonts w:ascii="Times New Roman" w:hAnsi="Times New Roman" w:cs="Times New Roman"/>
          <w:b/>
          <w:bCs/>
          <w:sz w:val="24"/>
          <w:szCs w:val="24"/>
          <w:shd w:val="clear" w:color="auto" w:fill="FFFFFF"/>
        </w:rPr>
        <w:t>2</w:t>
      </w:r>
      <w:r w:rsidR="00E94AED" w:rsidRPr="003A177D">
        <w:rPr>
          <w:rStyle w:val="longtext"/>
          <w:rFonts w:ascii="Times New Roman" w:hAnsi="Times New Roman" w:cs="Times New Roman"/>
          <w:b/>
          <w:bCs/>
          <w:sz w:val="24"/>
          <w:szCs w:val="24"/>
          <w:shd w:val="clear" w:color="auto" w:fill="FFFFFF"/>
        </w:rPr>
        <w:t>7</w:t>
      </w:r>
      <w:r w:rsidRPr="003A177D">
        <w:rPr>
          <w:rStyle w:val="longtext"/>
          <w:rFonts w:ascii="Times New Roman" w:hAnsi="Times New Roman" w:cs="Times New Roman"/>
          <w:b/>
          <w:bCs/>
          <w:sz w:val="24"/>
          <w:szCs w:val="24"/>
          <w:shd w:val="clear" w:color="auto" w:fill="FFFFFF"/>
        </w:rPr>
        <w:t xml:space="preserve">4 Thousand </w:t>
      </w:r>
      <w:r w:rsidR="0051709E" w:rsidRPr="003A177D">
        <w:rPr>
          <w:rStyle w:val="longtext"/>
          <w:rFonts w:ascii="Times New Roman" w:hAnsi="Times New Roman" w:cs="Times New Roman"/>
          <w:b/>
          <w:bCs/>
          <w:sz w:val="24"/>
          <w:szCs w:val="24"/>
          <w:shd w:val="clear" w:color="auto" w:fill="FFFFFF"/>
        </w:rPr>
        <w:t xml:space="preserve">Hotel Guests </w:t>
      </w:r>
      <w:r w:rsidR="007E6A37" w:rsidRPr="003A177D">
        <w:rPr>
          <w:rFonts w:ascii="Times New Roman" w:hAnsi="Times New Roman" w:cs="Times New Roman"/>
          <w:b/>
          <w:bCs/>
          <w:sz w:val="24"/>
          <w:szCs w:val="24"/>
        </w:rPr>
        <w:t>Spent 656 Thousand Nights</w:t>
      </w:r>
      <w:r w:rsidR="007E6A37" w:rsidRPr="003A177D">
        <w:rPr>
          <w:rStyle w:val="longtext"/>
          <w:rFonts w:ascii="Times New Roman" w:hAnsi="Times New Roman" w:cs="Times New Roman"/>
          <w:b/>
          <w:bCs/>
          <w:sz w:val="24"/>
          <w:szCs w:val="24"/>
          <w:shd w:val="clear" w:color="auto" w:fill="FFFFFF"/>
        </w:rPr>
        <w:t xml:space="preserve"> </w:t>
      </w:r>
      <w:r w:rsidR="00B60EEE" w:rsidRPr="003A177D">
        <w:rPr>
          <w:rFonts w:asciiTheme="majorBidi" w:hAnsiTheme="majorBidi" w:cstheme="majorBidi"/>
          <w:b/>
          <w:bCs/>
          <w:sz w:val="24"/>
          <w:szCs w:val="24"/>
        </w:rPr>
        <w:t>D</w:t>
      </w:r>
      <w:r w:rsidR="00BD77EB" w:rsidRPr="003A177D">
        <w:rPr>
          <w:rFonts w:asciiTheme="majorBidi" w:hAnsiTheme="majorBidi" w:cstheme="majorBidi"/>
          <w:b/>
          <w:bCs/>
          <w:sz w:val="24"/>
          <w:szCs w:val="24"/>
        </w:rPr>
        <w:t>uring the</w:t>
      </w:r>
      <w:r w:rsidR="00BD77EB" w:rsidRPr="003A177D">
        <w:rPr>
          <w:rStyle w:val="hps"/>
          <w:rFonts w:asciiTheme="majorBidi" w:hAnsiTheme="majorBidi" w:cstheme="majorBidi"/>
          <w:b/>
          <w:bCs/>
          <w:sz w:val="24"/>
          <w:szCs w:val="24"/>
        </w:rPr>
        <w:t xml:space="preserve"> </w:t>
      </w:r>
      <w:r w:rsidR="0051709E" w:rsidRPr="003A177D">
        <w:rPr>
          <w:rStyle w:val="longtext"/>
          <w:rFonts w:ascii="Times New Roman" w:hAnsi="Times New Roman" w:cs="Times New Roman"/>
          <w:b/>
          <w:bCs/>
          <w:sz w:val="24"/>
          <w:szCs w:val="24"/>
          <w:shd w:val="clear" w:color="auto" w:fill="FFFFFF"/>
        </w:rPr>
        <w:t>First Half of 201</w:t>
      </w:r>
      <w:r w:rsidR="00B617DE" w:rsidRPr="003A177D">
        <w:rPr>
          <w:rStyle w:val="longtext"/>
          <w:rFonts w:ascii="Times New Roman" w:hAnsi="Times New Roman" w:cs="Times New Roman"/>
          <w:b/>
          <w:bCs/>
          <w:sz w:val="24"/>
          <w:szCs w:val="24"/>
          <w:shd w:val="clear" w:color="auto" w:fill="FFFFFF"/>
        </w:rPr>
        <w:t>3</w:t>
      </w:r>
    </w:p>
    <w:p w:rsidR="006C7FE3" w:rsidRPr="003A177D" w:rsidRDefault="006C7FE3" w:rsidP="006C7FE3">
      <w:pPr>
        <w:pStyle w:val="Title"/>
        <w:shd w:val="clear" w:color="auto" w:fill="FFFFFF" w:themeFill="background1"/>
        <w:jc w:val="both"/>
        <w:rPr>
          <w:rStyle w:val="longtext"/>
          <w:b w:val="0"/>
          <w:bCs w:val="0"/>
          <w:shd w:val="clear" w:color="auto" w:fill="FFFFFF"/>
        </w:rPr>
      </w:pPr>
      <w:r w:rsidRPr="003A177D">
        <w:rPr>
          <w:rStyle w:val="longtext"/>
          <w:b w:val="0"/>
          <w:bCs w:val="0"/>
          <w:shd w:val="clear" w:color="auto" w:fill="FFFFFF"/>
        </w:rPr>
        <w:t xml:space="preserve">There were 274 thousand hotel guests </w:t>
      </w:r>
      <w:r w:rsidRPr="003A177D">
        <w:rPr>
          <w:rStyle w:val="longtext"/>
          <w:rFonts w:asciiTheme="majorBidi" w:hAnsiTheme="majorBidi" w:cstheme="majorBidi"/>
          <w:b w:val="0"/>
          <w:bCs w:val="0"/>
          <w:shd w:val="clear" w:color="auto" w:fill="FFFFFF"/>
        </w:rPr>
        <w:t>in the West Bank</w:t>
      </w:r>
      <w:r w:rsidRPr="003A177D">
        <w:rPr>
          <w:rStyle w:val="longtext"/>
          <w:b w:val="0"/>
          <w:bCs w:val="0"/>
          <w:shd w:val="clear" w:color="auto" w:fill="FFFFFF"/>
        </w:rPr>
        <w:t xml:space="preserve"> during the first half of </w:t>
      </w:r>
      <w:r w:rsidRPr="003A177D">
        <w:rPr>
          <w:rStyle w:val="longtext"/>
          <w:rFonts w:hint="cs"/>
          <w:b w:val="0"/>
          <w:bCs w:val="0"/>
          <w:shd w:val="clear" w:color="auto" w:fill="FFFFFF"/>
          <w:rtl/>
        </w:rPr>
        <w:t>201</w:t>
      </w:r>
      <w:r w:rsidRPr="003A177D">
        <w:rPr>
          <w:rStyle w:val="longtext"/>
          <w:b w:val="0"/>
          <w:bCs w:val="0"/>
          <w:shd w:val="clear" w:color="auto" w:fill="FFFFFF"/>
        </w:rPr>
        <w:t xml:space="preserve">3, a drop of one percent compared with the first half of 2012; they spent 656 thousand nights. </w:t>
      </w:r>
    </w:p>
    <w:p w:rsidR="00FC13B8" w:rsidRPr="003A177D" w:rsidRDefault="00926A5C" w:rsidP="007E6967">
      <w:pPr>
        <w:pStyle w:val="Title"/>
        <w:shd w:val="clear" w:color="auto" w:fill="FFFFFF" w:themeFill="background1"/>
        <w:jc w:val="both"/>
        <w:rPr>
          <w:rStyle w:val="longtext"/>
          <w:b w:val="0"/>
          <w:bCs w:val="0"/>
          <w:shd w:val="clear" w:color="auto" w:fill="FFFFFF"/>
        </w:rPr>
      </w:pPr>
      <w:r w:rsidRPr="003A177D">
        <w:rPr>
          <w:rStyle w:val="longtext"/>
          <w:b w:val="0"/>
          <w:bCs w:val="0"/>
          <w:shd w:val="clear" w:color="auto" w:fill="FFFFFF"/>
        </w:rPr>
        <w:t xml:space="preserve"> </w:t>
      </w:r>
    </w:p>
    <w:tbl>
      <w:tblPr>
        <w:tblW w:w="4820" w:type="dxa"/>
        <w:tblInd w:w="-34" w:type="dxa"/>
        <w:tblLayout w:type="fixed"/>
        <w:tblLook w:val="04A0"/>
      </w:tblPr>
      <w:tblGrid>
        <w:gridCol w:w="2552"/>
        <w:gridCol w:w="992"/>
        <w:gridCol w:w="1276"/>
      </w:tblGrid>
      <w:tr w:rsidR="000177C1" w:rsidRPr="003A177D" w:rsidTr="006C7FE3">
        <w:trPr>
          <w:cantSplit/>
          <w:trHeight w:hRule="exact" w:val="262"/>
        </w:trPr>
        <w:tc>
          <w:tcPr>
            <w:tcW w:w="4820" w:type="dxa"/>
            <w:gridSpan w:val="3"/>
            <w:tcBorders>
              <w:bottom w:val="single" w:sz="4" w:space="0" w:color="auto"/>
            </w:tcBorders>
            <w:shd w:val="clear" w:color="auto" w:fill="auto"/>
            <w:noWrap/>
            <w:vAlign w:val="bottom"/>
            <w:hideMark/>
          </w:tcPr>
          <w:p w:rsidR="000177C1" w:rsidRPr="003A177D" w:rsidRDefault="000177C1" w:rsidP="007E6A37">
            <w:pPr>
              <w:shd w:val="clear" w:color="auto" w:fill="FFFFFF" w:themeFill="background1"/>
              <w:jc w:val="center"/>
              <w:rPr>
                <w:rFonts w:cs="Simplified Arabic"/>
                <w:b/>
                <w:bCs/>
                <w:sz w:val="17"/>
                <w:szCs w:val="17"/>
                <w:rtl/>
              </w:rPr>
            </w:pPr>
            <w:r w:rsidRPr="003A177D">
              <w:rPr>
                <w:rStyle w:val="shorttext"/>
                <w:rFonts w:ascii="Arial" w:hAnsi="Arial" w:cs="Arial"/>
                <w:b/>
                <w:bCs/>
                <w:sz w:val="17"/>
                <w:szCs w:val="17"/>
              </w:rPr>
              <w:t xml:space="preserve">Number of </w:t>
            </w:r>
            <w:r w:rsidR="00B463E8" w:rsidRPr="003A177D">
              <w:rPr>
                <w:rStyle w:val="shorttext"/>
                <w:rFonts w:ascii="Arial" w:hAnsi="Arial" w:cs="Arial"/>
                <w:b/>
                <w:bCs/>
                <w:sz w:val="17"/>
                <w:szCs w:val="17"/>
              </w:rPr>
              <w:t>G</w:t>
            </w:r>
            <w:r w:rsidRPr="003A177D">
              <w:rPr>
                <w:rStyle w:val="shorttext"/>
                <w:rFonts w:ascii="Arial" w:hAnsi="Arial" w:cs="Arial"/>
                <w:b/>
                <w:bCs/>
                <w:sz w:val="17"/>
                <w:szCs w:val="17"/>
              </w:rPr>
              <w:t xml:space="preserve">uests </w:t>
            </w:r>
            <w:r w:rsidR="00B463E8" w:rsidRPr="003A177D">
              <w:rPr>
                <w:rStyle w:val="hps"/>
                <w:rFonts w:ascii="Arial" w:hAnsi="Arial" w:cs="Arial"/>
                <w:b/>
                <w:bCs/>
                <w:sz w:val="17"/>
                <w:szCs w:val="17"/>
              </w:rPr>
              <w:t>D</w:t>
            </w:r>
            <w:r w:rsidRPr="003A177D">
              <w:rPr>
                <w:rStyle w:val="hps"/>
                <w:rFonts w:ascii="Arial" w:hAnsi="Arial" w:cs="Arial"/>
                <w:b/>
                <w:bCs/>
                <w:sz w:val="17"/>
                <w:szCs w:val="17"/>
              </w:rPr>
              <w:t xml:space="preserve">uring the </w:t>
            </w:r>
            <w:r w:rsidR="00B463E8" w:rsidRPr="003A177D">
              <w:rPr>
                <w:rStyle w:val="hps"/>
                <w:rFonts w:ascii="Arial" w:hAnsi="Arial" w:cs="Arial"/>
                <w:b/>
                <w:bCs/>
                <w:sz w:val="17"/>
                <w:szCs w:val="17"/>
              </w:rPr>
              <w:t>F</w:t>
            </w:r>
            <w:r w:rsidRPr="003A177D">
              <w:rPr>
                <w:rStyle w:val="hps"/>
                <w:rFonts w:ascii="Arial" w:hAnsi="Arial" w:cs="Arial"/>
                <w:b/>
                <w:bCs/>
                <w:sz w:val="17"/>
                <w:szCs w:val="17"/>
              </w:rPr>
              <w:t xml:space="preserve">irst </w:t>
            </w:r>
            <w:r w:rsidR="00B463E8" w:rsidRPr="003A177D">
              <w:rPr>
                <w:rStyle w:val="hps"/>
                <w:rFonts w:ascii="Arial" w:hAnsi="Arial" w:cs="Arial"/>
                <w:b/>
                <w:bCs/>
                <w:sz w:val="17"/>
                <w:szCs w:val="17"/>
              </w:rPr>
              <w:t>H</w:t>
            </w:r>
            <w:r w:rsidRPr="003A177D">
              <w:rPr>
                <w:rStyle w:val="hps"/>
                <w:rFonts w:ascii="Arial" w:hAnsi="Arial" w:cs="Arial"/>
                <w:b/>
                <w:bCs/>
                <w:sz w:val="17"/>
                <w:szCs w:val="17"/>
              </w:rPr>
              <w:t>alf</w:t>
            </w:r>
            <w:r w:rsidRPr="003A177D">
              <w:rPr>
                <w:rStyle w:val="shorttext"/>
                <w:rFonts w:ascii="Arial" w:hAnsi="Arial" w:cs="Arial"/>
                <w:b/>
                <w:bCs/>
                <w:sz w:val="17"/>
                <w:szCs w:val="17"/>
              </w:rPr>
              <w:t xml:space="preserve"> </w:t>
            </w:r>
            <w:r w:rsidRPr="003A177D">
              <w:rPr>
                <w:rStyle w:val="hps"/>
                <w:rFonts w:ascii="Arial" w:hAnsi="Arial" w:cs="Arial"/>
                <w:b/>
                <w:bCs/>
                <w:sz w:val="17"/>
                <w:szCs w:val="17"/>
              </w:rPr>
              <w:t xml:space="preserve">of </w:t>
            </w:r>
            <w:r w:rsidR="005400CC" w:rsidRPr="003A177D">
              <w:rPr>
                <w:rStyle w:val="hps"/>
                <w:rFonts w:ascii="Arial" w:hAnsi="Arial" w:cs="Arial"/>
                <w:b/>
                <w:bCs/>
                <w:sz w:val="17"/>
                <w:szCs w:val="17"/>
              </w:rPr>
              <w:t>201</w:t>
            </w:r>
            <w:r w:rsidR="007E6A37" w:rsidRPr="003A177D">
              <w:rPr>
                <w:rStyle w:val="hps"/>
                <w:rFonts w:ascii="Arial" w:hAnsi="Arial" w:cs="Arial"/>
                <w:b/>
                <w:bCs/>
                <w:sz w:val="17"/>
                <w:szCs w:val="17"/>
              </w:rPr>
              <w:t>2</w:t>
            </w:r>
            <w:r w:rsidR="006C7FE3" w:rsidRPr="003A177D">
              <w:rPr>
                <w:rStyle w:val="hps"/>
                <w:rFonts w:ascii="Arial" w:hAnsi="Arial" w:cs="Arial"/>
                <w:b/>
                <w:bCs/>
                <w:sz w:val="17"/>
                <w:szCs w:val="17"/>
              </w:rPr>
              <w:t xml:space="preserve"> and</w:t>
            </w:r>
            <w:r w:rsidR="00076578" w:rsidRPr="003A177D">
              <w:rPr>
                <w:rStyle w:val="hps"/>
                <w:rFonts w:ascii="Arial" w:hAnsi="Arial" w:cs="Arial"/>
                <w:b/>
                <w:bCs/>
                <w:sz w:val="17"/>
                <w:szCs w:val="17"/>
              </w:rPr>
              <w:t xml:space="preserve"> 201</w:t>
            </w:r>
            <w:r w:rsidR="007E6A37" w:rsidRPr="003A177D">
              <w:rPr>
                <w:rStyle w:val="hps"/>
                <w:rFonts w:ascii="Arial" w:hAnsi="Arial" w:cs="Arial"/>
                <w:b/>
                <w:bCs/>
                <w:sz w:val="17"/>
                <w:szCs w:val="17"/>
              </w:rPr>
              <w:t>3</w:t>
            </w:r>
          </w:p>
          <w:p w:rsidR="000177C1" w:rsidRPr="003A177D" w:rsidRDefault="000177C1" w:rsidP="00B463E8">
            <w:pPr>
              <w:shd w:val="clear" w:color="auto" w:fill="FFFFFF" w:themeFill="background1"/>
              <w:bidi w:val="0"/>
              <w:jc w:val="center"/>
              <w:rPr>
                <w:rFonts w:ascii="Arial" w:hAnsi="Arial" w:cs="Arial"/>
                <w:b/>
                <w:bCs/>
                <w:sz w:val="17"/>
                <w:szCs w:val="17"/>
              </w:rPr>
            </w:pPr>
          </w:p>
        </w:tc>
      </w:tr>
      <w:tr w:rsidR="000177C1" w:rsidRPr="003A177D" w:rsidTr="006C7FE3">
        <w:trPr>
          <w:cantSplit/>
          <w:trHeight w:hRule="exact" w:val="262"/>
        </w:trPr>
        <w:tc>
          <w:tcPr>
            <w:tcW w:w="2552" w:type="dxa"/>
            <w:tcBorders>
              <w:top w:val="single" w:sz="4" w:space="0" w:color="auto"/>
              <w:bottom w:val="single" w:sz="4" w:space="0" w:color="auto"/>
            </w:tcBorders>
            <w:shd w:val="clear" w:color="auto" w:fill="auto"/>
            <w:noWrap/>
            <w:vAlign w:val="bottom"/>
            <w:hideMark/>
          </w:tcPr>
          <w:p w:rsidR="000177C1" w:rsidRPr="003A177D" w:rsidRDefault="000177C1" w:rsidP="000177C1">
            <w:pPr>
              <w:shd w:val="clear" w:color="auto" w:fill="FFFFFF" w:themeFill="background1"/>
              <w:jc w:val="center"/>
              <w:rPr>
                <w:rFonts w:ascii="Arial" w:hAnsi="Arial" w:cs="Arial"/>
                <w:sz w:val="18"/>
                <w:szCs w:val="18"/>
                <w:rtl/>
              </w:rPr>
            </w:pPr>
            <w:r w:rsidRPr="003A177D">
              <w:rPr>
                <w:rFonts w:ascii="Arial" w:eastAsia="Times New Roman" w:hAnsi="Arial" w:cs="Arial"/>
                <w:b/>
                <w:bCs/>
                <w:sz w:val="18"/>
                <w:szCs w:val="18"/>
              </w:rPr>
              <w:t>Nationality</w:t>
            </w:r>
          </w:p>
        </w:tc>
        <w:tc>
          <w:tcPr>
            <w:tcW w:w="992" w:type="dxa"/>
            <w:tcBorders>
              <w:top w:val="single" w:sz="4" w:space="0" w:color="auto"/>
              <w:bottom w:val="single" w:sz="4" w:space="0" w:color="auto"/>
            </w:tcBorders>
            <w:shd w:val="clear" w:color="auto" w:fill="auto"/>
            <w:noWrap/>
            <w:vAlign w:val="bottom"/>
            <w:hideMark/>
          </w:tcPr>
          <w:p w:rsidR="000177C1" w:rsidRPr="003A177D" w:rsidRDefault="000177C1" w:rsidP="007E6A37">
            <w:pPr>
              <w:shd w:val="clear" w:color="auto" w:fill="FFFFFF" w:themeFill="background1"/>
              <w:bidi w:val="0"/>
              <w:jc w:val="center"/>
              <w:rPr>
                <w:rFonts w:ascii="Arial" w:hAnsi="Arial" w:cs="Arial"/>
                <w:b/>
                <w:bCs/>
                <w:sz w:val="18"/>
                <w:szCs w:val="18"/>
              </w:rPr>
            </w:pPr>
            <w:r w:rsidRPr="003A177D">
              <w:rPr>
                <w:rFonts w:ascii="Arial" w:hAnsi="Arial" w:cs="Arial"/>
                <w:b/>
                <w:bCs/>
                <w:sz w:val="18"/>
                <w:szCs w:val="18"/>
              </w:rPr>
              <w:t>201</w:t>
            </w:r>
            <w:r w:rsidR="007E6A37" w:rsidRPr="003A177D">
              <w:rPr>
                <w:rFonts w:ascii="Arial" w:hAnsi="Arial" w:cs="Arial" w:hint="cs"/>
                <w:b/>
                <w:bCs/>
                <w:sz w:val="18"/>
                <w:szCs w:val="18"/>
                <w:rtl/>
              </w:rPr>
              <w:t>2</w:t>
            </w:r>
          </w:p>
        </w:tc>
        <w:tc>
          <w:tcPr>
            <w:tcW w:w="1276" w:type="dxa"/>
            <w:tcBorders>
              <w:top w:val="single" w:sz="4" w:space="0" w:color="auto"/>
              <w:bottom w:val="single" w:sz="4" w:space="0" w:color="auto"/>
            </w:tcBorders>
            <w:shd w:val="clear" w:color="auto" w:fill="auto"/>
            <w:noWrap/>
            <w:vAlign w:val="bottom"/>
            <w:hideMark/>
          </w:tcPr>
          <w:p w:rsidR="000177C1" w:rsidRPr="003A177D" w:rsidRDefault="000177C1" w:rsidP="007E6A37">
            <w:pPr>
              <w:shd w:val="clear" w:color="auto" w:fill="FFFFFF" w:themeFill="background1"/>
              <w:bidi w:val="0"/>
              <w:jc w:val="center"/>
              <w:rPr>
                <w:rFonts w:ascii="Arial" w:hAnsi="Arial" w:cs="Arial"/>
                <w:b/>
                <w:bCs/>
                <w:sz w:val="18"/>
                <w:szCs w:val="18"/>
              </w:rPr>
            </w:pPr>
            <w:r w:rsidRPr="003A177D">
              <w:rPr>
                <w:rFonts w:ascii="Arial" w:hAnsi="Arial" w:cs="Arial"/>
                <w:b/>
                <w:bCs/>
                <w:sz w:val="18"/>
                <w:szCs w:val="18"/>
              </w:rPr>
              <w:t>201</w:t>
            </w:r>
            <w:r w:rsidR="007E6A37" w:rsidRPr="003A177D">
              <w:rPr>
                <w:rFonts w:ascii="Arial" w:hAnsi="Arial" w:cs="Arial" w:hint="cs"/>
                <w:b/>
                <w:bCs/>
                <w:sz w:val="18"/>
                <w:szCs w:val="18"/>
                <w:rtl/>
              </w:rPr>
              <w:t>3</w:t>
            </w:r>
          </w:p>
        </w:tc>
      </w:tr>
      <w:tr w:rsidR="000A3A64" w:rsidRPr="003A177D" w:rsidTr="006C7FE3">
        <w:trPr>
          <w:cantSplit/>
          <w:trHeight w:hRule="exact" w:val="363"/>
        </w:trPr>
        <w:tc>
          <w:tcPr>
            <w:tcW w:w="2552" w:type="dxa"/>
            <w:tcBorders>
              <w:top w:val="single" w:sz="4" w:space="0" w:color="auto"/>
            </w:tcBorders>
            <w:shd w:val="clear" w:color="auto" w:fill="auto"/>
            <w:noWrap/>
            <w:vAlign w:val="center"/>
            <w:hideMark/>
          </w:tcPr>
          <w:p w:rsidR="000A3A64" w:rsidRPr="003A177D" w:rsidRDefault="000A3A64" w:rsidP="000177C1">
            <w:pPr>
              <w:shd w:val="clear" w:color="auto" w:fill="FFFFFF" w:themeFill="background1"/>
              <w:spacing w:after="0" w:line="240" w:lineRule="auto"/>
              <w:ind w:right="35"/>
              <w:jc w:val="right"/>
              <w:rPr>
                <w:rFonts w:ascii="Arial" w:eastAsia="Times New Roman" w:hAnsi="Arial" w:cs="Arial"/>
                <w:sz w:val="18"/>
                <w:szCs w:val="18"/>
              </w:rPr>
            </w:pPr>
            <w:r w:rsidRPr="003A177D">
              <w:rPr>
                <w:rFonts w:ascii="Arial" w:eastAsia="Times New Roman" w:hAnsi="Arial" w:cs="Arial"/>
                <w:sz w:val="18"/>
                <w:szCs w:val="18"/>
              </w:rPr>
              <w:t>Palestine</w:t>
            </w:r>
          </w:p>
        </w:tc>
        <w:tc>
          <w:tcPr>
            <w:tcW w:w="992" w:type="dxa"/>
            <w:tcBorders>
              <w:top w:val="single" w:sz="4" w:space="0" w:color="auto"/>
            </w:tcBorders>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39,747</w:t>
            </w:r>
          </w:p>
        </w:tc>
        <w:tc>
          <w:tcPr>
            <w:tcW w:w="1276" w:type="dxa"/>
            <w:tcBorders>
              <w:top w:val="single" w:sz="4" w:space="0" w:color="auto"/>
            </w:tcBorders>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25,773</w:t>
            </w:r>
          </w:p>
        </w:tc>
      </w:tr>
      <w:tr w:rsidR="000A3A64" w:rsidRPr="003A177D" w:rsidTr="006C7FE3">
        <w:trPr>
          <w:cantSplit/>
          <w:trHeight w:hRule="exact" w:val="314"/>
        </w:trPr>
        <w:tc>
          <w:tcPr>
            <w:tcW w:w="2552" w:type="dxa"/>
            <w:shd w:val="clear" w:color="auto" w:fill="auto"/>
            <w:noWrap/>
            <w:vAlign w:val="center"/>
            <w:hideMark/>
          </w:tcPr>
          <w:p w:rsidR="000A3A64" w:rsidRPr="003A177D" w:rsidRDefault="000A3A64" w:rsidP="000177C1">
            <w:pPr>
              <w:shd w:val="clear" w:color="auto" w:fill="FFFFFF" w:themeFill="background1"/>
              <w:spacing w:after="0" w:line="240" w:lineRule="auto"/>
              <w:ind w:right="35"/>
              <w:jc w:val="right"/>
              <w:rPr>
                <w:rFonts w:ascii="Arial" w:eastAsia="Times New Roman" w:hAnsi="Arial" w:cs="Arial"/>
                <w:sz w:val="18"/>
                <w:szCs w:val="18"/>
              </w:rPr>
            </w:pPr>
            <w:r w:rsidRPr="003A177D">
              <w:rPr>
                <w:rFonts w:ascii="Arial" w:eastAsia="Times New Roman" w:hAnsi="Arial" w:cs="Arial"/>
                <w:sz w:val="18"/>
                <w:szCs w:val="18"/>
              </w:rPr>
              <w:t>Israel</w:t>
            </w:r>
          </w:p>
        </w:tc>
        <w:tc>
          <w:tcPr>
            <w:tcW w:w="992"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23,531</w:t>
            </w:r>
          </w:p>
        </w:tc>
        <w:tc>
          <w:tcPr>
            <w:tcW w:w="1276"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29,168</w:t>
            </w:r>
          </w:p>
        </w:tc>
      </w:tr>
      <w:tr w:rsidR="000A3A64" w:rsidRPr="003A177D" w:rsidTr="006C7FE3">
        <w:trPr>
          <w:cantSplit/>
          <w:trHeight w:hRule="exact" w:val="287"/>
        </w:trPr>
        <w:tc>
          <w:tcPr>
            <w:tcW w:w="2552" w:type="dxa"/>
            <w:shd w:val="clear" w:color="auto" w:fill="auto"/>
            <w:noWrap/>
            <w:vAlign w:val="center"/>
            <w:hideMark/>
          </w:tcPr>
          <w:p w:rsidR="000A3A64" w:rsidRPr="003A177D" w:rsidRDefault="000A3A64" w:rsidP="000177C1">
            <w:pPr>
              <w:shd w:val="clear" w:color="auto" w:fill="FFFFFF" w:themeFill="background1"/>
              <w:spacing w:after="0" w:line="240" w:lineRule="auto"/>
              <w:ind w:right="35"/>
              <w:jc w:val="right"/>
              <w:rPr>
                <w:rFonts w:ascii="Arial" w:eastAsia="Times New Roman" w:hAnsi="Arial" w:cs="Arial"/>
                <w:sz w:val="18"/>
                <w:szCs w:val="18"/>
                <w:rtl/>
              </w:rPr>
            </w:pPr>
            <w:r w:rsidRPr="003A177D">
              <w:rPr>
                <w:rFonts w:ascii="Arial" w:eastAsia="Times New Roman" w:hAnsi="Arial" w:cs="Arial"/>
                <w:sz w:val="18"/>
                <w:szCs w:val="18"/>
              </w:rPr>
              <w:t>Asia</w:t>
            </w:r>
          </w:p>
        </w:tc>
        <w:tc>
          <w:tcPr>
            <w:tcW w:w="992"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24,841</w:t>
            </w:r>
          </w:p>
        </w:tc>
        <w:tc>
          <w:tcPr>
            <w:tcW w:w="1276"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33,187</w:t>
            </w:r>
          </w:p>
        </w:tc>
      </w:tr>
      <w:tr w:rsidR="000A3A64" w:rsidRPr="003A177D" w:rsidTr="006C7FE3">
        <w:trPr>
          <w:cantSplit/>
          <w:trHeight w:hRule="exact" w:val="314"/>
        </w:trPr>
        <w:tc>
          <w:tcPr>
            <w:tcW w:w="2552" w:type="dxa"/>
            <w:shd w:val="clear" w:color="auto" w:fill="auto"/>
            <w:noWrap/>
            <w:vAlign w:val="center"/>
            <w:hideMark/>
          </w:tcPr>
          <w:p w:rsidR="000A3A64" w:rsidRPr="003A177D" w:rsidRDefault="000A3A64" w:rsidP="000177C1">
            <w:pPr>
              <w:shd w:val="clear" w:color="auto" w:fill="FFFFFF" w:themeFill="background1"/>
              <w:spacing w:after="0" w:line="240" w:lineRule="auto"/>
              <w:ind w:right="35"/>
              <w:jc w:val="right"/>
              <w:rPr>
                <w:rFonts w:ascii="Arial" w:eastAsia="Times New Roman" w:hAnsi="Arial" w:cs="Arial"/>
                <w:sz w:val="18"/>
                <w:szCs w:val="18"/>
              </w:rPr>
            </w:pPr>
            <w:r w:rsidRPr="003A177D">
              <w:rPr>
                <w:rFonts w:ascii="Arial" w:eastAsia="Times New Roman" w:hAnsi="Arial" w:cs="Arial"/>
                <w:sz w:val="18"/>
                <w:szCs w:val="18"/>
              </w:rPr>
              <w:t>USA &amp; Canada</w:t>
            </w:r>
          </w:p>
        </w:tc>
        <w:tc>
          <w:tcPr>
            <w:tcW w:w="992"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21,417</w:t>
            </w:r>
          </w:p>
        </w:tc>
        <w:tc>
          <w:tcPr>
            <w:tcW w:w="1276"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21,922</w:t>
            </w:r>
          </w:p>
        </w:tc>
      </w:tr>
      <w:tr w:rsidR="000A3A64" w:rsidRPr="003A177D" w:rsidTr="006C7FE3">
        <w:trPr>
          <w:cantSplit/>
          <w:trHeight w:hRule="exact" w:val="314"/>
        </w:trPr>
        <w:tc>
          <w:tcPr>
            <w:tcW w:w="2552" w:type="dxa"/>
            <w:shd w:val="clear" w:color="auto" w:fill="auto"/>
            <w:noWrap/>
            <w:vAlign w:val="center"/>
            <w:hideMark/>
          </w:tcPr>
          <w:p w:rsidR="000A3A64" w:rsidRPr="003A177D" w:rsidRDefault="000A3A64" w:rsidP="000177C1">
            <w:pPr>
              <w:shd w:val="clear" w:color="auto" w:fill="FFFFFF" w:themeFill="background1"/>
              <w:spacing w:after="0" w:line="240" w:lineRule="auto"/>
              <w:ind w:right="35"/>
              <w:jc w:val="right"/>
              <w:rPr>
                <w:rFonts w:ascii="Arial" w:eastAsia="Times New Roman" w:hAnsi="Arial" w:cs="Arial"/>
                <w:sz w:val="18"/>
                <w:szCs w:val="18"/>
                <w:rtl/>
              </w:rPr>
            </w:pPr>
            <w:r w:rsidRPr="003A177D">
              <w:rPr>
                <w:rFonts w:ascii="Arial" w:eastAsia="Times New Roman" w:hAnsi="Arial" w:cs="Arial"/>
                <w:sz w:val="18"/>
                <w:szCs w:val="18"/>
              </w:rPr>
              <w:t>EU.</w:t>
            </w:r>
          </w:p>
        </w:tc>
        <w:tc>
          <w:tcPr>
            <w:tcW w:w="992"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103,376</w:t>
            </w:r>
          </w:p>
        </w:tc>
        <w:tc>
          <w:tcPr>
            <w:tcW w:w="1276"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110,610</w:t>
            </w:r>
          </w:p>
        </w:tc>
      </w:tr>
      <w:tr w:rsidR="000A3A64" w:rsidRPr="003A177D" w:rsidTr="006C7FE3">
        <w:trPr>
          <w:cantSplit/>
          <w:trHeight w:hRule="exact" w:val="328"/>
        </w:trPr>
        <w:tc>
          <w:tcPr>
            <w:tcW w:w="2552" w:type="dxa"/>
            <w:shd w:val="clear" w:color="auto" w:fill="auto"/>
            <w:noWrap/>
            <w:vAlign w:val="center"/>
            <w:hideMark/>
          </w:tcPr>
          <w:p w:rsidR="000A3A64" w:rsidRPr="003A177D" w:rsidRDefault="000A3A64" w:rsidP="000177C1">
            <w:pPr>
              <w:shd w:val="clear" w:color="auto" w:fill="FFFFFF" w:themeFill="background1"/>
              <w:spacing w:after="0" w:line="240" w:lineRule="auto"/>
              <w:ind w:right="35"/>
              <w:jc w:val="right"/>
              <w:rPr>
                <w:rFonts w:ascii="Arial" w:eastAsia="Times New Roman" w:hAnsi="Arial" w:cs="Arial"/>
                <w:sz w:val="18"/>
                <w:szCs w:val="18"/>
              </w:rPr>
            </w:pPr>
            <w:r w:rsidRPr="003A177D">
              <w:rPr>
                <w:rFonts w:ascii="Arial" w:eastAsia="Times New Roman" w:hAnsi="Arial" w:cs="Arial"/>
                <w:sz w:val="18"/>
                <w:szCs w:val="18"/>
              </w:rPr>
              <w:t>Other European States.</w:t>
            </w:r>
          </w:p>
        </w:tc>
        <w:tc>
          <w:tcPr>
            <w:tcW w:w="992"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40,950</w:t>
            </w:r>
          </w:p>
        </w:tc>
        <w:tc>
          <w:tcPr>
            <w:tcW w:w="1276"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29,203</w:t>
            </w:r>
          </w:p>
        </w:tc>
      </w:tr>
      <w:tr w:rsidR="000A3A64" w:rsidRPr="003A177D" w:rsidTr="006C7FE3">
        <w:trPr>
          <w:cantSplit/>
          <w:trHeight w:hRule="exact" w:val="314"/>
        </w:trPr>
        <w:tc>
          <w:tcPr>
            <w:tcW w:w="2552" w:type="dxa"/>
            <w:shd w:val="clear" w:color="auto" w:fill="auto"/>
            <w:noWrap/>
            <w:vAlign w:val="center"/>
            <w:hideMark/>
          </w:tcPr>
          <w:p w:rsidR="000A3A64" w:rsidRPr="003A177D" w:rsidRDefault="000A3A64" w:rsidP="000177C1">
            <w:pPr>
              <w:shd w:val="clear" w:color="auto" w:fill="FFFFFF" w:themeFill="background1"/>
              <w:spacing w:after="0" w:line="240" w:lineRule="auto"/>
              <w:ind w:right="35"/>
              <w:jc w:val="right"/>
              <w:rPr>
                <w:rFonts w:ascii="Arial" w:eastAsia="Times New Roman" w:hAnsi="Arial" w:cs="Arial"/>
                <w:sz w:val="18"/>
                <w:szCs w:val="18"/>
              </w:rPr>
            </w:pPr>
            <w:r w:rsidRPr="003A177D">
              <w:rPr>
                <w:rFonts w:ascii="Arial" w:eastAsia="Times New Roman" w:hAnsi="Arial" w:cs="Arial"/>
                <w:sz w:val="18"/>
                <w:szCs w:val="18"/>
              </w:rPr>
              <w:t>Other Countries</w:t>
            </w:r>
          </w:p>
        </w:tc>
        <w:tc>
          <w:tcPr>
            <w:tcW w:w="992"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22,862</w:t>
            </w:r>
          </w:p>
        </w:tc>
        <w:tc>
          <w:tcPr>
            <w:tcW w:w="1276" w:type="dxa"/>
            <w:shd w:val="clear" w:color="auto" w:fill="auto"/>
            <w:noWrap/>
            <w:vAlign w:val="bottom"/>
            <w:hideMark/>
          </w:tcPr>
          <w:p w:rsidR="000A3A64" w:rsidRPr="003A177D" w:rsidRDefault="000A3A64">
            <w:pPr>
              <w:bidi w:val="0"/>
              <w:jc w:val="right"/>
              <w:rPr>
                <w:rFonts w:ascii="Arial" w:hAnsi="Arial" w:cs="Arial"/>
                <w:sz w:val="18"/>
                <w:szCs w:val="18"/>
              </w:rPr>
            </w:pPr>
            <w:r w:rsidRPr="003A177D">
              <w:rPr>
                <w:rFonts w:ascii="Arial" w:hAnsi="Arial" w:cs="Arial"/>
                <w:sz w:val="18"/>
                <w:szCs w:val="18"/>
              </w:rPr>
              <w:t>23,663</w:t>
            </w:r>
          </w:p>
        </w:tc>
      </w:tr>
      <w:tr w:rsidR="000A3A64" w:rsidRPr="003A177D" w:rsidTr="006C7FE3">
        <w:trPr>
          <w:cantSplit/>
          <w:trHeight w:hRule="exact" w:val="314"/>
        </w:trPr>
        <w:tc>
          <w:tcPr>
            <w:tcW w:w="2552" w:type="dxa"/>
            <w:tcBorders>
              <w:bottom w:val="single" w:sz="4" w:space="0" w:color="auto"/>
            </w:tcBorders>
            <w:shd w:val="clear" w:color="auto" w:fill="auto"/>
            <w:noWrap/>
            <w:vAlign w:val="center"/>
            <w:hideMark/>
          </w:tcPr>
          <w:p w:rsidR="000A3A64" w:rsidRPr="003A177D" w:rsidRDefault="000A3A64" w:rsidP="000177C1">
            <w:pPr>
              <w:shd w:val="clear" w:color="auto" w:fill="FFFFFF" w:themeFill="background1"/>
              <w:spacing w:after="0" w:line="240" w:lineRule="auto"/>
              <w:ind w:right="35"/>
              <w:jc w:val="right"/>
              <w:rPr>
                <w:rFonts w:ascii="Arial" w:eastAsia="Times New Roman" w:hAnsi="Arial" w:cs="Arial"/>
                <w:b/>
                <w:bCs/>
                <w:sz w:val="18"/>
                <w:szCs w:val="18"/>
                <w:rtl/>
              </w:rPr>
            </w:pPr>
            <w:r w:rsidRPr="003A177D">
              <w:rPr>
                <w:rFonts w:ascii="Arial" w:eastAsia="Times New Roman" w:hAnsi="Arial" w:cs="Arial"/>
                <w:b/>
                <w:bCs/>
                <w:sz w:val="18"/>
                <w:szCs w:val="18"/>
              </w:rPr>
              <w:t>Total</w:t>
            </w:r>
          </w:p>
        </w:tc>
        <w:tc>
          <w:tcPr>
            <w:tcW w:w="992" w:type="dxa"/>
            <w:tcBorders>
              <w:bottom w:val="single" w:sz="4" w:space="0" w:color="auto"/>
            </w:tcBorders>
            <w:shd w:val="clear" w:color="auto" w:fill="auto"/>
            <w:noWrap/>
            <w:vAlign w:val="bottom"/>
            <w:hideMark/>
          </w:tcPr>
          <w:p w:rsidR="000A3A64" w:rsidRPr="003A177D" w:rsidRDefault="000A3A64">
            <w:pPr>
              <w:bidi w:val="0"/>
              <w:jc w:val="right"/>
              <w:rPr>
                <w:rFonts w:ascii="Arial" w:hAnsi="Arial" w:cs="Arial"/>
                <w:b/>
                <w:bCs/>
                <w:sz w:val="18"/>
                <w:szCs w:val="18"/>
              </w:rPr>
            </w:pPr>
            <w:r w:rsidRPr="003A177D">
              <w:rPr>
                <w:rFonts w:ascii="Arial" w:hAnsi="Arial" w:cs="Arial"/>
                <w:b/>
                <w:bCs/>
                <w:sz w:val="18"/>
                <w:szCs w:val="18"/>
              </w:rPr>
              <w:t>276,724</w:t>
            </w:r>
          </w:p>
        </w:tc>
        <w:tc>
          <w:tcPr>
            <w:tcW w:w="1276" w:type="dxa"/>
            <w:tcBorders>
              <w:bottom w:val="single" w:sz="4" w:space="0" w:color="auto"/>
            </w:tcBorders>
            <w:shd w:val="clear" w:color="auto" w:fill="auto"/>
            <w:noWrap/>
            <w:vAlign w:val="bottom"/>
            <w:hideMark/>
          </w:tcPr>
          <w:p w:rsidR="000A3A64" w:rsidRPr="003A177D" w:rsidRDefault="000A3A64" w:rsidP="008652C4">
            <w:pPr>
              <w:bidi w:val="0"/>
              <w:jc w:val="right"/>
              <w:rPr>
                <w:rFonts w:ascii="Arial" w:hAnsi="Arial" w:cs="Arial"/>
                <w:b/>
                <w:bCs/>
                <w:sz w:val="18"/>
                <w:szCs w:val="18"/>
              </w:rPr>
            </w:pPr>
            <w:r w:rsidRPr="003A177D">
              <w:rPr>
                <w:rFonts w:ascii="Arial" w:hAnsi="Arial" w:cs="Arial"/>
                <w:b/>
                <w:bCs/>
                <w:sz w:val="18"/>
                <w:szCs w:val="18"/>
              </w:rPr>
              <w:t>273,526</w:t>
            </w:r>
          </w:p>
        </w:tc>
      </w:tr>
    </w:tbl>
    <w:p w:rsidR="00FC13B8" w:rsidRPr="003A177D" w:rsidRDefault="00FC13B8" w:rsidP="007E6967">
      <w:pPr>
        <w:pStyle w:val="Title"/>
        <w:shd w:val="clear" w:color="auto" w:fill="FFFFFF" w:themeFill="background1"/>
        <w:jc w:val="both"/>
        <w:rPr>
          <w:rStyle w:val="longtext"/>
          <w:b w:val="0"/>
          <w:bCs w:val="0"/>
          <w:shd w:val="clear" w:color="auto" w:fill="FFFFFF"/>
        </w:rPr>
      </w:pPr>
    </w:p>
    <w:p w:rsidR="00AB26F8" w:rsidRPr="003A177D" w:rsidRDefault="00AB26F8" w:rsidP="00AB26F8">
      <w:pPr>
        <w:pStyle w:val="Title"/>
        <w:shd w:val="clear" w:color="auto" w:fill="FFFFFF" w:themeFill="background1"/>
        <w:jc w:val="both"/>
        <w:rPr>
          <w:rStyle w:val="longtext"/>
          <w:rFonts w:asciiTheme="majorBidi" w:hAnsiTheme="majorBidi" w:cstheme="majorBidi"/>
          <w:sz w:val="10"/>
          <w:szCs w:val="10"/>
          <w:shd w:val="clear" w:color="auto" w:fill="FFFFFF"/>
        </w:rPr>
      </w:pPr>
      <w:r w:rsidRPr="003A177D">
        <w:rPr>
          <w:rStyle w:val="longtext"/>
          <w:b w:val="0"/>
          <w:bCs w:val="0"/>
          <w:shd w:val="clear" w:color="auto" w:fill="FFFFFF"/>
        </w:rPr>
        <w:t xml:space="preserve">The guests were distributed by region as follows: 46% in the South of the West Bank, 32% in Jerusalem hotels, 17% in the Middle of the West Bank and 5% in the North of the West Bank.  </w:t>
      </w:r>
    </w:p>
    <w:p w:rsidR="00AB26F8" w:rsidRPr="003A177D" w:rsidRDefault="00AB26F8" w:rsidP="00AB26F8">
      <w:pPr>
        <w:pStyle w:val="Title"/>
        <w:shd w:val="clear" w:color="auto" w:fill="FFFFFF" w:themeFill="background1"/>
        <w:jc w:val="both"/>
        <w:rPr>
          <w:rStyle w:val="longtext"/>
          <w:rFonts w:asciiTheme="majorBidi" w:hAnsiTheme="majorBidi" w:cstheme="majorBidi"/>
          <w:sz w:val="10"/>
          <w:szCs w:val="10"/>
          <w:shd w:val="clear" w:color="auto" w:fill="FFFFFF"/>
        </w:rPr>
      </w:pPr>
    </w:p>
    <w:p w:rsidR="00AB26F8" w:rsidRPr="003A177D" w:rsidRDefault="00AB26F8" w:rsidP="00AB26F8">
      <w:pPr>
        <w:pStyle w:val="Title"/>
        <w:shd w:val="clear" w:color="auto" w:fill="FFFFFF" w:themeFill="background1"/>
        <w:jc w:val="both"/>
        <w:rPr>
          <w:rStyle w:val="longtext"/>
          <w:rFonts w:asciiTheme="majorBidi" w:hAnsiTheme="majorBidi" w:cstheme="majorBidi"/>
          <w:sz w:val="10"/>
          <w:szCs w:val="10"/>
          <w:shd w:val="clear" w:color="auto" w:fill="FFFFFF"/>
        </w:rPr>
      </w:pPr>
    </w:p>
    <w:p w:rsidR="00915948" w:rsidRPr="003A177D" w:rsidRDefault="00AB26F8" w:rsidP="00AB26F8">
      <w:pPr>
        <w:shd w:val="clear" w:color="auto" w:fill="FFFFFF" w:themeFill="background1"/>
        <w:bidi w:val="0"/>
        <w:jc w:val="both"/>
        <w:rPr>
          <w:rStyle w:val="longtext"/>
          <w:rFonts w:asciiTheme="majorBidi" w:hAnsiTheme="majorBidi" w:cstheme="majorBidi"/>
          <w:sz w:val="24"/>
          <w:szCs w:val="24"/>
          <w:shd w:val="clear" w:color="auto" w:fill="FFFFFF"/>
        </w:rPr>
      </w:pPr>
      <w:r w:rsidRPr="003A177D">
        <w:rPr>
          <w:rStyle w:val="longtext"/>
          <w:rFonts w:asciiTheme="majorBidi" w:hAnsiTheme="majorBidi" w:cstheme="majorBidi"/>
          <w:sz w:val="24"/>
          <w:szCs w:val="24"/>
          <w:shd w:val="clear" w:color="auto" w:fill="FFFFFF"/>
        </w:rPr>
        <w:t>There were 107 hotels in the West Bank in June 2013 comprising 5,936 rooms with 13,545 beds. There were 2,717 hotel employees, of whom 649 were female</w:t>
      </w:r>
      <w:r w:rsidR="003D5293" w:rsidRPr="003A177D">
        <w:rPr>
          <w:rStyle w:val="longtext"/>
          <w:rFonts w:asciiTheme="majorBidi" w:hAnsiTheme="majorBidi" w:cstheme="majorBidi"/>
          <w:sz w:val="24"/>
          <w:szCs w:val="24"/>
          <w:shd w:val="clear" w:color="auto" w:fill="FFFFFF"/>
        </w:rPr>
        <w:t>.</w:t>
      </w:r>
    </w:p>
    <w:p w:rsidR="00AB26F8" w:rsidRPr="003A177D" w:rsidRDefault="00AB26F8" w:rsidP="00AB26F8">
      <w:pPr>
        <w:bidi w:val="0"/>
        <w:jc w:val="both"/>
        <w:rPr>
          <w:rStyle w:val="longtext"/>
          <w:rFonts w:ascii="Times New Roman" w:hAnsi="Times New Roman" w:cs="Times New Roman"/>
          <w:b/>
          <w:bCs/>
          <w:sz w:val="24"/>
          <w:szCs w:val="24"/>
          <w:shd w:val="clear" w:color="auto" w:fill="FFFFFF"/>
        </w:rPr>
      </w:pPr>
      <w:r w:rsidRPr="003A177D">
        <w:rPr>
          <w:rStyle w:val="longtext"/>
          <w:rFonts w:ascii="Times New Roman" w:hAnsi="Times New Roman" w:cs="Times New Roman"/>
          <w:b/>
          <w:bCs/>
          <w:sz w:val="24"/>
          <w:szCs w:val="24"/>
          <w:shd w:val="clear" w:color="auto" w:fill="FFFFFF"/>
        </w:rPr>
        <w:t xml:space="preserve">Average Spending of USD 47 on Domestic Trips and </w:t>
      </w:r>
      <w:r w:rsidRPr="003A177D">
        <w:rPr>
          <w:rFonts w:asciiTheme="majorBidi" w:hAnsiTheme="majorBidi" w:cstheme="majorBidi"/>
          <w:b/>
          <w:bCs/>
          <w:sz w:val="24"/>
          <w:szCs w:val="24"/>
        </w:rPr>
        <w:t xml:space="preserve">USD 1,456 </w:t>
      </w:r>
      <w:r w:rsidRPr="003A177D">
        <w:rPr>
          <w:rStyle w:val="longtext"/>
          <w:rFonts w:ascii="Times New Roman" w:hAnsi="Times New Roman" w:cs="Times New Roman"/>
          <w:b/>
          <w:bCs/>
          <w:sz w:val="24"/>
          <w:szCs w:val="24"/>
          <w:shd w:val="clear" w:color="auto" w:fill="FFFFFF"/>
        </w:rPr>
        <w:t>on Outbound Trips in 2012</w:t>
      </w:r>
    </w:p>
    <w:p w:rsidR="00710350" w:rsidRPr="003A177D" w:rsidRDefault="00AB26F8" w:rsidP="00AB26F8">
      <w:pPr>
        <w:bidi w:val="0"/>
        <w:jc w:val="both"/>
        <w:rPr>
          <w:rFonts w:ascii="Times New Roman" w:hAnsi="Times New Roman" w:cs="Times New Roman"/>
          <w:sz w:val="24"/>
          <w:szCs w:val="24"/>
        </w:rPr>
      </w:pPr>
      <w:r w:rsidRPr="003A177D">
        <w:rPr>
          <w:rFonts w:ascii="Times New Roman" w:hAnsi="Times New Roman" w:cs="Times New Roman"/>
          <w:sz w:val="24"/>
          <w:szCs w:val="24"/>
        </w:rPr>
        <w:t xml:space="preserve">In Palestine, 35% of households (at least one household member) participated in a domestic trip during 2012: 20% in the West Bank compared to 62% in the Gaza Strip. The average household expenditure during domestic trips was USD 47: USD 66 in the West Bank compared to USD 42 in the Gaza Strip. Trips abroad were conducted by 11% of households (one member at least) during </w:t>
      </w:r>
      <w:r w:rsidRPr="003A177D">
        <w:rPr>
          <w:rFonts w:ascii="Times New Roman" w:hAnsi="Times New Roman" w:cs="Times New Roman"/>
          <w:sz w:val="24"/>
          <w:szCs w:val="24"/>
        </w:rPr>
        <w:lastRenderedPageBreak/>
        <w:t>2012: 13% of West Bank households compared to only 6% of households in the Gaza Strip. Average household expenditure during an outbound trip was USD 1,456, of which USD 442 was spent on shopping and USD 351 was spent on tourism services.</w:t>
      </w:r>
    </w:p>
    <w:p w:rsidR="001B1B48" w:rsidRPr="001B1B48" w:rsidRDefault="001B1B48" w:rsidP="00DB4943">
      <w:pPr>
        <w:bidi w:val="0"/>
        <w:jc w:val="both"/>
        <w:rPr>
          <w:rFonts w:ascii="Times New Roman" w:hAnsi="Times New Roman" w:cs="Times New Roman"/>
          <w:b/>
          <w:bCs/>
          <w:sz w:val="2"/>
          <w:szCs w:val="2"/>
        </w:rPr>
      </w:pPr>
    </w:p>
    <w:p w:rsidR="00AB26F8" w:rsidRPr="003A177D" w:rsidRDefault="00AB26F8" w:rsidP="001B1B48">
      <w:pPr>
        <w:bidi w:val="0"/>
        <w:jc w:val="both"/>
        <w:rPr>
          <w:rFonts w:ascii="Times New Roman" w:hAnsi="Times New Roman" w:cs="Times New Roman"/>
          <w:b/>
          <w:bCs/>
          <w:sz w:val="24"/>
          <w:szCs w:val="24"/>
        </w:rPr>
      </w:pPr>
      <w:r w:rsidRPr="003A177D">
        <w:rPr>
          <w:rFonts w:ascii="Times New Roman" w:hAnsi="Times New Roman" w:cs="Times New Roman"/>
          <w:b/>
          <w:bCs/>
          <w:sz w:val="24"/>
          <w:szCs w:val="24"/>
        </w:rPr>
        <w:t>Around 5,514 Establishments Operating in the Tourism Sector Contributed USD 215.6 to Value Added during 2011.</w:t>
      </w:r>
    </w:p>
    <w:p w:rsidR="00356EEF" w:rsidRDefault="00AB26F8" w:rsidP="001D5BF2">
      <w:pPr>
        <w:bidi w:val="0"/>
        <w:jc w:val="both"/>
        <w:rPr>
          <w:rFonts w:ascii="Times New Roman" w:hAnsi="Times New Roman" w:cs="Times New Roman"/>
          <w:sz w:val="24"/>
          <w:szCs w:val="24"/>
        </w:rPr>
      </w:pPr>
      <w:r w:rsidRPr="003A177D">
        <w:rPr>
          <w:rFonts w:ascii="Times New Roman" w:hAnsi="Times New Roman" w:cs="Times New Roman"/>
          <w:sz w:val="24"/>
          <w:szCs w:val="24"/>
        </w:rPr>
        <w:t xml:space="preserve">There were about 5,514 establishments working in the tourism sector in Palestine. These were distributed as 3,241 restaurants, 1,503 shops selling souvenirs and handicrafts, 215 working in </w:t>
      </w:r>
      <w:r w:rsidRPr="00843B41">
        <w:rPr>
          <w:rFonts w:ascii="Times New Roman" w:hAnsi="Times New Roman" w:cs="Times New Roman"/>
          <w:sz w:val="24"/>
          <w:szCs w:val="24"/>
        </w:rPr>
        <w:t>antiques and wood</w:t>
      </w:r>
      <w:r w:rsidRPr="003A177D">
        <w:rPr>
          <w:rFonts w:ascii="Times New Roman" w:hAnsi="Times New Roman" w:cs="Times New Roman"/>
          <w:sz w:val="24"/>
          <w:szCs w:val="24"/>
        </w:rPr>
        <w:t xml:space="preserve">en </w:t>
      </w:r>
      <w:r w:rsidR="001D5BF2">
        <w:rPr>
          <w:rFonts w:ascii="Times New Roman" w:hAnsi="Times New Roman" w:cs="Times New Roman"/>
          <w:sz w:val="24"/>
          <w:szCs w:val="24"/>
        </w:rPr>
        <w:t>handcrafts</w:t>
      </w:r>
      <w:r w:rsidRPr="003A177D">
        <w:rPr>
          <w:rFonts w:ascii="Times New Roman" w:hAnsi="Times New Roman" w:cs="Times New Roman"/>
          <w:sz w:val="24"/>
          <w:szCs w:val="24"/>
        </w:rPr>
        <w:t xml:space="preserve">, 262 travel and tourism agencies, 93 in short-term accommodation (hotels), 72 car rental services, 107 providing services organizing </w:t>
      </w:r>
      <w:proofErr w:type="spellStart"/>
      <w:r w:rsidRPr="003A177D">
        <w:rPr>
          <w:rFonts w:ascii="Times New Roman" w:hAnsi="Times New Roman" w:cs="Times New Roman"/>
          <w:sz w:val="24"/>
          <w:szCs w:val="24"/>
        </w:rPr>
        <w:t>Haj</w:t>
      </w:r>
      <w:proofErr w:type="spellEnd"/>
      <w:r w:rsidRPr="003A177D">
        <w:rPr>
          <w:rFonts w:ascii="Times New Roman" w:hAnsi="Times New Roman" w:cs="Times New Roman"/>
          <w:sz w:val="24"/>
          <w:szCs w:val="24"/>
        </w:rPr>
        <w:t xml:space="preserve"> and </w:t>
      </w:r>
      <w:proofErr w:type="spellStart"/>
      <w:r w:rsidRPr="003A177D">
        <w:rPr>
          <w:rFonts w:ascii="Times New Roman" w:hAnsi="Times New Roman" w:cs="Times New Roman"/>
          <w:sz w:val="24"/>
          <w:szCs w:val="24"/>
        </w:rPr>
        <w:t>Umrah</w:t>
      </w:r>
      <w:proofErr w:type="spellEnd"/>
      <w:r w:rsidRPr="003A177D">
        <w:rPr>
          <w:rFonts w:ascii="Times New Roman" w:hAnsi="Times New Roman" w:cs="Times New Roman"/>
          <w:sz w:val="24"/>
          <w:szCs w:val="24"/>
        </w:rPr>
        <w:t xml:space="preserve"> trips and</w:t>
      </w:r>
      <w:r w:rsidR="003A177D" w:rsidRPr="003A177D">
        <w:rPr>
          <w:rFonts w:ascii="Times New Roman" w:hAnsi="Times New Roman" w:cs="Times New Roman"/>
          <w:sz w:val="24"/>
          <w:szCs w:val="24"/>
        </w:rPr>
        <w:t xml:space="preserve"> 21 involved in passenger transportation by scheduled long-distance bus services. </w:t>
      </w:r>
      <w:r w:rsidR="001B1B48">
        <w:rPr>
          <w:rFonts w:ascii="Times New Roman" w:hAnsi="Times New Roman" w:cs="Times New Roman"/>
          <w:sz w:val="24"/>
          <w:szCs w:val="24"/>
        </w:rPr>
        <w:t xml:space="preserve"> </w:t>
      </w: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356EEF" w:rsidRDefault="00356EEF" w:rsidP="00356EEF">
      <w:pPr>
        <w:bidi w:val="0"/>
        <w:jc w:val="both"/>
        <w:rPr>
          <w:rFonts w:ascii="Times New Roman" w:hAnsi="Times New Roman" w:cs="Times New Roman"/>
          <w:sz w:val="24"/>
          <w:szCs w:val="24"/>
        </w:rPr>
      </w:pPr>
    </w:p>
    <w:p w:rsidR="00AD3072" w:rsidRPr="003A177D" w:rsidRDefault="003A177D" w:rsidP="001D5BF2">
      <w:pPr>
        <w:bidi w:val="0"/>
        <w:jc w:val="both"/>
        <w:rPr>
          <w:rFonts w:ascii="Times New Roman" w:hAnsi="Times New Roman" w:cs="Times New Roman"/>
          <w:sz w:val="24"/>
          <w:szCs w:val="24"/>
        </w:rPr>
      </w:pPr>
      <w:r w:rsidRPr="003A177D">
        <w:rPr>
          <w:rFonts w:ascii="Times New Roman" w:hAnsi="Times New Roman" w:cs="Times New Roman"/>
          <w:sz w:val="24"/>
          <w:szCs w:val="24"/>
        </w:rPr>
        <w:lastRenderedPageBreak/>
        <w:t xml:space="preserve">The total value added of the establishments working in the field of tourism activities totaled USD 215.6 million; 36% of this value was made up of the activities of travel agencies, 24% each by restaurants and hotels, while antiques and wooden </w:t>
      </w:r>
      <w:r w:rsidR="001D5BF2">
        <w:rPr>
          <w:rFonts w:ascii="Times New Roman" w:hAnsi="Times New Roman" w:cs="Times New Roman"/>
          <w:sz w:val="24"/>
          <w:szCs w:val="24"/>
        </w:rPr>
        <w:t>handcrafts</w:t>
      </w:r>
      <w:r w:rsidR="001D5BF2" w:rsidRPr="003A177D">
        <w:rPr>
          <w:rFonts w:ascii="Times New Roman" w:hAnsi="Times New Roman" w:cs="Times New Roman"/>
          <w:sz w:val="24"/>
          <w:szCs w:val="24"/>
        </w:rPr>
        <w:t xml:space="preserve"> </w:t>
      </w:r>
      <w:r w:rsidRPr="003A177D">
        <w:rPr>
          <w:rFonts w:ascii="Times New Roman" w:hAnsi="Times New Roman" w:cs="Times New Roman"/>
          <w:sz w:val="24"/>
          <w:szCs w:val="24"/>
        </w:rPr>
        <w:t>had the lowest share with one percent of the total value added.</w:t>
      </w:r>
    </w:p>
    <w:p w:rsidR="003A177D" w:rsidRPr="003A177D" w:rsidRDefault="003A177D" w:rsidP="003A177D">
      <w:pPr>
        <w:bidi w:val="0"/>
        <w:jc w:val="both"/>
        <w:rPr>
          <w:rFonts w:ascii="Times New Roman" w:hAnsi="Times New Roman" w:cs="Times New Roman"/>
          <w:b/>
          <w:bCs/>
          <w:sz w:val="24"/>
          <w:szCs w:val="24"/>
        </w:rPr>
      </w:pPr>
      <w:r w:rsidRPr="003A177D">
        <w:rPr>
          <w:rFonts w:ascii="Times New Roman" w:hAnsi="Times New Roman" w:cs="Times New Roman"/>
          <w:b/>
          <w:bCs/>
          <w:sz w:val="24"/>
          <w:szCs w:val="24"/>
        </w:rPr>
        <w:t xml:space="preserve">Most Tickets were to African Countries </w:t>
      </w:r>
    </w:p>
    <w:p w:rsidR="003A177D" w:rsidRPr="003A177D" w:rsidRDefault="003A177D" w:rsidP="003A177D">
      <w:pPr>
        <w:bidi w:val="0"/>
        <w:jc w:val="both"/>
        <w:rPr>
          <w:rFonts w:ascii="Times New Roman" w:hAnsi="Times New Roman" w:cs="Times New Roman"/>
          <w:sz w:val="24"/>
          <w:szCs w:val="24"/>
        </w:rPr>
      </w:pPr>
      <w:r w:rsidRPr="003A177D">
        <w:rPr>
          <w:rFonts w:ascii="Times New Roman" w:hAnsi="Times New Roman" w:cs="Times New Roman"/>
          <w:sz w:val="24"/>
          <w:szCs w:val="24"/>
        </w:rPr>
        <w:t>Around 297 thousand travel tickets were sold in 2011:  36% for travel to African countries, 33% to Arab countries, 29% to Europe and 2% to the rest of the world.</w:t>
      </w:r>
    </w:p>
    <w:p w:rsidR="003A177D" w:rsidRPr="003A177D" w:rsidRDefault="003A177D" w:rsidP="003A177D">
      <w:pPr>
        <w:shd w:val="clear" w:color="auto" w:fill="FFFFFF" w:themeFill="background1"/>
        <w:bidi w:val="0"/>
        <w:spacing w:after="0"/>
        <w:rPr>
          <w:rFonts w:asciiTheme="majorBidi" w:hAnsiTheme="majorBidi" w:cstheme="majorBidi"/>
          <w:b/>
          <w:bCs/>
        </w:rPr>
      </w:pPr>
      <w:r w:rsidRPr="003A177D">
        <w:rPr>
          <w:rFonts w:asciiTheme="majorBidi" w:hAnsiTheme="majorBidi" w:cstheme="majorBidi"/>
          <w:b/>
          <w:bCs/>
        </w:rPr>
        <w:t>For more information, contact us on:</w:t>
      </w:r>
    </w:p>
    <w:p w:rsidR="003A177D" w:rsidRPr="003A177D" w:rsidRDefault="003A177D" w:rsidP="003A177D">
      <w:pPr>
        <w:shd w:val="clear" w:color="auto" w:fill="FFFFFF" w:themeFill="background1"/>
        <w:bidi w:val="0"/>
        <w:spacing w:after="0"/>
        <w:rPr>
          <w:rFonts w:asciiTheme="majorBidi" w:hAnsiTheme="majorBidi" w:cstheme="majorBidi"/>
          <w:b/>
          <w:bCs/>
        </w:rPr>
      </w:pPr>
      <w:r w:rsidRPr="003A177D">
        <w:rPr>
          <w:rFonts w:asciiTheme="majorBidi" w:hAnsiTheme="majorBidi" w:cstheme="majorBidi"/>
          <w:b/>
          <w:bCs/>
        </w:rPr>
        <w:t>Palestinian Central Bureau of Statistics</w:t>
      </w:r>
    </w:p>
    <w:p w:rsidR="003A177D" w:rsidRPr="003A177D" w:rsidRDefault="003A177D" w:rsidP="003A177D">
      <w:pPr>
        <w:shd w:val="clear" w:color="auto" w:fill="FFFFFF" w:themeFill="background1"/>
        <w:bidi w:val="0"/>
        <w:spacing w:after="0"/>
        <w:rPr>
          <w:rFonts w:asciiTheme="majorBidi" w:hAnsiTheme="majorBidi" w:cstheme="majorBidi"/>
          <w:b/>
          <w:bCs/>
        </w:rPr>
      </w:pPr>
      <w:proofErr w:type="spellStart"/>
      <w:r w:rsidRPr="003A177D">
        <w:rPr>
          <w:rFonts w:asciiTheme="majorBidi" w:hAnsiTheme="majorBidi" w:cstheme="majorBidi"/>
          <w:b/>
          <w:bCs/>
        </w:rPr>
        <w:t>P.O.Box</w:t>
      </w:r>
      <w:proofErr w:type="spellEnd"/>
      <w:r w:rsidRPr="003A177D">
        <w:rPr>
          <w:rFonts w:asciiTheme="majorBidi" w:hAnsiTheme="majorBidi" w:cstheme="majorBidi"/>
          <w:b/>
          <w:bCs/>
        </w:rPr>
        <w:t xml:space="preserve"> 1647 Ramallah, Palestine.</w:t>
      </w:r>
    </w:p>
    <w:p w:rsidR="003A177D" w:rsidRPr="003A177D" w:rsidRDefault="003A177D" w:rsidP="003A177D">
      <w:pPr>
        <w:shd w:val="clear" w:color="auto" w:fill="FFFFFF" w:themeFill="background1"/>
        <w:bidi w:val="0"/>
        <w:spacing w:after="0"/>
        <w:rPr>
          <w:rFonts w:asciiTheme="majorBidi" w:hAnsiTheme="majorBidi" w:cstheme="majorBidi"/>
        </w:rPr>
      </w:pPr>
      <w:r w:rsidRPr="003A177D">
        <w:rPr>
          <w:rFonts w:asciiTheme="majorBidi" w:hAnsiTheme="majorBidi" w:cstheme="majorBidi"/>
        </w:rPr>
        <w:t xml:space="preserve">Tel: (972/970) </w:t>
      </w:r>
      <w:r w:rsidRPr="003A177D">
        <w:rPr>
          <w:rFonts w:asciiTheme="majorBidi" w:hAnsiTheme="majorBidi" w:cstheme="majorBidi"/>
          <w:rtl/>
          <w:lang w:val="en-GB"/>
        </w:rPr>
        <w:t xml:space="preserve">2 </w:t>
      </w:r>
      <w:proofErr w:type="spellStart"/>
      <w:r w:rsidRPr="003A177D">
        <w:rPr>
          <w:rFonts w:asciiTheme="majorBidi" w:hAnsiTheme="majorBidi" w:cstheme="majorBidi"/>
          <w:rtl/>
          <w:lang w:val="en-GB"/>
        </w:rPr>
        <w:t>2</w:t>
      </w:r>
      <w:proofErr w:type="spellEnd"/>
      <w:r w:rsidRPr="003A177D">
        <w:rPr>
          <w:rFonts w:asciiTheme="majorBidi" w:hAnsiTheme="majorBidi" w:cstheme="majorBidi"/>
        </w:rPr>
        <w:t>98 2700</w:t>
      </w:r>
    </w:p>
    <w:p w:rsidR="003A177D" w:rsidRPr="003A177D" w:rsidRDefault="003A177D" w:rsidP="003A177D">
      <w:pPr>
        <w:shd w:val="clear" w:color="auto" w:fill="FFFFFF" w:themeFill="background1"/>
        <w:bidi w:val="0"/>
        <w:spacing w:after="0"/>
        <w:rPr>
          <w:rFonts w:asciiTheme="majorBidi" w:hAnsiTheme="majorBidi" w:cstheme="majorBidi"/>
        </w:rPr>
      </w:pPr>
      <w:r w:rsidRPr="003A177D">
        <w:rPr>
          <w:rFonts w:asciiTheme="majorBidi" w:hAnsiTheme="majorBidi" w:cstheme="majorBidi"/>
        </w:rPr>
        <w:t>Fax: (972/970) 2 298 2710</w:t>
      </w:r>
    </w:p>
    <w:p w:rsidR="003A177D" w:rsidRPr="003A177D" w:rsidRDefault="003A177D" w:rsidP="003A177D">
      <w:pPr>
        <w:shd w:val="clear" w:color="auto" w:fill="FFFFFF" w:themeFill="background1"/>
        <w:bidi w:val="0"/>
        <w:spacing w:after="0"/>
        <w:rPr>
          <w:rFonts w:asciiTheme="majorBidi" w:hAnsiTheme="majorBidi" w:cstheme="majorBidi"/>
        </w:rPr>
      </w:pPr>
      <w:r w:rsidRPr="003A177D">
        <w:rPr>
          <w:rFonts w:asciiTheme="majorBidi" w:hAnsiTheme="majorBidi" w:cstheme="majorBidi"/>
        </w:rPr>
        <w:t>Toll Free: 1800300300</w:t>
      </w:r>
    </w:p>
    <w:p w:rsidR="003A177D" w:rsidRPr="003A177D" w:rsidRDefault="003A177D" w:rsidP="003A177D">
      <w:pPr>
        <w:shd w:val="clear" w:color="auto" w:fill="FFFFFF" w:themeFill="background1"/>
        <w:bidi w:val="0"/>
        <w:spacing w:after="0"/>
        <w:rPr>
          <w:rFonts w:asciiTheme="majorBidi" w:hAnsiTheme="majorBidi" w:cstheme="majorBidi"/>
        </w:rPr>
      </w:pPr>
      <w:r w:rsidRPr="003A177D">
        <w:rPr>
          <w:rFonts w:asciiTheme="majorBidi" w:hAnsiTheme="majorBidi" w:cstheme="majorBidi"/>
        </w:rPr>
        <w:t xml:space="preserve">E-Mail: </w:t>
      </w:r>
      <w:hyperlink r:id="rId8" w:history="1">
        <w:r w:rsidRPr="003A177D">
          <w:rPr>
            <w:rStyle w:val="Hyperlink"/>
            <w:rFonts w:asciiTheme="majorBidi" w:hAnsiTheme="majorBidi" w:cstheme="majorBidi"/>
            <w:color w:val="auto"/>
          </w:rPr>
          <w:t>diwan@pcbs.gov.ps</w:t>
        </w:r>
      </w:hyperlink>
    </w:p>
    <w:p w:rsidR="003A177D" w:rsidRPr="003A177D" w:rsidRDefault="003A177D" w:rsidP="003A177D">
      <w:pPr>
        <w:shd w:val="clear" w:color="auto" w:fill="FFFFFF" w:themeFill="background1"/>
        <w:bidi w:val="0"/>
        <w:spacing w:after="0"/>
      </w:pPr>
      <w:r w:rsidRPr="003A177D">
        <w:rPr>
          <w:rFonts w:asciiTheme="majorBidi" w:hAnsiTheme="majorBidi" w:cstheme="majorBidi"/>
        </w:rPr>
        <w:t xml:space="preserve">Website:  </w:t>
      </w:r>
      <w:hyperlink r:id="rId9" w:history="1">
        <w:r w:rsidRPr="003A177D">
          <w:rPr>
            <w:rStyle w:val="Hyperlink"/>
            <w:rFonts w:asciiTheme="majorBidi" w:hAnsiTheme="majorBidi" w:cstheme="majorBidi"/>
            <w:color w:val="auto"/>
          </w:rPr>
          <w:t>http://www.pcbs.gov.ps</w:t>
        </w:r>
      </w:hyperlink>
    </w:p>
    <w:p w:rsidR="0082630D" w:rsidRPr="003A177D" w:rsidRDefault="0082630D" w:rsidP="007E6967">
      <w:pPr>
        <w:shd w:val="clear" w:color="auto" w:fill="FFFFFF" w:themeFill="background1"/>
        <w:bidi w:val="0"/>
        <w:spacing w:after="0"/>
      </w:pPr>
    </w:p>
    <w:p w:rsidR="00685687" w:rsidRPr="003A177D" w:rsidRDefault="00685687" w:rsidP="007E6967">
      <w:pPr>
        <w:shd w:val="clear" w:color="auto" w:fill="FFFFFF" w:themeFill="background1"/>
        <w:bidi w:val="0"/>
        <w:rPr>
          <w:rFonts w:asciiTheme="majorBidi" w:hAnsiTheme="majorBidi" w:cstheme="majorBidi"/>
          <w:b/>
          <w:bCs/>
        </w:rPr>
        <w:sectPr w:rsidR="00685687" w:rsidRPr="003A177D" w:rsidSect="00B66943">
          <w:headerReference w:type="default" r:id="rId10"/>
          <w:pgSz w:w="12240" w:h="15840" w:code="1"/>
          <w:pgMar w:top="851" w:right="851" w:bottom="1134" w:left="851" w:header="709" w:footer="709" w:gutter="0"/>
          <w:cols w:num="2" w:space="518"/>
          <w:rtlGutter/>
          <w:docGrid w:linePitch="360"/>
        </w:sectPr>
      </w:pPr>
    </w:p>
    <w:p w:rsidR="0082630D" w:rsidRPr="003A177D" w:rsidRDefault="0082630D" w:rsidP="00F850AB">
      <w:pPr>
        <w:shd w:val="clear" w:color="auto" w:fill="FFFFFF" w:themeFill="background1"/>
        <w:bidi w:val="0"/>
        <w:spacing w:after="0"/>
      </w:pPr>
    </w:p>
    <w:sectPr w:rsidR="0082630D" w:rsidRPr="003A177D" w:rsidSect="00B66943">
      <w:pgSz w:w="12240" w:h="15840" w:code="1"/>
      <w:pgMar w:top="851" w:right="851" w:bottom="851" w:left="85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B48" w:rsidRDefault="001B1B48" w:rsidP="007D504A">
      <w:pPr>
        <w:spacing w:after="0" w:line="240" w:lineRule="auto"/>
      </w:pPr>
      <w:r>
        <w:separator/>
      </w:r>
    </w:p>
  </w:endnote>
  <w:endnote w:type="continuationSeparator" w:id="0">
    <w:p w:rsidR="001B1B48" w:rsidRDefault="001B1B48" w:rsidP="007D5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B48" w:rsidRDefault="001B1B48" w:rsidP="007D504A">
      <w:pPr>
        <w:spacing w:after="0" w:line="240" w:lineRule="auto"/>
      </w:pPr>
      <w:r>
        <w:separator/>
      </w:r>
    </w:p>
  </w:footnote>
  <w:footnote w:type="continuationSeparator" w:id="0">
    <w:p w:rsidR="001B1B48" w:rsidRDefault="001B1B48" w:rsidP="007D5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10490" w:type="dxa"/>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4418"/>
      <w:gridCol w:w="1737"/>
      <w:gridCol w:w="4335"/>
    </w:tblGrid>
    <w:tr w:rsidR="001B1B48" w:rsidRPr="00D53668" w:rsidTr="00D53668">
      <w:trPr>
        <w:jc w:val="center"/>
      </w:trPr>
      <w:tc>
        <w:tcPr>
          <w:tcW w:w="4418" w:type="dxa"/>
          <w:vAlign w:val="center"/>
        </w:tcPr>
        <w:p w:rsidR="001B1B48" w:rsidRPr="00D53668" w:rsidRDefault="001B1B48" w:rsidP="00F833F5">
          <w:pPr>
            <w:pStyle w:val="Header"/>
            <w:rPr>
              <w:rFonts w:asciiTheme="majorBidi" w:hAnsiTheme="majorBidi" w:cstheme="majorBidi"/>
              <w:b/>
              <w:bCs/>
              <w:rtl/>
            </w:rPr>
          </w:pPr>
          <w:r>
            <w:rPr>
              <w:rFonts w:asciiTheme="majorBidi" w:hAnsiTheme="majorBidi" w:cstheme="majorBidi"/>
              <w:b/>
              <w:bCs/>
            </w:rPr>
            <w:t>Issued on: 27/09/2013</w:t>
          </w:r>
        </w:p>
      </w:tc>
      <w:tc>
        <w:tcPr>
          <w:tcW w:w="1737" w:type="dxa"/>
        </w:tcPr>
        <w:p w:rsidR="001B1B48" w:rsidRPr="00D53668" w:rsidRDefault="001B1B48" w:rsidP="007D504A">
          <w:pPr>
            <w:pStyle w:val="Header"/>
            <w:jc w:val="center"/>
            <w:rPr>
              <w:rFonts w:asciiTheme="majorBidi" w:hAnsiTheme="majorBidi" w:cstheme="majorBidi"/>
              <w:rtl/>
            </w:rPr>
          </w:pPr>
          <w:r w:rsidRPr="00D53668">
            <w:rPr>
              <w:rFonts w:asciiTheme="majorBidi" w:hAnsiTheme="majorBidi" w:cstheme="majorBidi"/>
              <w:noProof/>
              <w:rtl/>
            </w:rPr>
            <w:drawing>
              <wp:inline distT="0" distB="0" distL="0" distR="0">
                <wp:extent cx="5429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2925" cy="561975"/>
                        </a:xfrm>
                        <a:prstGeom prst="rect">
                          <a:avLst/>
                        </a:prstGeom>
                        <a:noFill/>
                        <a:ln w="9525">
                          <a:noFill/>
                          <a:miter lim="800000"/>
                          <a:headEnd/>
                          <a:tailEnd/>
                        </a:ln>
                      </pic:spPr>
                    </pic:pic>
                  </a:graphicData>
                </a:graphic>
              </wp:inline>
            </w:drawing>
          </w:r>
        </w:p>
      </w:tc>
      <w:tc>
        <w:tcPr>
          <w:tcW w:w="4335" w:type="dxa"/>
          <w:vAlign w:val="center"/>
        </w:tcPr>
        <w:p w:rsidR="001B1B48" w:rsidRPr="00D53668" w:rsidRDefault="001B1B48" w:rsidP="007D504A">
          <w:pPr>
            <w:pStyle w:val="Header"/>
            <w:jc w:val="center"/>
            <w:rPr>
              <w:rFonts w:asciiTheme="majorBidi" w:hAnsiTheme="majorBidi" w:cstheme="majorBidi"/>
              <w:b/>
              <w:bCs/>
              <w:sz w:val="28"/>
              <w:szCs w:val="28"/>
            </w:rPr>
          </w:pPr>
          <w:r w:rsidRPr="00D53668">
            <w:rPr>
              <w:rFonts w:asciiTheme="majorBidi" w:hAnsiTheme="majorBidi" w:cstheme="majorBidi"/>
              <w:b/>
              <w:bCs/>
              <w:sz w:val="28"/>
              <w:szCs w:val="28"/>
            </w:rPr>
            <w:t>Palestine</w:t>
          </w:r>
        </w:p>
        <w:p w:rsidR="001B1B48" w:rsidRPr="00D53668" w:rsidRDefault="001B1B48" w:rsidP="007D504A">
          <w:pPr>
            <w:pStyle w:val="Header"/>
            <w:jc w:val="center"/>
            <w:rPr>
              <w:rFonts w:asciiTheme="majorBidi" w:hAnsiTheme="majorBidi" w:cstheme="majorBidi"/>
              <w:sz w:val="24"/>
              <w:szCs w:val="24"/>
              <w:rtl/>
            </w:rPr>
          </w:pPr>
          <w:r w:rsidRPr="00D53668">
            <w:rPr>
              <w:rFonts w:asciiTheme="majorBidi" w:hAnsiTheme="majorBidi" w:cstheme="majorBidi"/>
              <w:b/>
              <w:bCs/>
              <w:sz w:val="24"/>
              <w:szCs w:val="24"/>
            </w:rPr>
            <w:t>Palestinian Central Bureau of Statistics</w:t>
          </w:r>
        </w:p>
      </w:tc>
    </w:tr>
  </w:tbl>
  <w:p w:rsidR="001B1B48" w:rsidRPr="00D53668" w:rsidRDefault="001B1B48" w:rsidP="007D50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25953"/>
  </w:hdrShapeDefaults>
  <w:footnotePr>
    <w:footnote w:id="-1"/>
    <w:footnote w:id="0"/>
  </w:footnotePr>
  <w:endnotePr>
    <w:endnote w:id="-1"/>
    <w:endnote w:id="0"/>
  </w:endnotePr>
  <w:compat/>
  <w:rsids>
    <w:rsidRoot w:val="007D504A"/>
    <w:rsid w:val="000058D3"/>
    <w:rsid w:val="000125A8"/>
    <w:rsid w:val="000177C1"/>
    <w:rsid w:val="00024A8F"/>
    <w:rsid w:val="00026660"/>
    <w:rsid w:val="00027BFC"/>
    <w:rsid w:val="000307CD"/>
    <w:rsid w:val="00031700"/>
    <w:rsid w:val="00034BD7"/>
    <w:rsid w:val="00037C9C"/>
    <w:rsid w:val="00042769"/>
    <w:rsid w:val="00047FCD"/>
    <w:rsid w:val="000647E3"/>
    <w:rsid w:val="00071DE0"/>
    <w:rsid w:val="00076578"/>
    <w:rsid w:val="00082CA9"/>
    <w:rsid w:val="00085310"/>
    <w:rsid w:val="0009311B"/>
    <w:rsid w:val="000A041B"/>
    <w:rsid w:val="000A3A64"/>
    <w:rsid w:val="000A6DBA"/>
    <w:rsid w:val="000B6C1D"/>
    <w:rsid w:val="000D3E3F"/>
    <w:rsid w:val="000E6D4B"/>
    <w:rsid w:val="00121362"/>
    <w:rsid w:val="00134739"/>
    <w:rsid w:val="00144FEF"/>
    <w:rsid w:val="001520E6"/>
    <w:rsid w:val="00153468"/>
    <w:rsid w:val="00155AD4"/>
    <w:rsid w:val="001704E8"/>
    <w:rsid w:val="00177FDB"/>
    <w:rsid w:val="001A7319"/>
    <w:rsid w:val="001B1B48"/>
    <w:rsid w:val="001C5051"/>
    <w:rsid w:val="001D5BF2"/>
    <w:rsid w:val="001E2898"/>
    <w:rsid w:val="001F2D87"/>
    <w:rsid w:val="001F7F21"/>
    <w:rsid w:val="00234800"/>
    <w:rsid w:val="00234FAB"/>
    <w:rsid w:val="002351B7"/>
    <w:rsid w:val="00236FC4"/>
    <w:rsid w:val="00242589"/>
    <w:rsid w:val="002475D3"/>
    <w:rsid w:val="00254C55"/>
    <w:rsid w:val="0025770A"/>
    <w:rsid w:val="00261D81"/>
    <w:rsid w:val="00264E45"/>
    <w:rsid w:val="0027695F"/>
    <w:rsid w:val="00277988"/>
    <w:rsid w:val="00296778"/>
    <w:rsid w:val="00297CE2"/>
    <w:rsid w:val="002A484E"/>
    <w:rsid w:val="002B1559"/>
    <w:rsid w:val="002B3191"/>
    <w:rsid w:val="002C728E"/>
    <w:rsid w:val="002E2CB9"/>
    <w:rsid w:val="002E74F0"/>
    <w:rsid w:val="002F3212"/>
    <w:rsid w:val="00304863"/>
    <w:rsid w:val="003165B0"/>
    <w:rsid w:val="003532C9"/>
    <w:rsid w:val="0035665A"/>
    <w:rsid w:val="00356EEF"/>
    <w:rsid w:val="00357180"/>
    <w:rsid w:val="00357EE3"/>
    <w:rsid w:val="00364964"/>
    <w:rsid w:val="00370144"/>
    <w:rsid w:val="003708C4"/>
    <w:rsid w:val="003757D7"/>
    <w:rsid w:val="0039268A"/>
    <w:rsid w:val="003A177D"/>
    <w:rsid w:val="003A272B"/>
    <w:rsid w:val="003A3A0C"/>
    <w:rsid w:val="003A768C"/>
    <w:rsid w:val="003D4B51"/>
    <w:rsid w:val="003D5293"/>
    <w:rsid w:val="003D652B"/>
    <w:rsid w:val="003E1646"/>
    <w:rsid w:val="003E402D"/>
    <w:rsid w:val="003E5C95"/>
    <w:rsid w:val="003E5D82"/>
    <w:rsid w:val="003E72BF"/>
    <w:rsid w:val="003F02F5"/>
    <w:rsid w:val="003F095F"/>
    <w:rsid w:val="003F2D60"/>
    <w:rsid w:val="00401004"/>
    <w:rsid w:val="00405D25"/>
    <w:rsid w:val="0044431E"/>
    <w:rsid w:val="00454667"/>
    <w:rsid w:val="00454EC2"/>
    <w:rsid w:val="00484684"/>
    <w:rsid w:val="00485168"/>
    <w:rsid w:val="004B4606"/>
    <w:rsid w:val="004B4BA2"/>
    <w:rsid w:val="004B603C"/>
    <w:rsid w:val="004C0EB0"/>
    <w:rsid w:val="004C197F"/>
    <w:rsid w:val="004C19FA"/>
    <w:rsid w:val="004C49B4"/>
    <w:rsid w:val="004D65D1"/>
    <w:rsid w:val="004E187A"/>
    <w:rsid w:val="004E24B3"/>
    <w:rsid w:val="004F3F91"/>
    <w:rsid w:val="0050084C"/>
    <w:rsid w:val="005012D2"/>
    <w:rsid w:val="005037A1"/>
    <w:rsid w:val="00503E13"/>
    <w:rsid w:val="0051225F"/>
    <w:rsid w:val="0051709E"/>
    <w:rsid w:val="0052746A"/>
    <w:rsid w:val="00527C08"/>
    <w:rsid w:val="005400CC"/>
    <w:rsid w:val="00553C09"/>
    <w:rsid w:val="005556B3"/>
    <w:rsid w:val="00556994"/>
    <w:rsid w:val="00557DE7"/>
    <w:rsid w:val="0056371B"/>
    <w:rsid w:val="00581C59"/>
    <w:rsid w:val="00583187"/>
    <w:rsid w:val="005945B0"/>
    <w:rsid w:val="00597DA4"/>
    <w:rsid w:val="005A06AB"/>
    <w:rsid w:val="005A0CA2"/>
    <w:rsid w:val="005A2C51"/>
    <w:rsid w:val="005A4D19"/>
    <w:rsid w:val="005A64FD"/>
    <w:rsid w:val="005B1A3A"/>
    <w:rsid w:val="005B2F72"/>
    <w:rsid w:val="005B4BAF"/>
    <w:rsid w:val="005C11FA"/>
    <w:rsid w:val="005C26A0"/>
    <w:rsid w:val="005D5247"/>
    <w:rsid w:val="005E4706"/>
    <w:rsid w:val="005F16EA"/>
    <w:rsid w:val="00620BEE"/>
    <w:rsid w:val="00641E24"/>
    <w:rsid w:val="00661879"/>
    <w:rsid w:val="006758E0"/>
    <w:rsid w:val="0067705E"/>
    <w:rsid w:val="00681E13"/>
    <w:rsid w:val="00685611"/>
    <w:rsid w:val="00685687"/>
    <w:rsid w:val="006923A4"/>
    <w:rsid w:val="006927A4"/>
    <w:rsid w:val="00692C7E"/>
    <w:rsid w:val="00696CDD"/>
    <w:rsid w:val="006A38EB"/>
    <w:rsid w:val="006B3393"/>
    <w:rsid w:val="006B54B8"/>
    <w:rsid w:val="006C3851"/>
    <w:rsid w:val="006C7FE3"/>
    <w:rsid w:val="006E4625"/>
    <w:rsid w:val="006F7E00"/>
    <w:rsid w:val="0070136B"/>
    <w:rsid w:val="00702B2A"/>
    <w:rsid w:val="00704E6E"/>
    <w:rsid w:val="00706B1A"/>
    <w:rsid w:val="00710350"/>
    <w:rsid w:val="007134F8"/>
    <w:rsid w:val="0073289E"/>
    <w:rsid w:val="007417C0"/>
    <w:rsid w:val="0076562A"/>
    <w:rsid w:val="007709C4"/>
    <w:rsid w:val="0078187E"/>
    <w:rsid w:val="00783FCD"/>
    <w:rsid w:val="007922EE"/>
    <w:rsid w:val="0079421B"/>
    <w:rsid w:val="007D504A"/>
    <w:rsid w:val="007E02CC"/>
    <w:rsid w:val="007E6967"/>
    <w:rsid w:val="007E6A37"/>
    <w:rsid w:val="007F3BE0"/>
    <w:rsid w:val="007F5CE1"/>
    <w:rsid w:val="007F6A08"/>
    <w:rsid w:val="00801124"/>
    <w:rsid w:val="00803957"/>
    <w:rsid w:val="00815883"/>
    <w:rsid w:val="00815C1A"/>
    <w:rsid w:val="0081785B"/>
    <w:rsid w:val="00820BE5"/>
    <w:rsid w:val="008253C9"/>
    <w:rsid w:val="00825583"/>
    <w:rsid w:val="0082630D"/>
    <w:rsid w:val="00830D11"/>
    <w:rsid w:val="00833729"/>
    <w:rsid w:val="00843B41"/>
    <w:rsid w:val="008454C2"/>
    <w:rsid w:val="008460C6"/>
    <w:rsid w:val="00852D83"/>
    <w:rsid w:val="00855D0E"/>
    <w:rsid w:val="00865204"/>
    <w:rsid w:val="008652C4"/>
    <w:rsid w:val="0086544A"/>
    <w:rsid w:val="008707A5"/>
    <w:rsid w:val="00877E76"/>
    <w:rsid w:val="00883218"/>
    <w:rsid w:val="00884D25"/>
    <w:rsid w:val="00890D20"/>
    <w:rsid w:val="008922F0"/>
    <w:rsid w:val="0089345B"/>
    <w:rsid w:val="008A0DE6"/>
    <w:rsid w:val="008A682C"/>
    <w:rsid w:val="008B1A52"/>
    <w:rsid w:val="008B7693"/>
    <w:rsid w:val="008C476C"/>
    <w:rsid w:val="008E4B39"/>
    <w:rsid w:val="008F2C93"/>
    <w:rsid w:val="0091252D"/>
    <w:rsid w:val="00913491"/>
    <w:rsid w:val="00915767"/>
    <w:rsid w:val="00915948"/>
    <w:rsid w:val="00923424"/>
    <w:rsid w:val="0092544E"/>
    <w:rsid w:val="00926A5C"/>
    <w:rsid w:val="00927CB6"/>
    <w:rsid w:val="0093179E"/>
    <w:rsid w:val="00943045"/>
    <w:rsid w:val="00956F56"/>
    <w:rsid w:val="00973716"/>
    <w:rsid w:val="009737DD"/>
    <w:rsid w:val="00974CB8"/>
    <w:rsid w:val="00977C51"/>
    <w:rsid w:val="00990647"/>
    <w:rsid w:val="009954C8"/>
    <w:rsid w:val="009C57CC"/>
    <w:rsid w:val="009D18A4"/>
    <w:rsid w:val="009D30D9"/>
    <w:rsid w:val="009D38FF"/>
    <w:rsid w:val="00A11783"/>
    <w:rsid w:val="00A15A20"/>
    <w:rsid w:val="00A172FF"/>
    <w:rsid w:val="00A514AA"/>
    <w:rsid w:val="00A738F9"/>
    <w:rsid w:val="00A90EB9"/>
    <w:rsid w:val="00A92D08"/>
    <w:rsid w:val="00AA3607"/>
    <w:rsid w:val="00AB2384"/>
    <w:rsid w:val="00AB26F8"/>
    <w:rsid w:val="00AC76A4"/>
    <w:rsid w:val="00AD3072"/>
    <w:rsid w:val="00AF284B"/>
    <w:rsid w:val="00AF371C"/>
    <w:rsid w:val="00B1159B"/>
    <w:rsid w:val="00B13008"/>
    <w:rsid w:val="00B16FEC"/>
    <w:rsid w:val="00B357A6"/>
    <w:rsid w:val="00B37D5F"/>
    <w:rsid w:val="00B449F2"/>
    <w:rsid w:val="00B463E8"/>
    <w:rsid w:val="00B50A8E"/>
    <w:rsid w:val="00B519B5"/>
    <w:rsid w:val="00B60EEE"/>
    <w:rsid w:val="00B617DE"/>
    <w:rsid w:val="00B66943"/>
    <w:rsid w:val="00B75F94"/>
    <w:rsid w:val="00B839C7"/>
    <w:rsid w:val="00BC1E90"/>
    <w:rsid w:val="00BD77EB"/>
    <w:rsid w:val="00BF407A"/>
    <w:rsid w:val="00C13B76"/>
    <w:rsid w:val="00C15B1A"/>
    <w:rsid w:val="00C42614"/>
    <w:rsid w:val="00C541FB"/>
    <w:rsid w:val="00C604CD"/>
    <w:rsid w:val="00C60BA1"/>
    <w:rsid w:val="00C6298A"/>
    <w:rsid w:val="00C65D2C"/>
    <w:rsid w:val="00C673B6"/>
    <w:rsid w:val="00C91173"/>
    <w:rsid w:val="00CA0CF7"/>
    <w:rsid w:val="00CA50C4"/>
    <w:rsid w:val="00CA64F6"/>
    <w:rsid w:val="00CB1FE4"/>
    <w:rsid w:val="00CB7973"/>
    <w:rsid w:val="00CC7328"/>
    <w:rsid w:val="00CF4426"/>
    <w:rsid w:val="00CF4D04"/>
    <w:rsid w:val="00CF51B1"/>
    <w:rsid w:val="00CF57E0"/>
    <w:rsid w:val="00CF7A9C"/>
    <w:rsid w:val="00D034A3"/>
    <w:rsid w:val="00D03519"/>
    <w:rsid w:val="00D04333"/>
    <w:rsid w:val="00D23847"/>
    <w:rsid w:val="00D34ADB"/>
    <w:rsid w:val="00D44185"/>
    <w:rsid w:val="00D53668"/>
    <w:rsid w:val="00D56422"/>
    <w:rsid w:val="00D66B1C"/>
    <w:rsid w:val="00D66FB9"/>
    <w:rsid w:val="00D836F7"/>
    <w:rsid w:val="00D97417"/>
    <w:rsid w:val="00DB165D"/>
    <w:rsid w:val="00DB35C1"/>
    <w:rsid w:val="00DB36F2"/>
    <w:rsid w:val="00DB4943"/>
    <w:rsid w:val="00DB7BAE"/>
    <w:rsid w:val="00DE3A19"/>
    <w:rsid w:val="00DE4E72"/>
    <w:rsid w:val="00DE7002"/>
    <w:rsid w:val="00DF6EDF"/>
    <w:rsid w:val="00E07AE2"/>
    <w:rsid w:val="00E10187"/>
    <w:rsid w:val="00E139EC"/>
    <w:rsid w:val="00E170CE"/>
    <w:rsid w:val="00E2131E"/>
    <w:rsid w:val="00E30411"/>
    <w:rsid w:val="00E30D6E"/>
    <w:rsid w:val="00E42DDA"/>
    <w:rsid w:val="00E524F3"/>
    <w:rsid w:val="00E53417"/>
    <w:rsid w:val="00E55F2D"/>
    <w:rsid w:val="00E62B92"/>
    <w:rsid w:val="00E81ABD"/>
    <w:rsid w:val="00E84C2D"/>
    <w:rsid w:val="00E90E78"/>
    <w:rsid w:val="00E94AED"/>
    <w:rsid w:val="00EA794F"/>
    <w:rsid w:val="00EB2251"/>
    <w:rsid w:val="00EB3BE3"/>
    <w:rsid w:val="00EC41F8"/>
    <w:rsid w:val="00F11647"/>
    <w:rsid w:val="00F12A4D"/>
    <w:rsid w:val="00F313FB"/>
    <w:rsid w:val="00F33EF4"/>
    <w:rsid w:val="00F34235"/>
    <w:rsid w:val="00F72224"/>
    <w:rsid w:val="00F74D8D"/>
    <w:rsid w:val="00F833F5"/>
    <w:rsid w:val="00F850AB"/>
    <w:rsid w:val="00F87336"/>
    <w:rsid w:val="00FA1BF9"/>
    <w:rsid w:val="00FB2757"/>
    <w:rsid w:val="00FC13B8"/>
    <w:rsid w:val="00FC30BA"/>
    <w:rsid w:val="00FC50D8"/>
    <w:rsid w:val="00FC5969"/>
    <w:rsid w:val="00FC7138"/>
    <w:rsid w:val="00FC7399"/>
    <w:rsid w:val="00FD3AF4"/>
    <w:rsid w:val="00FD69E8"/>
    <w:rsid w:val="00FF4894"/>
    <w:rsid w:val="00FF5B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39"/>
    <w:pPr>
      <w:bidi/>
    </w:pPr>
  </w:style>
  <w:style w:type="paragraph" w:styleId="Heading2">
    <w:name w:val="heading 2"/>
    <w:basedOn w:val="Normal"/>
    <w:next w:val="Normal"/>
    <w:link w:val="Heading2Char"/>
    <w:uiPriority w:val="9"/>
    <w:semiHidden/>
    <w:unhideWhenUsed/>
    <w:qFormat/>
    <w:rsid w:val="00AD30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84D25"/>
    <w:pPr>
      <w:keepNext/>
      <w:spacing w:after="0" w:line="240" w:lineRule="auto"/>
      <w:jc w:val="center"/>
      <w:outlineLvl w:val="4"/>
    </w:pPr>
    <w:rPr>
      <w:rFonts w:ascii="Arial" w:eastAsia="Times New Roman" w:hAnsi="Arial" w:cs="Simplified Arabic"/>
      <w:b/>
      <w:bCs/>
      <w:sz w:val="18"/>
      <w:szCs w:val="18"/>
      <w:lang w:eastAsia="ar-SA"/>
    </w:rPr>
  </w:style>
  <w:style w:type="paragraph" w:styleId="Heading8">
    <w:name w:val="heading 8"/>
    <w:basedOn w:val="Normal"/>
    <w:next w:val="Normal"/>
    <w:link w:val="Heading8Char"/>
    <w:uiPriority w:val="9"/>
    <w:semiHidden/>
    <w:unhideWhenUsed/>
    <w:qFormat/>
    <w:rsid w:val="00884D2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52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0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504A"/>
  </w:style>
  <w:style w:type="paragraph" w:styleId="Footer">
    <w:name w:val="footer"/>
    <w:basedOn w:val="Normal"/>
    <w:link w:val="FooterChar"/>
    <w:uiPriority w:val="99"/>
    <w:semiHidden/>
    <w:unhideWhenUsed/>
    <w:rsid w:val="007D504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D504A"/>
  </w:style>
  <w:style w:type="paragraph" w:styleId="BalloonText">
    <w:name w:val="Balloon Text"/>
    <w:basedOn w:val="Normal"/>
    <w:link w:val="BalloonTextChar"/>
    <w:uiPriority w:val="99"/>
    <w:semiHidden/>
    <w:unhideWhenUsed/>
    <w:rsid w:val="007D5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4A"/>
    <w:rPr>
      <w:rFonts w:ascii="Tahoma" w:hAnsi="Tahoma" w:cs="Tahoma"/>
      <w:sz w:val="16"/>
      <w:szCs w:val="16"/>
    </w:rPr>
  </w:style>
  <w:style w:type="table" w:styleId="TableGrid">
    <w:name w:val="Table Grid"/>
    <w:basedOn w:val="TableNormal"/>
    <w:uiPriority w:val="59"/>
    <w:rsid w:val="007D5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7D504A"/>
  </w:style>
  <w:style w:type="character" w:customStyle="1" w:styleId="Heading5Char">
    <w:name w:val="Heading 5 Char"/>
    <w:basedOn w:val="DefaultParagraphFont"/>
    <w:link w:val="Heading5"/>
    <w:rsid w:val="00884D25"/>
    <w:rPr>
      <w:rFonts w:ascii="Arial" w:eastAsia="Times New Roman" w:hAnsi="Arial" w:cs="Simplified Arabic"/>
      <w:b/>
      <w:bCs/>
      <w:sz w:val="18"/>
      <w:szCs w:val="18"/>
      <w:lang w:eastAsia="ar-SA"/>
    </w:rPr>
  </w:style>
  <w:style w:type="character" w:customStyle="1" w:styleId="Heading8Char">
    <w:name w:val="Heading 8 Char"/>
    <w:basedOn w:val="DefaultParagraphFont"/>
    <w:link w:val="Heading8"/>
    <w:uiPriority w:val="9"/>
    <w:semiHidden/>
    <w:rsid w:val="00884D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5247"/>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semiHidden/>
    <w:rsid w:val="003A3A0C"/>
    <w:pPr>
      <w:bidi w:val="0"/>
      <w:spacing w:after="0" w:line="240" w:lineRule="auto"/>
      <w:jc w:val="lowKashida"/>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3A3A0C"/>
    <w:rPr>
      <w:rFonts w:ascii="Times New Roman" w:eastAsia="Times New Roman" w:hAnsi="Times New Roman" w:cs="Times New Roman"/>
      <w:sz w:val="24"/>
      <w:szCs w:val="24"/>
    </w:rPr>
  </w:style>
  <w:style w:type="character" w:styleId="Hyperlink">
    <w:name w:val="Hyperlink"/>
    <w:basedOn w:val="DefaultParagraphFont"/>
    <w:semiHidden/>
    <w:rsid w:val="005A2C51"/>
    <w:rPr>
      <w:color w:val="0000FF"/>
      <w:u w:val="single"/>
    </w:rPr>
  </w:style>
  <w:style w:type="character" w:customStyle="1" w:styleId="longtext">
    <w:name w:val="long_text"/>
    <w:basedOn w:val="DefaultParagraphFont"/>
    <w:rsid w:val="005A64FD"/>
  </w:style>
  <w:style w:type="character" w:customStyle="1" w:styleId="hps">
    <w:name w:val="hps"/>
    <w:basedOn w:val="DefaultParagraphFont"/>
    <w:rsid w:val="003E5D82"/>
  </w:style>
  <w:style w:type="paragraph" w:styleId="Title">
    <w:name w:val="Title"/>
    <w:basedOn w:val="Normal"/>
    <w:link w:val="TitleChar"/>
    <w:uiPriority w:val="10"/>
    <w:qFormat/>
    <w:rsid w:val="0093179E"/>
    <w:pPr>
      <w:overflowPunct w:val="0"/>
      <w:autoSpaceDE w:val="0"/>
      <w:autoSpaceDN w:val="0"/>
      <w:bidi w:val="0"/>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93179E"/>
    <w:rPr>
      <w:rFonts w:ascii="Times New Roman" w:hAnsi="Times New Roman" w:cs="Times New Roman"/>
      <w:b/>
      <w:bCs/>
      <w:sz w:val="24"/>
      <w:szCs w:val="24"/>
    </w:rPr>
  </w:style>
  <w:style w:type="paragraph" w:styleId="BodyText2">
    <w:name w:val="Body Text 2"/>
    <w:basedOn w:val="Normal"/>
    <w:link w:val="BodyText2Char"/>
    <w:uiPriority w:val="99"/>
    <w:semiHidden/>
    <w:unhideWhenUsed/>
    <w:rsid w:val="00915948"/>
    <w:pPr>
      <w:spacing w:after="120" w:line="480" w:lineRule="auto"/>
    </w:pPr>
  </w:style>
  <w:style w:type="character" w:customStyle="1" w:styleId="BodyText2Char">
    <w:name w:val="Body Text 2 Char"/>
    <w:basedOn w:val="DefaultParagraphFont"/>
    <w:link w:val="BodyText2"/>
    <w:uiPriority w:val="99"/>
    <w:semiHidden/>
    <w:rsid w:val="00915948"/>
  </w:style>
  <w:style w:type="paragraph" w:styleId="BodyText">
    <w:name w:val="Body Text"/>
    <w:basedOn w:val="Normal"/>
    <w:link w:val="BodyTextChar"/>
    <w:uiPriority w:val="99"/>
    <w:semiHidden/>
    <w:unhideWhenUsed/>
    <w:rsid w:val="007E02CC"/>
    <w:pPr>
      <w:spacing w:after="120"/>
    </w:pPr>
  </w:style>
  <w:style w:type="character" w:customStyle="1" w:styleId="BodyTextChar">
    <w:name w:val="Body Text Char"/>
    <w:basedOn w:val="DefaultParagraphFont"/>
    <w:link w:val="BodyText"/>
    <w:uiPriority w:val="99"/>
    <w:semiHidden/>
    <w:rsid w:val="007E02CC"/>
  </w:style>
  <w:style w:type="character" w:customStyle="1" w:styleId="Heading2Char">
    <w:name w:val="Heading 2 Char"/>
    <w:basedOn w:val="DefaultParagraphFont"/>
    <w:link w:val="Heading2"/>
    <w:uiPriority w:val="9"/>
    <w:semiHidden/>
    <w:rsid w:val="00AD307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B26F8"/>
    <w:rPr>
      <w:sz w:val="16"/>
      <w:szCs w:val="16"/>
    </w:rPr>
  </w:style>
  <w:style w:type="paragraph" w:styleId="CommentText">
    <w:name w:val="annotation text"/>
    <w:basedOn w:val="Normal"/>
    <w:link w:val="CommentTextChar"/>
    <w:uiPriority w:val="99"/>
    <w:semiHidden/>
    <w:unhideWhenUsed/>
    <w:rsid w:val="00AB26F8"/>
    <w:pPr>
      <w:spacing w:line="240" w:lineRule="auto"/>
    </w:pPr>
    <w:rPr>
      <w:sz w:val="20"/>
      <w:szCs w:val="20"/>
    </w:rPr>
  </w:style>
  <w:style w:type="character" w:customStyle="1" w:styleId="CommentTextChar">
    <w:name w:val="Comment Text Char"/>
    <w:basedOn w:val="DefaultParagraphFont"/>
    <w:link w:val="CommentText"/>
    <w:uiPriority w:val="99"/>
    <w:semiHidden/>
    <w:rsid w:val="00AB26F8"/>
    <w:rPr>
      <w:sz w:val="20"/>
      <w:szCs w:val="20"/>
    </w:rPr>
  </w:style>
</w:styles>
</file>

<file path=word/webSettings.xml><?xml version="1.0" encoding="utf-8"?>
<w:webSettings xmlns:r="http://schemas.openxmlformats.org/officeDocument/2006/relationships" xmlns:w="http://schemas.openxmlformats.org/wordprocessingml/2006/main">
  <w:divs>
    <w:div w:id="43797663">
      <w:bodyDiv w:val="1"/>
      <w:marLeft w:val="0"/>
      <w:marRight w:val="0"/>
      <w:marTop w:val="0"/>
      <w:marBottom w:val="0"/>
      <w:divBdr>
        <w:top w:val="none" w:sz="0" w:space="0" w:color="auto"/>
        <w:left w:val="none" w:sz="0" w:space="0" w:color="auto"/>
        <w:bottom w:val="none" w:sz="0" w:space="0" w:color="auto"/>
        <w:right w:val="none" w:sz="0" w:space="0" w:color="auto"/>
      </w:divBdr>
      <w:divsChild>
        <w:div w:id="1876842959">
          <w:marLeft w:val="0"/>
          <w:marRight w:val="0"/>
          <w:marTop w:val="0"/>
          <w:marBottom w:val="0"/>
          <w:divBdr>
            <w:top w:val="none" w:sz="0" w:space="0" w:color="auto"/>
            <w:left w:val="none" w:sz="0" w:space="0" w:color="auto"/>
            <w:bottom w:val="none" w:sz="0" w:space="0" w:color="auto"/>
            <w:right w:val="none" w:sz="0" w:space="0" w:color="auto"/>
          </w:divBdr>
          <w:divsChild>
            <w:div w:id="1559393164">
              <w:marLeft w:val="0"/>
              <w:marRight w:val="0"/>
              <w:marTop w:val="0"/>
              <w:marBottom w:val="0"/>
              <w:divBdr>
                <w:top w:val="none" w:sz="0" w:space="0" w:color="auto"/>
                <w:left w:val="none" w:sz="0" w:space="0" w:color="auto"/>
                <w:bottom w:val="none" w:sz="0" w:space="0" w:color="auto"/>
                <w:right w:val="none" w:sz="0" w:space="0" w:color="auto"/>
              </w:divBdr>
              <w:divsChild>
                <w:div w:id="1798064512">
                  <w:marLeft w:val="0"/>
                  <w:marRight w:val="0"/>
                  <w:marTop w:val="0"/>
                  <w:marBottom w:val="0"/>
                  <w:divBdr>
                    <w:top w:val="none" w:sz="0" w:space="0" w:color="auto"/>
                    <w:left w:val="none" w:sz="0" w:space="0" w:color="auto"/>
                    <w:bottom w:val="none" w:sz="0" w:space="0" w:color="auto"/>
                    <w:right w:val="none" w:sz="0" w:space="0" w:color="auto"/>
                  </w:divBdr>
                  <w:divsChild>
                    <w:div w:id="2061006796">
                      <w:marLeft w:val="0"/>
                      <w:marRight w:val="0"/>
                      <w:marTop w:val="0"/>
                      <w:marBottom w:val="0"/>
                      <w:divBdr>
                        <w:top w:val="none" w:sz="0" w:space="0" w:color="auto"/>
                        <w:left w:val="none" w:sz="0" w:space="0" w:color="auto"/>
                        <w:bottom w:val="none" w:sz="0" w:space="0" w:color="auto"/>
                        <w:right w:val="none" w:sz="0" w:space="0" w:color="auto"/>
                      </w:divBdr>
                      <w:divsChild>
                        <w:div w:id="1806504958">
                          <w:marLeft w:val="0"/>
                          <w:marRight w:val="0"/>
                          <w:marTop w:val="0"/>
                          <w:marBottom w:val="0"/>
                          <w:divBdr>
                            <w:top w:val="none" w:sz="0" w:space="0" w:color="auto"/>
                            <w:left w:val="none" w:sz="0" w:space="0" w:color="auto"/>
                            <w:bottom w:val="none" w:sz="0" w:space="0" w:color="auto"/>
                            <w:right w:val="none" w:sz="0" w:space="0" w:color="auto"/>
                          </w:divBdr>
                          <w:divsChild>
                            <w:div w:id="204801060">
                              <w:marLeft w:val="0"/>
                              <w:marRight w:val="0"/>
                              <w:marTop w:val="0"/>
                              <w:marBottom w:val="0"/>
                              <w:divBdr>
                                <w:top w:val="none" w:sz="0" w:space="0" w:color="auto"/>
                                <w:left w:val="none" w:sz="0" w:space="0" w:color="auto"/>
                                <w:bottom w:val="none" w:sz="0" w:space="0" w:color="auto"/>
                                <w:right w:val="none" w:sz="0" w:space="0" w:color="auto"/>
                              </w:divBdr>
                              <w:divsChild>
                                <w:div w:id="20588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2447">
      <w:bodyDiv w:val="1"/>
      <w:marLeft w:val="0"/>
      <w:marRight w:val="0"/>
      <w:marTop w:val="0"/>
      <w:marBottom w:val="0"/>
      <w:divBdr>
        <w:top w:val="none" w:sz="0" w:space="0" w:color="auto"/>
        <w:left w:val="none" w:sz="0" w:space="0" w:color="auto"/>
        <w:bottom w:val="none" w:sz="0" w:space="0" w:color="auto"/>
        <w:right w:val="none" w:sz="0" w:space="0" w:color="auto"/>
      </w:divBdr>
      <w:divsChild>
        <w:div w:id="616640062">
          <w:marLeft w:val="0"/>
          <w:marRight w:val="0"/>
          <w:marTop w:val="0"/>
          <w:marBottom w:val="0"/>
          <w:divBdr>
            <w:top w:val="none" w:sz="0" w:space="0" w:color="auto"/>
            <w:left w:val="none" w:sz="0" w:space="0" w:color="auto"/>
            <w:bottom w:val="none" w:sz="0" w:space="0" w:color="auto"/>
            <w:right w:val="none" w:sz="0" w:space="0" w:color="auto"/>
          </w:divBdr>
          <w:divsChild>
            <w:div w:id="1441756813">
              <w:marLeft w:val="0"/>
              <w:marRight w:val="0"/>
              <w:marTop w:val="0"/>
              <w:marBottom w:val="0"/>
              <w:divBdr>
                <w:top w:val="none" w:sz="0" w:space="0" w:color="auto"/>
                <w:left w:val="none" w:sz="0" w:space="0" w:color="auto"/>
                <w:bottom w:val="none" w:sz="0" w:space="0" w:color="auto"/>
                <w:right w:val="none" w:sz="0" w:space="0" w:color="auto"/>
              </w:divBdr>
              <w:divsChild>
                <w:div w:id="1312322493">
                  <w:marLeft w:val="0"/>
                  <w:marRight w:val="0"/>
                  <w:marTop w:val="0"/>
                  <w:marBottom w:val="0"/>
                  <w:divBdr>
                    <w:top w:val="none" w:sz="0" w:space="0" w:color="auto"/>
                    <w:left w:val="none" w:sz="0" w:space="0" w:color="auto"/>
                    <w:bottom w:val="none" w:sz="0" w:space="0" w:color="auto"/>
                    <w:right w:val="none" w:sz="0" w:space="0" w:color="auto"/>
                  </w:divBdr>
                  <w:divsChild>
                    <w:div w:id="1020162605">
                      <w:marLeft w:val="0"/>
                      <w:marRight w:val="0"/>
                      <w:marTop w:val="0"/>
                      <w:marBottom w:val="0"/>
                      <w:divBdr>
                        <w:top w:val="none" w:sz="0" w:space="0" w:color="auto"/>
                        <w:left w:val="none" w:sz="0" w:space="0" w:color="auto"/>
                        <w:bottom w:val="none" w:sz="0" w:space="0" w:color="auto"/>
                        <w:right w:val="none" w:sz="0" w:space="0" w:color="auto"/>
                      </w:divBdr>
                      <w:divsChild>
                        <w:div w:id="423065233">
                          <w:marLeft w:val="0"/>
                          <w:marRight w:val="0"/>
                          <w:marTop w:val="0"/>
                          <w:marBottom w:val="0"/>
                          <w:divBdr>
                            <w:top w:val="none" w:sz="0" w:space="0" w:color="auto"/>
                            <w:left w:val="none" w:sz="0" w:space="0" w:color="auto"/>
                            <w:bottom w:val="none" w:sz="0" w:space="0" w:color="auto"/>
                            <w:right w:val="none" w:sz="0" w:space="0" w:color="auto"/>
                          </w:divBdr>
                          <w:divsChild>
                            <w:div w:id="1685205006">
                              <w:marLeft w:val="0"/>
                              <w:marRight w:val="0"/>
                              <w:marTop w:val="0"/>
                              <w:marBottom w:val="0"/>
                              <w:divBdr>
                                <w:top w:val="none" w:sz="0" w:space="0" w:color="auto"/>
                                <w:left w:val="none" w:sz="0" w:space="0" w:color="auto"/>
                                <w:bottom w:val="none" w:sz="0" w:space="0" w:color="auto"/>
                                <w:right w:val="none" w:sz="0" w:space="0" w:color="auto"/>
                              </w:divBdr>
                              <w:divsChild>
                                <w:div w:id="8456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60350">
      <w:bodyDiv w:val="1"/>
      <w:marLeft w:val="0"/>
      <w:marRight w:val="0"/>
      <w:marTop w:val="0"/>
      <w:marBottom w:val="0"/>
      <w:divBdr>
        <w:top w:val="none" w:sz="0" w:space="0" w:color="auto"/>
        <w:left w:val="none" w:sz="0" w:space="0" w:color="auto"/>
        <w:bottom w:val="none" w:sz="0" w:space="0" w:color="auto"/>
        <w:right w:val="none" w:sz="0" w:space="0" w:color="auto"/>
      </w:divBdr>
      <w:divsChild>
        <w:div w:id="894320241">
          <w:marLeft w:val="0"/>
          <w:marRight w:val="0"/>
          <w:marTop w:val="0"/>
          <w:marBottom w:val="0"/>
          <w:divBdr>
            <w:top w:val="none" w:sz="0" w:space="0" w:color="auto"/>
            <w:left w:val="none" w:sz="0" w:space="0" w:color="auto"/>
            <w:bottom w:val="none" w:sz="0" w:space="0" w:color="auto"/>
            <w:right w:val="none" w:sz="0" w:space="0" w:color="auto"/>
          </w:divBdr>
          <w:divsChild>
            <w:div w:id="1542549850">
              <w:marLeft w:val="0"/>
              <w:marRight w:val="0"/>
              <w:marTop w:val="0"/>
              <w:marBottom w:val="0"/>
              <w:divBdr>
                <w:top w:val="none" w:sz="0" w:space="0" w:color="auto"/>
                <w:left w:val="none" w:sz="0" w:space="0" w:color="auto"/>
                <w:bottom w:val="none" w:sz="0" w:space="0" w:color="auto"/>
                <w:right w:val="none" w:sz="0" w:space="0" w:color="auto"/>
              </w:divBdr>
              <w:divsChild>
                <w:div w:id="883903225">
                  <w:marLeft w:val="0"/>
                  <w:marRight w:val="0"/>
                  <w:marTop w:val="0"/>
                  <w:marBottom w:val="0"/>
                  <w:divBdr>
                    <w:top w:val="none" w:sz="0" w:space="0" w:color="auto"/>
                    <w:left w:val="none" w:sz="0" w:space="0" w:color="auto"/>
                    <w:bottom w:val="none" w:sz="0" w:space="0" w:color="auto"/>
                    <w:right w:val="none" w:sz="0" w:space="0" w:color="auto"/>
                  </w:divBdr>
                  <w:divsChild>
                    <w:div w:id="351883358">
                      <w:marLeft w:val="0"/>
                      <w:marRight w:val="0"/>
                      <w:marTop w:val="0"/>
                      <w:marBottom w:val="0"/>
                      <w:divBdr>
                        <w:top w:val="none" w:sz="0" w:space="0" w:color="auto"/>
                        <w:left w:val="none" w:sz="0" w:space="0" w:color="auto"/>
                        <w:bottom w:val="none" w:sz="0" w:space="0" w:color="auto"/>
                        <w:right w:val="none" w:sz="0" w:space="0" w:color="auto"/>
                      </w:divBdr>
                      <w:divsChild>
                        <w:div w:id="1303845673">
                          <w:marLeft w:val="0"/>
                          <w:marRight w:val="0"/>
                          <w:marTop w:val="0"/>
                          <w:marBottom w:val="0"/>
                          <w:divBdr>
                            <w:top w:val="none" w:sz="0" w:space="0" w:color="auto"/>
                            <w:left w:val="none" w:sz="0" w:space="0" w:color="auto"/>
                            <w:bottom w:val="none" w:sz="0" w:space="0" w:color="auto"/>
                            <w:right w:val="none" w:sz="0" w:space="0" w:color="auto"/>
                          </w:divBdr>
                          <w:divsChild>
                            <w:div w:id="263849339">
                              <w:marLeft w:val="0"/>
                              <w:marRight w:val="0"/>
                              <w:marTop w:val="0"/>
                              <w:marBottom w:val="0"/>
                              <w:divBdr>
                                <w:top w:val="none" w:sz="0" w:space="0" w:color="auto"/>
                                <w:left w:val="none" w:sz="0" w:space="0" w:color="auto"/>
                                <w:bottom w:val="none" w:sz="0" w:space="0" w:color="auto"/>
                                <w:right w:val="none" w:sz="0" w:space="0" w:color="auto"/>
                              </w:divBdr>
                              <w:divsChild>
                                <w:div w:id="2506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358071">
      <w:bodyDiv w:val="1"/>
      <w:marLeft w:val="0"/>
      <w:marRight w:val="0"/>
      <w:marTop w:val="0"/>
      <w:marBottom w:val="0"/>
      <w:divBdr>
        <w:top w:val="none" w:sz="0" w:space="0" w:color="auto"/>
        <w:left w:val="none" w:sz="0" w:space="0" w:color="auto"/>
        <w:bottom w:val="none" w:sz="0" w:space="0" w:color="auto"/>
        <w:right w:val="none" w:sz="0" w:space="0" w:color="auto"/>
      </w:divBdr>
      <w:divsChild>
        <w:div w:id="1851866870">
          <w:marLeft w:val="0"/>
          <w:marRight w:val="0"/>
          <w:marTop w:val="0"/>
          <w:marBottom w:val="0"/>
          <w:divBdr>
            <w:top w:val="none" w:sz="0" w:space="0" w:color="auto"/>
            <w:left w:val="none" w:sz="0" w:space="0" w:color="auto"/>
            <w:bottom w:val="none" w:sz="0" w:space="0" w:color="auto"/>
            <w:right w:val="none" w:sz="0" w:space="0" w:color="auto"/>
          </w:divBdr>
          <w:divsChild>
            <w:div w:id="23992541">
              <w:marLeft w:val="0"/>
              <w:marRight w:val="0"/>
              <w:marTop w:val="0"/>
              <w:marBottom w:val="0"/>
              <w:divBdr>
                <w:top w:val="none" w:sz="0" w:space="0" w:color="auto"/>
                <w:left w:val="none" w:sz="0" w:space="0" w:color="auto"/>
                <w:bottom w:val="none" w:sz="0" w:space="0" w:color="auto"/>
                <w:right w:val="none" w:sz="0" w:space="0" w:color="auto"/>
              </w:divBdr>
              <w:divsChild>
                <w:div w:id="1013993387">
                  <w:marLeft w:val="0"/>
                  <w:marRight w:val="0"/>
                  <w:marTop w:val="0"/>
                  <w:marBottom w:val="0"/>
                  <w:divBdr>
                    <w:top w:val="none" w:sz="0" w:space="0" w:color="auto"/>
                    <w:left w:val="none" w:sz="0" w:space="0" w:color="auto"/>
                    <w:bottom w:val="none" w:sz="0" w:space="0" w:color="auto"/>
                    <w:right w:val="none" w:sz="0" w:space="0" w:color="auto"/>
                  </w:divBdr>
                  <w:divsChild>
                    <w:div w:id="632713996">
                      <w:marLeft w:val="0"/>
                      <w:marRight w:val="0"/>
                      <w:marTop w:val="0"/>
                      <w:marBottom w:val="0"/>
                      <w:divBdr>
                        <w:top w:val="none" w:sz="0" w:space="0" w:color="auto"/>
                        <w:left w:val="none" w:sz="0" w:space="0" w:color="auto"/>
                        <w:bottom w:val="none" w:sz="0" w:space="0" w:color="auto"/>
                        <w:right w:val="none" w:sz="0" w:space="0" w:color="auto"/>
                      </w:divBdr>
                      <w:divsChild>
                        <w:div w:id="629866520">
                          <w:marLeft w:val="0"/>
                          <w:marRight w:val="0"/>
                          <w:marTop w:val="0"/>
                          <w:marBottom w:val="0"/>
                          <w:divBdr>
                            <w:top w:val="none" w:sz="0" w:space="0" w:color="auto"/>
                            <w:left w:val="none" w:sz="0" w:space="0" w:color="auto"/>
                            <w:bottom w:val="none" w:sz="0" w:space="0" w:color="auto"/>
                            <w:right w:val="none" w:sz="0" w:space="0" w:color="auto"/>
                          </w:divBdr>
                          <w:divsChild>
                            <w:div w:id="1725982007">
                              <w:marLeft w:val="0"/>
                              <w:marRight w:val="0"/>
                              <w:marTop w:val="0"/>
                              <w:marBottom w:val="0"/>
                              <w:divBdr>
                                <w:top w:val="none" w:sz="0" w:space="0" w:color="auto"/>
                                <w:left w:val="none" w:sz="0" w:space="0" w:color="auto"/>
                                <w:bottom w:val="none" w:sz="0" w:space="0" w:color="auto"/>
                                <w:right w:val="none" w:sz="0" w:space="0" w:color="auto"/>
                              </w:divBdr>
                              <w:divsChild>
                                <w:div w:id="5486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262601">
      <w:bodyDiv w:val="1"/>
      <w:marLeft w:val="0"/>
      <w:marRight w:val="0"/>
      <w:marTop w:val="0"/>
      <w:marBottom w:val="0"/>
      <w:divBdr>
        <w:top w:val="none" w:sz="0" w:space="0" w:color="auto"/>
        <w:left w:val="none" w:sz="0" w:space="0" w:color="auto"/>
        <w:bottom w:val="none" w:sz="0" w:space="0" w:color="auto"/>
        <w:right w:val="none" w:sz="0" w:space="0" w:color="auto"/>
      </w:divBdr>
      <w:divsChild>
        <w:div w:id="982587464">
          <w:marLeft w:val="0"/>
          <w:marRight w:val="0"/>
          <w:marTop w:val="0"/>
          <w:marBottom w:val="0"/>
          <w:divBdr>
            <w:top w:val="none" w:sz="0" w:space="0" w:color="auto"/>
            <w:left w:val="none" w:sz="0" w:space="0" w:color="auto"/>
            <w:bottom w:val="none" w:sz="0" w:space="0" w:color="auto"/>
            <w:right w:val="none" w:sz="0" w:space="0" w:color="auto"/>
          </w:divBdr>
          <w:divsChild>
            <w:div w:id="1434520211">
              <w:marLeft w:val="0"/>
              <w:marRight w:val="0"/>
              <w:marTop w:val="0"/>
              <w:marBottom w:val="0"/>
              <w:divBdr>
                <w:top w:val="none" w:sz="0" w:space="0" w:color="auto"/>
                <w:left w:val="none" w:sz="0" w:space="0" w:color="auto"/>
                <w:bottom w:val="none" w:sz="0" w:space="0" w:color="auto"/>
                <w:right w:val="none" w:sz="0" w:space="0" w:color="auto"/>
              </w:divBdr>
              <w:divsChild>
                <w:div w:id="1569340886">
                  <w:marLeft w:val="0"/>
                  <w:marRight w:val="0"/>
                  <w:marTop w:val="0"/>
                  <w:marBottom w:val="0"/>
                  <w:divBdr>
                    <w:top w:val="none" w:sz="0" w:space="0" w:color="auto"/>
                    <w:left w:val="none" w:sz="0" w:space="0" w:color="auto"/>
                    <w:bottom w:val="none" w:sz="0" w:space="0" w:color="auto"/>
                    <w:right w:val="none" w:sz="0" w:space="0" w:color="auto"/>
                  </w:divBdr>
                  <w:divsChild>
                    <w:div w:id="1096898585">
                      <w:marLeft w:val="0"/>
                      <w:marRight w:val="0"/>
                      <w:marTop w:val="0"/>
                      <w:marBottom w:val="0"/>
                      <w:divBdr>
                        <w:top w:val="none" w:sz="0" w:space="0" w:color="auto"/>
                        <w:left w:val="none" w:sz="0" w:space="0" w:color="auto"/>
                        <w:bottom w:val="none" w:sz="0" w:space="0" w:color="auto"/>
                        <w:right w:val="none" w:sz="0" w:space="0" w:color="auto"/>
                      </w:divBdr>
                      <w:divsChild>
                        <w:div w:id="1026295720">
                          <w:marLeft w:val="0"/>
                          <w:marRight w:val="0"/>
                          <w:marTop w:val="0"/>
                          <w:marBottom w:val="0"/>
                          <w:divBdr>
                            <w:top w:val="none" w:sz="0" w:space="0" w:color="auto"/>
                            <w:left w:val="none" w:sz="0" w:space="0" w:color="auto"/>
                            <w:bottom w:val="none" w:sz="0" w:space="0" w:color="auto"/>
                            <w:right w:val="none" w:sz="0" w:space="0" w:color="auto"/>
                          </w:divBdr>
                          <w:divsChild>
                            <w:div w:id="211697663">
                              <w:marLeft w:val="0"/>
                              <w:marRight w:val="0"/>
                              <w:marTop w:val="0"/>
                              <w:marBottom w:val="0"/>
                              <w:divBdr>
                                <w:top w:val="none" w:sz="0" w:space="0" w:color="auto"/>
                                <w:left w:val="none" w:sz="0" w:space="0" w:color="auto"/>
                                <w:bottom w:val="none" w:sz="0" w:space="0" w:color="auto"/>
                                <w:right w:val="none" w:sz="0" w:space="0" w:color="auto"/>
                              </w:divBdr>
                              <w:divsChild>
                                <w:div w:id="973679819">
                                  <w:marLeft w:val="0"/>
                                  <w:marRight w:val="0"/>
                                  <w:marTop w:val="0"/>
                                  <w:marBottom w:val="0"/>
                                  <w:divBdr>
                                    <w:top w:val="none" w:sz="0" w:space="0" w:color="auto"/>
                                    <w:left w:val="none" w:sz="0" w:space="0" w:color="auto"/>
                                    <w:bottom w:val="none" w:sz="0" w:space="0" w:color="auto"/>
                                    <w:right w:val="none" w:sz="0" w:space="0" w:color="auto"/>
                                  </w:divBdr>
                                  <w:divsChild>
                                    <w:div w:id="10245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5881">
      <w:bodyDiv w:val="1"/>
      <w:marLeft w:val="0"/>
      <w:marRight w:val="0"/>
      <w:marTop w:val="0"/>
      <w:marBottom w:val="0"/>
      <w:divBdr>
        <w:top w:val="none" w:sz="0" w:space="0" w:color="auto"/>
        <w:left w:val="none" w:sz="0" w:space="0" w:color="auto"/>
        <w:bottom w:val="none" w:sz="0" w:space="0" w:color="auto"/>
        <w:right w:val="none" w:sz="0" w:space="0" w:color="auto"/>
      </w:divBdr>
      <w:divsChild>
        <w:div w:id="1637836130">
          <w:marLeft w:val="0"/>
          <w:marRight w:val="0"/>
          <w:marTop w:val="0"/>
          <w:marBottom w:val="0"/>
          <w:divBdr>
            <w:top w:val="none" w:sz="0" w:space="0" w:color="auto"/>
            <w:left w:val="none" w:sz="0" w:space="0" w:color="auto"/>
            <w:bottom w:val="none" w:sz="0" w:space="0" w:color="auto"/>
            <w:right w:val="none" w:sz="0" w:space="0" w:color="auto"/>
          </w:divBdr>
          <w:divsChild>
            <w:div w:id="854459745">
              <w:marLeft w:val="0"/>
              <w:marRight w:val="0"/>
              <w:marTop w:val="0"/>
              <w:marBottom w:val="0"/>
              <w:divBdr>
                <w:top w:val="none" w:sz="0" w:space="0" w:color="auto"/>
                <w:left w:val="none" w:sz="0" w:space="0" w:color="auto"/>
                <w:bottom w:val="none" w:sz="0" w:space="0" w:color="auto"/>
                <w:right w:val="none" w:sz="0" w:space="0" w:color="auto"/>
              </w:divBdr>
              <w:divsChild>
                <w:div w:id="651758424">
                  <w:marLeft w:val="0"/>
                  <w:marRight w:val="0"/>
                  <w:marTop w:val="0"/>
                  <w:marBottom w:val="0"/>
                  <w:divBdr>
                    <w:top w:val="none" w:sz="0" w:space="0" w:color="auto"/>
                    <w:left w:val="none" w:sz="0" w:space="0" w:color="auto"/>
                    <w:bottom w:val="none" w:sz="0" w:space="0" w:color="auto"/>
                    <w:right w:val="none" w:sz="0" w:space="0" w:color="auto"/>
                  </w:divBdr>
                  <w:divsChild>
                    <w:div w:id="1192648011">
                      <w:marLeft w:val="0"/>
                      <w:marRight w:val="0"/>
                      <w:marTop w:val="0"/>
                      <w:marBottom w:val="0"/>
                      <w:divBdr>
                        <w:top w:val="none" w:sz="0" w:space="0" w:color="auto"/>
                        <w:left w:val="none" w:sz="0" w:space="0" w:color="auto"/>
                        <w:bottom w:val="none" w:sz="0" w:space="0" w:color="auto"/>
                        <w:right w:val="none" w:sz="0" w:space="0" w:color="auto"/>
                      </w:divBdr>
                      <w:divsChild>
                        <w:div w:id="2043362290">
                          <w:marLeft w:val="0"/>
                          <w:marRight w:val="0"/>
                          <w:marTop w:val="0"/>
                          <w:marBottom w:val="0"/>
                          <w:divBdr>
                            <w:top w:val="none" w:sz="0" w:space="0" w:color="auto"/>
                            <w:left w:val="none" w:sz="0" w:space="0" w:color="auto"/>
                            <w:bottom w:val="none" w:sz="0" w:space="0" w:color="auto"/>
                            <w:right w:val="none" w:sz="0" w:space="0" w:color="auto"/>
                          </w:divBdr>
                          <w:divsChild>
                            <w:div w:id="282538794">
                              <w:marLeft w:val="0"/>
                              <w:marRight w:val="0"/>
                              <w:marTop w:val="0"/>
                              <w:marBottom w:val="0"/>
                              <w:divBdr>
                                <w:top w:val="none" w:sz="0" w:space="0" w:color="auto"/>
                                <w:left w:val="none" w:sz="0" w:space="0" w:color="auto"/>
                                <w:bottom w:val="none" w:sz="0" w:space="0" w:color="auto"/>
                                <w:right w:val="none" w:sz="0" w:space="0" w:color="auto"/>
                              </w:divBdr>
                              <w:divsChild>
                                <w:div w:id="2123528578">
                                  <w:marLeft w:val="0"/>
                                  <w:marRight w:val="0"/>
                                  <w:marTop w:val="0"/>
                                  <w:marBottom w:val="0"/>
                                  <w:divBdr>
                                    <w:top w:val="single" w:sz="4" w:space="0" w:color="F5F5F5"/>
                                    <w:left w:val="single" w:sz="4" w:space="0" w:color="F5F5F5"/>
                                    <w:bottom w:val="single" w:sz="4" w:space="0" w:color="F5F5F5"/>
                                    <w:right w:val="single" w:sz="4" w:space="0" w:color="F5F5F5"/>
                                  </w:divBdr>
                                  <w:divsChild>
                                    <w:div w:id="589630892">
                                      <w:marLeft w:val="0"/>
                                      <w:marRight w:val="0"/>
                                      <w:marTop w:val="0"/>
                                      <w:marBottom w:val="0"/>
                                      <w:divBdr>
                                        <w:top w:val="none" w:sz="0" w:space="0" w:color="auto"/>
                                        <w:left w:val="none" w:sz="0" w:space="0" w:color="auto"/>
                                        <w:bottom w:val="none" w:sz="0" w:space="0" w:color="auto"/>
                                        <w:right w:val="none" w:sz="0" w:space="0" w:color="auto"/>
                                      </w:divBdr>
                                      <w:divsChild>
                                        <w:div w:id="9414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827263">
      <w:bodyDiv w:val="1"/>
      <w:marLeft w:val="0"/>
      <w:marRight w:val="0"/>
      <w:marTop w:val="0"/>
      <w:marBottom w:val="0"/>
      <w:divBdr>
        <w:top w:val="none" w:sz="0" w:space="0" w:color="auto"/>
        <w:left w:val="none" w:sz="0" w:space="0" w:color="auto"/>
        <w:bottom w:val="none" w:sz="0" w:space="0" w:color="auto"/>
        <w:right w:val="none" w:sz="0" w:space="0" w:color="auto"/>
      </w:divBdr>
      <w:divsChild>
        <w:div w:id="224293987">
          <w:marLeft w:val="0"/>
          <w:marRight w:val="0"/>
          <w:marTop w:val="0"/>
          <w:marBottom w:val="0"/>
          <w:divBdr>
            <w:top w:val="none" w:sz="0" w:space="0" w:color="auto"/>
            <w:left w:val="none" w:sz="0" w:space="0" w:color="auto"/>
            <w:bottom w:val="none" w:sz="0" w:space="0" w:color="auto"/>
            <w:right w:val="none" w:sz="0" w:space="0" w:color="auto"/>
          </w:divBdr>
          <w:divsChild>
            <w:div w:id="906039628">
              <w:marLeft w:val="0"/>
              <w:marRight w:val="0"/>
              <w:marTop w:val="0"/>
              <w:marBottom w:val="0"/>
              <w:divBdr>
                <w:top w:val="none" w:sz="0" w:space="0" w:color="auto"/>
                <w:left w:val="none" w:sz="0" w:space="0" w:color="auto"/>
                <w:bottom w:val="none" w:sz="0" w:space="0" w:color="auto"/>
                <w:right w:val="none" w:sz="0" w:space="0" w:color="auto"/>
              </w:divBdr>
              <w:divsChild>
                <w:div w:id="945842235">
                  <w:marLeft w:val="0"/>
                  <w:marRight w:val="0"/>
                  <w:marTop w:val="0"/>
                  <w:marBottom w:val="0"/>
                  <w:divBdr>
                    <w:top w:val="none" w:sz="0" w:space="0" w:color="auto"/>
                    <w:left w:val="none" w:sz="0" w:space="0" w:color="auto"/>
                    <w:bottom w:val="none" w:sz="0" w:space="0" w:color="auto"/>
                    <w:right w:val="none" w:sz="0" w:space="0" w:color="auto"/>
                  </w:divBdr>
                  <w:divsChild>
                    <w:div w:id="295140235">
                      <w:marLeft w:val="0"/>
                      <w:marRight w:val="0"/>
                      <w:marTop w:val="0"/>
                      <w:marBottom w:val="0"/>
                      <w:divBdr>
                        <w:top w:val="none" w:sz="0" w:space="0" w:color="auto"/>
                        <w:left w:val="none" w:sz="0" w:space="0" w:color="auto"/>
                        <w:bottom w:val="none" w:sz="0" w:space="0" w:color="auto"/>
                        <w:right w:val="none" w:sz="0" w:space="0" w:color="auto"/>
                      </w:divBdr>
                      <w:divsChild>
                        <w:div w:id="1080561449">
                          <w:marLeft w:val="0"/>
                          <w:marRight w:val="0"/>
                          <w:marTop w:val="0"/>
                          <w:marBottom w:val="0"/>
                          <w:divBdr>
                            <w:top w:val="none" w:sz="0" w:space="0" w:color="auto"/>
                            <w:left w:val="none" w:sz="0" w:space="0" w:color="auto"/>
                            <w:bottom w:val="none" w:sz="0" w:space="0" w:color="auto"/>
                            <w:right w:val="none" w:sz="0" w:space="0" w:color="auto"/>
                          </w:divBdr>
                          <w:divsChild>
                            <w:div w:id="1104495098">
                              <w:marLeft w:val="0"/>
                              <w:marRight w:val="0"/>
                              <w:marTop w:val="0"/>
                              <w:marBottom w:val="0"/>
                              <w:divBdr>
                                <w:top w:val="none" w:sz="0" w:space="0" w:color="auto"/>
                                <w:left w:val="none" w:sz="0" w:space="0" w:color="auto"/>
                                <w:bottom w:val="none" w:sz="0" w:space="0" w:color="auto"/>
                                <w:right w:val="none" w:sz="0" w:space="0" w:color="auto"/>
                              </w:divBdr>
                              <w:divsChild>
                                <w:div w:id="17489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887645">
      <w:bodyDiv w:val="1"/>
      <w:marLeft w:val="0"/>
      <w:marRight w:val="0"/>
      <w:marTop w:val="0"/>
      <w:marBottom w:val="0"/>
      <w:divBdr>
        <w:top w:val="none" w:sz="0" w:space="0" w:color="auto"/>
        <w:left w:val="none" w:sz="0" w:space="0" w:color="auto"/>
        <w:bottom w:val="none" w:sz="0" w:space="0" w:color="auto"/>
        <w:right w:val="none" w:sz="0" w:space="0" w:color="auto"/>
      </w:divBdr>
      <w:divsChild>
        <w:div w:id="1578202605">
          <w:marLeft w:val="0"/>
          <w:marRight w:val="0"/>
          <w:marTop w:val="0"/>
          <w:marBottom w:val="0"/>
          <w:divBdr>
            <w:top w:val="none" w:sz="0" w:space="0" w:color="auto"/>
            <w:left w:val="none" w:sz="0" w:space="0" w:color="auto"/>
            <w:bottom w:val="none" w:sz="0" w:space="0" w:color="auto"/>
            <w:right w:val="none" w:sz="0" w:space="0" w:color="auto"/>
          </w:divBdr>
          <w:divsChild>
            <w:div w:id="232660933">
              <w:marLeft w:val="0"/>
              <w:marRight w:val="0"/>
              <w:marTop w:val="0"/>
              <w:marBottom w:val="0"/>
              <w:divBdr>
                <w:top w:val="none" w:sz="0" w:space="0" w:color="auto"/>
                <w:left w:val="none" w:sz="0" w:space="0" w:color="auto"/>
                <w:bottom w:val="none" w:sz="0" w:space="0" w:color="auto"/>
                <w:right w:val="none" w:sz="0" w:space="0" w:color="auto"/>
              </w:divBdr>
              <w:divsChild>
                <w:div w:id="687633360">
                  <w:marLeft w:val="0"/>
                  <w:marRight w:val="0"/>
                  <w:marTop w:val="0"/>
                  <w:marBottom w:val="0"/>
                  <w:divBdr>
                    <w:top w:val="none" w:sz="0" w:space="0" w:color="auto"/>
                    <w:left w:val="none" w:sz="0" w:space="0" w:color="auto"/>
                    <w:bottom w:val="none" w:sz="0" w:space="0" w:color="auto"/>
                    <w:right w:val="none" w:sz="0" w:space="0" w:color="auto"/>
                  </w:divBdr>
                  <w:divsChild>
                    <w:div w:id="1951273963">
                      <w:marLeft w:val="0"/>
                      <w:marRight w:val="0"/>
                      <w:marTop w:val="0"/>
                      <w:marBottom w:val="0"/>
                      <w:divBdr>
                        <w:top w:val="none" w:sz="0" w:space="0" w:color="auto"/>
                        <w:left w:val="none" w:sz="0" w:space="0" w:color="auto"/>
                        <w:bottom w:val="none" w:sz="0" w:space="0" w:color="auto"/>
                        <w:right w:val="none" w:sz="0" w:space="0" w:color="auto"/>
                      </w:divBdr>
                      <w:divsChild>
                        <w:div w:id="1487042204">
                          <w:marLeft w:val="0"/>
                          <w:marRight w:val="0"/>
                          <w:marTop w:val="0"/>
                          <w:marBottom w:val="0"/>
                          <w:divBdr>
                            <w:top w:val="none" w:sz="0" w:space="0" w:color="auto"/>
                            <w:left w:val="none" w:sz="0" w:space="0" w:color="auto"/>
                            <w:bottom w:val="none" w:sz="0" w:space="0" w:color="auto"/>
                            <w:right w:val="none" w:sz="0" w:space="0" w:color="auto"/>
                          </w:divBdr>
                          <w:divsChild>
                            <w:div w:id="1212108948">
                              <w:marLeft w:val="0"/>
                              <w:marRight w:val="0"/>
                              <w:marTop w:val="0"/>
                              <w:marBottom w:val="0"/>
                              <w:divBdr>
                                <w:top w:val="none" w:sz="0" w:space="0" w:color="auto"/>
                                <w:left w:val="none" w:sz="0" w:space="0" w:color="auto"/>
                                <w:bottom w:val="none" w:sz="0" w:space="0" w:color="auto"/>
                                <w:right w:val="none" w:sz="0" w:space="0" w:color="auto"/>
                              </w:divBdr>
                              <w:divsChild>
                                <w:div w:id="999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97355">
      <w:bodyDiv w:val="1"/>
      <w:marLeft w:val="0"/>
      <w:marRight w:val="0"/>
      <w:marTop w:val="0"/>
      <w:marBottom w:val="0"/>
      <w:divBdr>
        <w:top w:val="none" w:sz="0" w:space="0" w:color="auto"/>
        <w:left w:val="none" w:sz="0" w:space="0" w:color="auto"/>
        <w:bottom w:val="none" w:sz="0" w:space="0" w:color="auto"/>
        <w:right w:val="none" w:sz="0" w:space="0" w:color="auto"/>
      </w:divBdr>
      <w:divsChild>
        <w:div w:id="1533958519">
          <w:marLeft w:val="0"/>
          <w:marRight w:val="0"/>
          <w:marTop w:val="0"/>
          <w:marBottom w:val="0"/>
          <w:divBdr>
            <w:top w:val="none" w:sz="0" w:space="0" w:color="auto"/>
            <w:left w:val="none" w:sz="0" w:space="0" w:color="auto"/>
            <w:bottom w:val="none" w:sz="0" w:space="0" w:color="auto"/>
            <w:right w:val="none" w:sz="0" w:space="0" w:color="auto"/>
          </w:divBdr>
          <w:divsChild>
            <w:div w:id="1831405838">
              <w:marLeft w:val="0"/>
              <w:marRight w:val="0"/>
              <w:marTop w:val="0"/>
              <w:marBottom w:val="0"/>
              <w:divBdr>
                <w:top w:val="none" w:sz="0" w:space="0" w:color="auto"/>
                <w:left w:val="none" w:sz="0" w:space="0" w:color="auto"/>
                <w:bottom w:val="none" w:sz="0" w:space="0" w:color="auto"/>
                <w:right w:val="none" w:sz="0" w:space="0" w:color="auto"/>
              </w:divBdr>
              <w:divsChild>
                <w:div w:id="1559318369">
                  <w:marLeft w:val="0"/>
                  <w:marRight w:val="0"/>
                  <w:marTop w:val="0"/>
                  <w:marBottom w:val="0"/>
                  <w:divBdr>
                    <w:top w:val="none" w:sz="0" w:space="0" w:color="auto"/>
                    <w:left w:val="none" w:sz="0" w:space="0" w:color="auto"/>
                    <w:bottom w:val="none" w:sz="0" w:space="0" w:color="auto"/>
                    <w:right w:val="none" w:sz="0" w:space="0" w:color="auto"/>
                  </w:divBdr>
                  <w:divsChild>
                    <w:div w:id="757364149">
                      <w:marLeft w:val="0"/>
                      <w:marRight w:val="0"/>
                      <w:marTop w:val="0"/>
                      <w:marBottom w:val="0"/>
                      <w:divBdr>
                        <w:top w:val="none" w:sz="0" w:space="0" w:color="auto"/>
                        <w:left w:val="none" w:sz="0" w:space="0" w:color="auto"/>
                        <w:bottom w:val="none" w:sz="0" w:space="0" w:color="auto"/>
                        <w:right w:val="none" w:sz="0" w:space="0" w:color="auto"/>
                      </w:divBdr>
                      <w:divsChild>
                        <w:div w:id="467355764">
                          <w:marLeft w:val="0"/>
                          <w:marRight w:val="0"/>
                          <w:marTop w:val="0"/>
                          <w:marBottom w:val="0"/>
                          <w:divBdr>
                            <w:top w:val="none" w:sz="0" w:space="0" w:color="auto"/>
                            <w:left w:val="none" w:sz="0" w:space="0" w:color="auto"/>
                            <w:bottom w:val="none" w:sz="0" w:space="0" w:color="auto"/>
                            <w:right w:val="none" w:sz="0" w:space="0" w:color="auto"/>
                          </w:divBdr>
                          <w:divsChild>
                            <w:div w:id="19013171">
                              <w:marLeft w:val="0"/>
                              <w:marRight w:val="0"/>
                              <w:marTop w:val="0"/>
                              <w:marBottom w:val="0"/>
                              <w:divBdr>
                                <w:top w:val="none" w:sz="0" w:space="0" w:color="auto"/>
                                <w:left w:val="none" w:sz="0" w:space="0" w:color="auto"/>
                                <w:bottom w:val="none" w:sz="0" w:space="0" w:color="auto"/>
                                <w:right w:val="none" w:sz="0" w:space="0" w:color="auto"/>
                              </w:divBdr>
                              <w:divsChild>
                                <w:div w:id="386491022">
                                  <w:marLeft w:val="0"/>
                                  <w:marRight w:val="0"/>
                                  <w:marTop w:val="0"/>
                                  <w:marBottom w:val="0"/>
                                  <w:divBdr>
                                    <w:top w:val="none" w:sz="0" w:space="0" w:color="auto"/>
                                    <w:left w:val="none" w:sz="0" w:space="0" w:color="auto"/>
                                    <w:bottom w:val="none" w:sz="0" w:space="0" w:color="auto"/>
                                    <w:right w:val="none" w:sz="0" w:space="0" w:color="auto"/>
                                  </w:divBdr>
                                  <w:divsChild>
                                    <w:div w:id="11030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54532">
      <w:bodyDiv w:val="1"/>
      <w:marLeft w:val="0"/>
      <w:marRight w:val="0"/>
      <w:marTop w:val="0"/>
      <w:marBottom w:val="0"/>
      <w:divBdr>
        <w:top w:val="none" w:sz="0" w:space="0" w:color="auto"/>
        <w:left w:val="none" w:sz="0" w:space="0" w:color="auto"/>
        <w:bottom w:val="none" w:sz="0" w:space="0" w:color="auto"/>
        <w:right w:val="none" w:sz="0" w:space="0" w:color="auto"/>
      </w:divBdr>
    </w:div>
    <w:div w:id="1108701619">
      <w:bodyDiv w:val="1"/>
      <w:marLeft w:val="0"/>
      <w:marRight w:val="0"/>
      <w:marTop w:val="0"/>
      <w:marBottom w:val="0"/>
      <w:divBdr>
        <w:top w:val="none" w:sz="0" w:space="0" w:color="auto"/>
        <w:left w:val="none" w:sz="0" w:space="0" w:color="auto"/>
        <w:bottom w:val="none" w:sz="0" w:space="0" w:color="auto"/>
        <w:right w:val="none" w:sz="0" w:space="0" w:color="auto"/>
      </w:divBdr>
      <w:divsChild>
        <w:div w:id="259918784">
          <w:marLeft w:val="0"/>
          <w:marRight w:val="0"/>
          <w:marTop w:val="0"/>
          <w:marBottom w:val="0"/>
          <w:divBdr>
            <w:top w:val="none" w:sz="0" w:space="0" w:color="auto"/>
            <w:left w:val="none" w:sz="0" w:space="0" w:color="auto"/>
            <w:bottom w:val="none" w:sz="0" w:space="0" w:color="auto"/>
            <w:right w:val="none" w:sz="0" w:space="0" w:color="auto"/>
          </w:divBdr>
          <w:divsChild>
            <w:div w:id="415633299">
              <w:marLeft w:val="0"/>
              <w:marRight w:val="0"/>
              <w:marTop w:val="0"/>
              <w:marBottom w:val="0"/>
              <w:divBdr>
                <w:top w:val="none" w:sz="0" w:space="0" w:color="auto"/>
                <w:left w:val="none" w:sz="0" w:space="0" w:color="auto"/>
                <w:bottom w:val="none" w:sz="0" w:space="0" w:color="auto"/>
                <w:right w:val="none" w:sz="0" w:space="0" w:color="auto"/>
              </w:divBdr>
              <w:divsChild>
                <w:div w:id="920867276">
                  <w:marLeft w:val="0"/>
                  <w:marRight w:val="0"/>
                  <w:marTop w:val="0"/>
                  <w:marBottom w:val="0"/>
                  <w:divBdr>
                    <w:top w:val="none" w:sz="0" w:space="0" w:color="auto"/>
                    <w:left w:val="none" w:sz="0" w:space="0" w:color="auto"/>
                    <w:bottom w:val="none" w:sz="0" w:space="0" w:color="auto"/>
                    <w:right w:val="none" w:sz="0" w:space="0" w:color="auto"/>
                  </w:divBdr>
                  <w:divsChild>
                    <w:div w:id="2004889031">
                      <w:marLeft w:val="0"/>
                      <w:marRight w:val="0"/>
                      <w:marTop w:val="0"/>
                      <w:marBottom w:val="0"/>
                      <w:divBdr>
                        <w:top w:val="none" w:sz="0" w:space="0" w:color="auto"/>
                        <w:left w:val="none" w:sz="0" w:space="0" w:color="auto"/>
                        <w:bottom w:val="none" w:sz="0" w:space="0" w:color="auto"/>
                        <w:right w:val="none" w:sz="0" w:space="0" w:color="auto"/>
                      </w:divBdr>
                      <w:divsChild>
                        <w:div w:id="1691762709">
                          <w:marLeft w:val="0"/>
                          <w:marRight w:val="0"/>
                          <w:marTop w:val="0"/>
                          <w:marBottom w:val="0"/>
                          <w:divBdr>
                            <w:top w:val="none" w:sz="0" w:space="0" w:color="auto"/>
                            <w:left w:val="none" w:sz="0" w:space="0" w:color="auto"/>
                            <w:bottom w:val="none" w:sz="0" w:space="0" w:color="auto"/>
                            <w:right w:val="none" w:sz="0" w:space="0" w:color="auto"/>
                          </w:divBdr>
                          <w:divsChild>
                            <w:div w:id="418252289">
                              <w:marLeft w:val="0"/>
                              <w:marRight w:val="0"/>
                              <w:marTop w:val="0"/>
                              <w:marBottom w:val="0"/>
                              <w:divBdr>
                                <w:top w:val="none" w:sz="0" w:space="0" w:color="auto"/>
                                <w:left w:val="none" w:sz="0" w:space="0" w:color="auto"/>
                                <w:bottom w:val="none" w:sz="0" w:space="0" w:color="auto"/>
                                <w:right w:val="none" w:sz="0" w:space="0" w:color="auto"/>
                              </w:divBdr>
                              <w:divsChild>
                                <w:div w:id="10440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5636">
      <w:bodyDiv w:val="1"/>
      <w:marLeft w:val="0"/>
      <w:marRight w:val="0"/>
      <w:marTop w:val="0"/>
      <w:marBottom w:val="0"/>
      <w:divBdr>
        <w:top w:val="none" w:sz="0" w:space="0" w:color="auto"/>
        <w:left w:val="none" w:sz="0" w:space="0" w:color="auto"/>
        <w:bottom w:val="none" w:sz="0" w:space="0" w:color="auto"/>
        <w:right w:val="none" w:sz="0" w:space="0" w:color="auto"/>
      </w:divBdr>
    </w:div>
    <w:div w:id="1346595710">
      <w:bodyDiv w:val="1"/>
      <w:marLeft w:val="0"/>
      <w:marRight w:val="0"/>
      <w:marTop w:val="0"/>
      <w:marBottom w:val="0"/>
      <w:divBdr>
        <w:top w:val="none" w:sz="0" w:space="0" w:color="auto"/>
        <w:left w:val="none" w:sz="0" w:space="0" w:color="auto"/>
        <w:bottom w:val="none" w:sz="0" w:space="0" w:color="auto"/>
        <w:right w:val="none" w:sz="0" w:space="0" w:color="auto"/>
      </w:divBdr>
      <w:divsChild>
        <w:div w:id="223301940">
          <w:marLeft w:val="0"/>
          <w:marRight w:val="0"/>
          <w:marTop w:val="0"/>
          <w:marBottom w:val="0"/>
          <w:divBdr>
            <w:top w:val="none" w:sz="0" w:space="0" w:color="auto"/>
            <w:left w:val="none" w:sz="0" w:space="0" w:color="auto"/>
            <w:bottom w:val="none" w:sz="0" w:space="0" w:color="auto"/>
            <w:right w:val="none" w:sz="0" w:space="0" w:color="auto"/>
          </w:divBdr>
          <w:divsChild>
            <w:div w:id="488981963">
              <w:marLeft w:val="0"/>
              <w:marRight w:val="0"/>
              <w:marTop w:val="0"/>
              <w:marBottom w:val="0"/>
              <w:divBdr>
                <w:top w:val="none" w:sz="0" w:space="0" w:color="auto"/>
                <w:left w:val="none" w:sz="0" w:space="0" w:color="auto"/>
                <w:bottom w:val="none" w:sz="0" w:space="0" w:color="auto"/>
                <w:right w:val="none" w:sz="0" w:space="0" w:color="auto"/>
              </w:divBdr>
              <w:divsChild>
                <w:div w:id="59521843">
                  <w:marLeft w:val="0"/>
                  <w:marRight w:val="0"/>
                  <w:marTop w:val="0"/>
                  <w:marBottom w:val="0"/>
                  <w:divBdr>
                    <w:top w:val="none" w:sz="0" w:space="0" w:color="auto"/>
                    <w:left w:val="none" w:sz="0" w:space="0" w:color="auto"/>
                    <w:bottom w:val="none" w:sz="0" w:space="0" w:color="auto"/>
                    <w:right w:val="none" w:sz="0" w:space="0" w:color="auto"/>
                  </w:divBdr>
                  <w:divsChild>
                    <w:div w:id="1834953491">
                      <w:marLeft w:val="0"/>
                      <w:marRight w:val="0"/>
                      <w:marTop w:val="0"/>
                      <w:marBottom w:val="0"/>
                      <w:divBdr>
                        <w:top w:val="none" w:sz="0" w:space="0" w:color="auto"/>
                        <w:left w:val="none" w:sz="0" w:space="0" w:color="auto"/>
                        <w:bottom w:val="none" w:sz="0" w:space="0" w:color="auto"/>
                        <w:right w:val="none" w:sz="0" w:space="0" w:color="auto"/>
                      </w:divBdr>
                      <w:divsChild>
                        <w:div w:id="559286612">
                          <w:marLeft w:val="0"/>
                          <w:marRight w:val="0"/>
                          <w:marTop w:val="0"/>
                          <w:marBottom w:val="0"/>
                          <w:divBdr>
                            <w:top w:val="none" w:sz="0" w:space="0" w:color="auto"/>
                            <w:left w:val="none" w:sz="0" w:space="0" w:color="auto"/>
                            <w:bottom w:val="none" w:sz="0" w:space="0" w:color="auto"/>
                            <w:right w:val="none" w:sz="0" w:space="0" w:color="auto"/>
                          </w:divBdr>
                          <w:divsChild>
                            <w:div w:id="150562013">
                              <w:marLeft w:val="0"/>
                              <w:marRight w:val="0"/>
                              <w:marTop w:val="0"/>
                              <w:marBottom w:val="0"/>
                              <w:divBdr>
                                <w:top w:val="none" w:sz="0" w:space="0" w:color="auto"/>
                                <w:left w:val="none" w:sz="0" w:space="0" w:color="auto"/>
                                <w:bottom w:val="none" w:sz="0" w:space="0" w:color="auto"/>
                                <w:right w:val="none" w:sz="0" w:space="0" w:color="auto"/>
                              </w:divBdr>
                              <w:divsChild>
                                <w:div w:id="1250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53442">
      <w:bodyDiv w:val="1"/>
      <w:marLeft w:val="0"/>
      <w:marRight w:val="0"/>
      <w:marTop w:val="0"/>
      <w:marBottom w:val="0"/>
      <w:divBdr>
        <w:top w:val="none" w:sz="0" w:space="0" w:color="auto"/>
        <w:left w:val="none" w:sz="0" w:space="0" w:color="auto"/>
        <w:bottom w:val="none" w:sz="0" w:space="0" w:color="auto"/>
        <w:right w:val="none" w:sz="0" w:space="0" w:color="auto"/>
      </w:divBdr>
      <w:divsChild>
        <w:div w:id="1491865940">
          <w:marLeft w:val="0"/>
          <w:marRight w:val="0"/>
          <w:marTop w:val="0"/>
          <w:marBottom w:val="0"/>
          <w:divBdr>
            <w:top w:val="none" w:sz="0" w:space="0" w:color="auto"/>
            <w:left w:val="none" w:sz="0" w:space="0" w:color="auto"/>
            <w:bottom w:val="none" w:sz="0" w:space="0" w:color="auto"/>
            <w:right w:val="none" w:sz="0" w:space="0" w:color="auto"/>
          </w:divBdr>
          <w:divsChild>
            <w:div w:id="177962188">
              <w:marLeft w:val="0"/>
              <w:marRight w:val="0"/>
              <w:marTop w:val="0"/>
              <w:marBottom w:val="0"/>
              <w:divBdr>
                <w:top w:val="none" w:sz="0" w:space="0" w:color="auto"/>
                <w:left w:val="none" w:sz="0" w:space="0" w:color="auto"/>
                <w:bottom w:val="none" w:sz="0" w:space="0" w:color="auto"/>
                <w:right w:val="none" w:sz="0" w:space="0" w:color="auto"/>
              </w:divBdr>
              <w:divsChild>
                <w:div w:id="10499449">
                  <w:marLeft w:val="0"/>
                  <w:marRight w:val="0"/>
                  <w:marTop w:val="0"/>
                  <w:marBottom w:val="0"/>
                  <w:divBdr>
                    <w:top w:val="none" w:sz="0" w:space="0" w:color="auto"/>
                    <w:left w:val="none" w:sz="0" w:space="0" w:color="auto"/>
                    <w:bottom w:val="none" w:sz="0" w:space="0" w:color="auto"/>
                    <w:right w:val="none" w:sz="0" w:space="0" w:color="auto"/>
                  </w:divBdr>
                  <w:divsChild>
                    <w:div w:id="1030836560">
                      <w:marLeft w:val="0"/>
                      <w:marRight w:val="0"/>
                      <w:marTop w:val="0"/>
                      <w:marBottom w:val="0"/>
                      <w:divBdr>
                        <w:top w:val="none" w:sz="0" w:space="0" w:color="auto"/>
                        <w:left w:val="none" w:sz="0" w:space="0" w:color="auto"/>
                        <w:bottom w:val="none" w:sz="0" w:space="0" w:color="auto"/>
                        <w:right w:val="none" w:sz="0" w:space="0" w:color="auto"/>
                      </w:divBdr>
                      <w:divsChild>
                        <w:div w:id="868177994">
                          <w:marLeft w:val="0"/>
                          <w:marRight w:val="0"/>
                          <w:marTop w:val="0"/>
                          <w:marBottom w:val="0"/>
                          <w:divBdr>
                            <w:top w:val="none" w:sz="0" w:space="0" w:color="auto"/>
                            <w:left w:val="none" w:sz="0" w:space="0" w:color="auto"/>
                            <w:bottom w:val="none" w:sz="0" w:space="0" w:color="auto"/>
                            <w:right w:val="none" w:sz="0" w:space="0" w:color="auto"/>
                          </w:divBdr>
                          <w:divsChild>
                            <w:div w:id="589890832">
                              <w:marLeft w:val="0"/>
                              <w:marRight w:val="0"/>
                              <w:marTop w:val="0"/>
                              <w:marBottom w:val="0"/>
                              <w:divBdr>
                                <w:top w:val="none" w:sz="0" w:space="0" w:color="auto"/>
                                <w:left w:val="none" w:sz="0" w:space="0" w:color="auto"/>
                                <w:bottom w:val="none" w:sz="0" w:space="0" w:color="auto"/>
                                <w:right w:val="none" w:sz="0" w:space="0" w:color="auto"/>
                              </w:divBdr>
                              <w:divsChild>
                                <w:div w:id="12480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876105">
      <w:bodyDiv w:val="1"/>
      <w:marLeft w:val="0"/>
      <w:marRight w:val="0"/>
      <w:marTop w:val="0"/>
      <w:marBottom w:val="0"/>
      <w:divBdr>
        <w:top w:val="none" w:sz="0" w:space="0" w:color="auto"/>
        <w:left w:val="none" w:sz="0" w:space="0" w:color="auto"/>
        <w:bottom w:val="none" w:sz="0" w:space="0" w:color="auto"/>
        <w:right w:val="none" w:sz="0" w:space="0" w:color="auto"/>
      </w:divBdr>
      <w:divsChild>
        <w:div w:id="51194392">
          <w:marLeft w:val="0"/>
          <w:marRight w:val="0"/>
          <w:marTop w:val="0"/>
          <w:marBottom w:val="0"/>
          <w:divBdr>
            <w:top w:val="none" w:sz="0" w:space="0" w:color="auto"/>
            <w:left w:val="none" w:sz="0" w:space="0" w:color="auto"/>
            <w:bottom w:val="none" w:sz="0" w:space="0" w:color="auto"/>
            <w:right w:val="none" w:sz="0" w:space="0" w:color="auto"/>
          </w:divBdr>
          <w:divsChild>
            <w:div w:id="63917745">
              <w:marLeft w:val="0"/>
              <w:marRight w:val="0"/>
              <w:marTop w:val="0"/>
              <w:marBottom w:val="0"/>
              <w:divBdr>
                <w:top w:val="none" w:sz="0" w:space="0" w:color="auto"/>
                <w:left w:val="none" w:sz="0" w:space="0" w:color="auto"/>
                <w:bottom w:val="none" w:sz="0" w:space="0" w:color="auto"/>
                <w:right w:val="none" w:sz="0" w:space="0" w:color="auto"/>
              </w:divBdr>
              <w:divsChild>
                <w:div w:id="1687367099">
                  <w:marLeft w:val="0"/>
                  <w:marRight w:val="0"/>
                  <w:marTop w:val="0"/>
                  <w:marBottom w:val="0"/>
                  <w:divBdr>
                    <w:top w:val="none" w:sz="0" w:space="0" w:color="auto"/>
                    <w:left w:val="none" w:sz="0" w:space="0" w:color="auto"/>
                    <w:bottom w:val="none" w:sz="0" w:space="0" w:color="auto"/>
                    <w:right w:val="none" w:sz="0" w:space="0" w:color="auto"/>
                  </w:divBdr>
                  <w:divsChild>
                    <w:div w:id="306471628">
                      <w:marLeft w:val="0"/>
                      <w:marRight w:val="0"/>
                      <w:marTop w:val="0"/>
                      <w:marBottom w:val="0"/>
                      <w:divBdr>
                        <w:top w:val="none" w:sz="0" w:space="0" w:color="auto"/>
                        <w:left w:val="none" w:sz="0" w:space="0" w:color="auto"/>
                        <w:bottom w:val="none" w:sz="0" w:space="0" w:color="auto"/>
                        <w:right w:val="none" w:sz="0" w:space="0" w:color="auto"/>
                      </w:divBdr>
                      <w:divsChild>
                        <w:div w:id="1416434520">
                          <w:marLeft w:val="0"/>
                          <w:marRight w:val="0"/>
                          <w:marTop w:val="0"/>
                          <w:marBottom w:val="0"/>
                          <w:divBdr>
                            <w:top w:val="none" w:sz="0" w:space="0" w:color="auto"/>
                            <w:left w:val="none" w:sz="0" w:space="0" w:color="auto"/>
                            <w:bottom w:val="none" w:sz="0" w:space="0" w:color="auto"/>
                            <w:right w:val="none" w:sz="0" w:space="0" w:color="auto"/>
                          </w:divBdr>
                          <w:divsChild>
                            <w:div w:id="262340780">
                              <w:marLeft w:val="0"/>
                              <w:marRight w:val="0"/>
                              <w:marTop w:val="0"/>
                              <w:marBottom w:val="0"/>
                              <w:divBdr>
                                <w:top w:val="none" w:sz="0" w:space="0" w:color="auto"/>
                                <w:left w:val="none" w:sz="0" w:space="0" w:color="auto"/>
                                <w:bottom w:val="none" w:sz="0" w:space="0" w:color="auto"/>
                                <w:right w:val="none" w:sz="0" w:space="0" w:color="auto"/>
                              </w:divBdr>
                              <w:divsChild>
                                <w:div w:id="6336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494270">
      <w:bodyDiv w:val="1"/>
      <w:marLeft w:val="0"/>
      <w:marRight w:val="0"/>
      <w:marTop w:val="0"/>
      <w:marBottom w:val="0"/>
      <w:divBdr>
        <w:top w:val="none" w:sz="0" w:space="0" w:color="auto"/>
        <w:left w:val="none" w:sz="0" w:space="0" w:color="auto"/>
        <w:bottom w:val="none" w:sz="0" w:space="0" w:color="auto"/>
        <w:right w:val="none" w:sz="0" w:space="0" w:color="auto"/>
      </w:divBdr>
      <w:divsChild>
        <w:div w:id="1393115130">
          <w:marLeft w:val="0"/>
          <w:marRight w:val="0"/>
          <w:marTop w:val="0"/>
          <w:marBottom w:val="0"/>
          <w:divBdr>
            <w:top w:val="none" w:sz="0" w:space="0" w:color="auto"/>
            <w:left w:val="none" w:sz="0" w:space="0" w:color="auto"/>
            <w:bottom w:val="none" w:sz="0" w:space="0" w:color="auto"/>
            <w:right w:val="none" w:sz="0" w:space="0" w:color="auto"/>
          </w:divBdr>
          <w:divsChild>
            <w:div w:id="518663500">
              <w:marLeft w:val="0"/>
              <w:marRight w:val="0"/>
              <w:marTop w:val="0"/>
              <w:marBottom w:val="0"/>
              <w:divBdr>
                <w:top w:val="none" w:sz="0" w:space="0" w:color="auto"/>
                <w:left w:val="none" w:sz="0" w:space="0" w:color="auto"/>
                <w:bottom w:val="none" w:sz="0" w:space="0" w:color="auto"/>
                <w:right w:val="none" w:sz="0" w:space="0" w:color="auto"/>
              </w:divBdr>
              <w:divsChild>
                <w:div w:id="1320580255">
                  <w:marLeft w:val="0"/>
                  <w:marRight w:val="0"/>
                  <w:marTop w:val="0"/>
                  <w:marBottom w:val="0"/>
                  <w:divBdr>
                    <w:top w:val="none" w:sz="0" w:space="0" w:color="auto"/>
                    <w:left w:val="none" w:sz="0" w:space="0" w:color="auto"/>
                    <w:bottom w:val="none" w:sz="0" w:space="0" w:color="auto"/>
                    <w:right w:val="none" w:sz="0" w:space="0" w:color="auto"/>
                  </w:divBdr>
                  <w:divsChild>
                    <w:div w:id="1483307252">
                      <w:marLeft w:val="0"/>
                      <w:marRight w:val="0"/>
                      <w:marTop w:val="0"/>
                      <w:marBottom w:val="0"/>
                      <w:divBdr>
                        <w:top w:val="none" w:sz="0" w:space="0" w:color="auto"/>
                        <w:left w:val="none" w:sz="0" w:space="0" w:color="auto"/>
                        <w:bottom w:val="none" w:sz="0" w:space="0" w:color="auto"/>
                        <w:right w:val="none" w:sz="0" w:space="0" w:color="auto"/>
                      </w:divBdr>
                      <w:divsChild>
                        <w:div w:id="719477892">
                          <w:marLeft w:val="0"/>
                          <w:marRight w:val="0"/>
                          <w:marTop w:val="0"/>
                          <w:marBottom w:val="0"/>
                          <w:divBdr>
                            <w:top w:val="none" w:sz="0" w:space="0" w:color="auto"/>
                            <w:left w:val="none" w:sz="0" w:space="0" w:color="auto"/>
                            <w:bottom w:val="none" w:sz="0" w:space="0" w:color="auto"/>
                            <w:right w:val="none" w:sz="0" w:space="0" w:color="auto"/>
                          </w:divBdr>
                          <w:divsChild>
                            <w:div w:id="2121996764">
                              <w:marLeft w:val="0"/>
                              <w:marRight w:val="0"/>
                              <w:marTop w:val="0"/>
                              <w:marBottom w:val="0"/>
                              <w:divBdr>
                                <w:top w:val="none" w:sz="0" w:space="0" w:color="auto"/>
                                <w:left w:val="none" w:sz="0" w:space="0" w:color="auto"/>
                                <w:bottom w:val="none" w:sz="0" w:space="0" w:color="auto"/>
                                <w:right w:val="none" w:sz="0" w:space="0" w:color="auto"/>
                              </w:divBdr>
                              <w:divsChild>
                                <w:div w:id="18454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41109">
      <w:bodyDiv w:val="1"/>
      <w:marLeft w:val="0"/>
      <w:marRight w:val="0"/>
      <w:marTop w:val="0"/>
      <w:marBottom w:val="0"/>
      <w:divBdr>
        <w:top w:val="none" w:sz="0" w:space="0" w:color="auto"/>
        <w:left w:val="none" w:sz="0" w:space="0" w:color="auto"/>
        <w:bottom w:val="none" w:sz="0" w:space="0" w:color="auto"/>
        <w:right w:val="none" w:sz="0" w:space="0" w:color="auto"/>
      </w:divBdr>
      <w:divsChild>
        <w:div w:id="1516268968">
          <w:marLeft w:val="0"/>
          <w:marRight w:val="0"/>
          <w:marTop w:val="0"/>
          <w:marBottom w:val="0"/>
          <w:divBdr>
            <w:top w:val="none" w:sz="0" w:space="0" w:color="auto"/>
            <w:left w:val="none" w:sz="0" w:space="0" w:color="auto"/>
            <w:bottom w:val="none" w:sz="0" w:space="0" w:color="auto"/>
            <w:right w:val="none" w:sz="0" w:space="0" w:color="auto"/>
          </w:divBdr>
          <w:divsChild>
            <w:div w:id="1683361208">
              <w:marLeft w:val="0"/>
              <w:marRight w:val="0"/>
              <w:marTop w:val="0"/>
              <w:marBottom w:val="0"/>
              <w:divBdr>
                <w:top w:val="none" w:sz="0" w:space="0" w:color="auto"/>
                <w:left w:val="none" w:sz="0" w:space="0" w:color="auto"/>
                <w:bottom w:val="none" w:sz="0" w:space="0" w:color="auto"/>
                <w:right w:val="none" w:sz="0" w:space="0" w:color="auto"/>
              </w:divBdr>
              <w:divsChild>
                <w:div w:id="966011015">
                  <w:marLeft w:val="0"/>
                  <w:marRight w:val="0"/>
                  <w:marTop w:val="0"/>
                  <w:marBottom w:val="0"/>
                  <w:divBdr>
                    <w:top w:val="none" w:sz="0" w:space="0" w:color="auto"/>
                    <w:left w:val="none" w:sz="0" w:space="0" w:color="auto"/>
                    <w:bottom w:val="none" w:sz="0" w:space="0" w:color="auto"/>
                    <w:right w:val="none" w:sz="0" w:space="0" w:color="auto"/>
                  </w:divBdr>
                  <w:divsChild>
                    <w:div w:id="1249653271">
                      <w:marLeft w:val="0"/>
                      <w:marRight w:val="0"/>
                      <w:marTop w:val="0"/>
                      <w:marBottom w:val="0"/>
                      <w:divBdr>
                        <w:top w:val="none" w:sz="0" w:space="0" w:color="auto"/>
                        <w:left w:val="none" w:sz="0" w:space="0" w:color="auto"/>
                        <w:bottom w:val="none" w:sz="0" w:space="0" w:color="auto"/>
                        <w:right w:val="none" w:sz="0" w:space="0" w:color="auto"/>
                      </w:divBdr>
                      <w:divsChild>
                        <w:div w:id="1404177217">
                          <w:marLeft w:val="0"/>
                          <w:marRight w:val="0"/>
                          <w:marTop w:val="0"/>
                          <w:marBottom w:val="0"/>
                          <w:divBdr>
                            <w:top w:val="none" w:sz="0" w:space="0" w:color="auto"/>
                            <w:left w:val="none" w:sz="0" w:space="0" w:color="auto"/>
                            <w:bottom w:val="none" w:sz="0" w:space="0" w:color="auto"/>
                            <w:right w:val="none" w:sz="0" w:space="0" w:color="auto"/>
                          </w:divBdr>
                          <w:divsChild>
                            <w:div w:id="1709405514">
                              <w:marLeft w:val="0"/>
                              <w:marRight w:val="0"/>
                              <w:marTop w:val="0"/>
                              <w:marBottom w:val="0"/>
                              <w:divBdr>
                                <w:top w:val="none" w:sz="0" w:space="0" w:color="auto"/>
                                <w:left w:val="none" w:sz="0" w:space="0" w:color="auto"/>
                                <w:bottom w:val="none" w:sz="0" w:space="0" w:color="auto"/>
                                <w:right w:val="none" w:sz="0" w:space="0" w:color="auto"/>
                              </w:divBdr>
                              <w:divsChild>
                                <w:div w:id="872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921217">
      <w:bodyDiv w:val="1"/>
      <w:marLeft w:val="0"/>
      <w:marRight w:val="0"/>
      <w:marTop w:val="0"/>
      <w:marBottom w:val="0"/>
      <w:divBdr>
        <w:top w:val="none" w:sz="0" w:space="0" w:color="auto"/>
        <w:left w:val="none" w:sz="0" w:space="0" w:color="auto"/>
        <w:bottom w:val="none" w:sz="0" w:space="0" w:color="auto"/>
        <w:right w:val="none" w:sz="0" w:space="0" w:color="auto"/>
      </w:divBdr>
      <w:divsChild>
        <w:div w:id="1324503302">
          <w:marLeft w:val="0"/>
          <w:marRight w:val="0"/>
          <w:marTop w:val="0"/>
          <w:marBottom w:val="0"/>
          <w:divBdr>
            <w:top w:val="none" w:sz="0" w:space="0" w:color="auto"/>
            <w:left w:val="none" w:sz="0" w:space="0" w:color="auto"/>
            <w:bottom w:val="none" w:sz="0" w:space="0" w:color="auto"/>
            <w:right w:val="none" w:sz="0" w:space="0" w:color="auto"/>
          </w:divBdr>
          <w:divsChild>
            <w:div w:id="1851987244">
              <w:marLeft w:val="0"/>
              <w:marRight w:val="0"/>
              <w:marTop w:val="0"/>
              <w:marBottom w:val="0"/>
              <w:divBdr>
                <w:top w:val="none" w:sz="0" w:space="0" w:color="auto"/>
                <w:left w:val="none" w:sz="0" w:space="0" w:color="auto"/>
                <w:bottom w:val="none" w:sz="0" w:space="0" w:color="auto"/>
                <w:right w:val="none" w:sz="0" w:space="0" w:color="auto"/>
              </w:divBdr>
              <w:divsChild>
                <w:div w:id="515194310">
                  <w:marLeft w:val="0"/>
                  <w:marRight w:val="0"/>
                  <w:marTop w:val="0"/>
                  <w:marBottom w:val="0"/>
                  <w:divBdr>
                    <w:top w:val="none" w:sz="0" w:space="0" w:color="auto"/>
                    <w:left w:val="none" w:sz="0" w:space="0" w:color="auto"/>
                    <w:bottom w:val="none" w:sz="0" w:space="0" w:color="auto"/>
                    <w:right w:val="none" w:sz="0" w:space="0" w:color="auto"/>
                  </w:divBdr>
                  <w:divsChild>
                    <w:div w:id="506868980">
                      <w:marLeft w:val="0"/>
                      <w:marRight w:val="0"/>
                      <w:marTop w:val="0"/>
                      <w:marBottom w:val="0"/>
                      <w:divBdr>
                        <w:top w:val="none" w:sz="0" w:space="0" w:color="auto"/>
                        <w:left w:val="none" w:sz="0" w:space="0" w:color="auto"/>
                        <w:bottom w:val="none" w:sz="0" w:space="0" w:color="auto"/>
                        <w:right w:val="none" w:sz="0" w:space="0" w:color="auto"/>
                      </w:divBdr>
                      <w:divsChild>
                        <w:div w:id="1571309667">
                          <w:marLeft w:val="0"/>
                          <w:marRight w:val="0"/>
                          <w:marTop w:val="0"/>
                          <w:marBottom w:val="0"/>
                          <w:divBdr>
                            <w:top w:val="none" w:sz="0" w:space="0" w:color="auto"/>
                            <w:left w:val="none" w:sz="0" w:space="0" w:color="auto"/>
                            <w:bottom w:val="none" w:sz="0" w:space="0" w:color="auto"/>
                            <w:right w:val="none" w:sz="0" w:space="0" w:color="auto"/>
                          </w:divBdr>
                          <w:divsChild>
                            <w:div w:id="1498111902">
                              <w:marLeft w:val="0"/>
                              <w:marRight w:val="0"/>
                              <w:marTop w:val="0"/>
                              <w:marBottom w:val="0"/>
                              <w:divBdr>
                                <w:top w:val="none" w:sz="0" w:space="0" w:color="auto"/>
                                <w:left w:val="none" w:sz="0" w:space="0" w:color="auto"/>
                                <w:bottom w:val="none" w:sz="0" w:space="0" w:color="auto"/>
                                <w:right w:val="none" w:sz="0" w:space="0" w:color="auto"/>
                              </w:divBdr>
                              <w:divsChild>
                                <w:div w:id="10350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86163">
      <w:bodyDiv w:val="1"/>
      <w:marLeft w:val="0"/>
      <w:marRight w:val="0"/>
      <w:marTop w:val="0"/>
      <w:marBottom w:val="0"/>
      <w:divBdr>
        <w:top w:val="none" w:sz="0" w:space="0" w:color="auto"/>
        <w:left w:val="none" w:sz="0" w:space="0" w:color="auto"/>
        <w:bottom w:val="none" w:sz="0" w:space="0" w:color="auto"/>
        <w:right w:val="none" w:sz="0" w:space="0" w:color="auto"/>
      </w:divBdr>
      <w:divsChild>
        <w:div w:id="842014649">
          <w:marLeft w:val="0"/>
          <w:marRight w:val="0"/>
          <w:marTop w:val="0"/>
          <w:marBottom w:val="0"/>
          <w:divBdr>
            <w:top w:val="none" w:sz="0" w:space="0" w:color="auto"/>
            <w:left w:val="none" w:sz="0" w:space="0" w:color="auto"/>
            <w:bottom w:val="none" w:sz="0" w:space="0" w:color="auto"/>
            <w:right w:val="none" w:sz="0" w:space="0" w:color="auto"/>
          </w:divBdr>
          <w:divsChild>
            <w:div w:id="1921210212">
              <w:marLeft w:val="0"/>
              <w:marRight w:val="0"/>
              <w:marTop w:val="0"/>
              <w:marBottom w:val="0"/>
              <w:divBdr>
                <w:top w:val="none" w:sz="0" w:space="0" w:color="auto"/>
                <w:left w:val="none" w:sz="0" w:space="0" w:color="auto"/>
                <w:bottom w:val="none" w:sz="0" w:space="0" w:color="auto"/>
                <w:right w:val="none" w:sz="0" w:space="0" w:color="auto"/>
              </w:divBdr>
              <w:divsChild>
                <w:div w:id="727145278">
                  <w:marLeft w:val="0"/>
                  <w:marRight w:val="0"/>
                  <w:marTop w:val="0"/>
                  <w:marBottom w:val="0"/>
                  <w:divBdr>
                    <w:top w:val="none" w:sz="0" w:space="0" w:color="auto"/>
                    <w:left w:val="none" w:sz="0" w:space="0" w:color="auto"/>
                    <w:bottom w:val="none" w:sz="0" w:space="0" w:color="auto"/>
                    <w:right w:val="none" w:sz="0" w:space="0" w:color="auto"/>
                  </w:divBdr>
                  <w:divsChild>
                    <w:div w:id="1943681006">
                      <w:marLeft w:val="0"/>
                      <w:marRight w:val="0"/>
                      <w:marTop w:val="0"/>
                      <w:marBottom w:val="0"/>
                      <w:divBdr>
                        <w:top w:val="none" w:sz="0" w:space="0" w:color="auto"/>
                        <w:left w:val="none" w:sz="0" w:space="0" w:color="auto"/>
                        <w:bottom w:val="none" w:sz="0" w:space="0" w:color="auto"/>
                        <w:right w:val="none" w:sz="0" w:space="0" w:color="auto"/>
                      </w:divBdr>
                      <w:divsChild>
                        <w:div w:id="1133208776">
                          <w:marLeft w:val="0"/>
                          <w:marRight w:val="0"/>
                          <w:marTop w:val="0"/>
                          <w:marBottom w:val="0"/>
                          <w:divBdr>
                            <w:top w:val="none" w:sz="0" w:space="0" w:color="auto"/>
                            <w:left w:val="none" w:sz="0" w:space="0" w:color="auto"/>
                            <w:bottom w:val="none" w:sz="0" w:space="0" w:color="auto"/>
                            <w:right w:val="none" w:sz="0" w:space="0" w:color="auto"/>
                          </w:divBdr>
                          <w:divsChild>
                            <w:div w:id="703752545">
                              <w:marLeft w:val="0"/>
                              <w:marRight w:val="0"/>
                              <w:marTop w:val="0"/>
                              <w:marBottom w:val="0"/>
                              <w:divBdr>
                                <w:top w:val="none" w:sz="0" w:space="0" w:color="auto"/>
                                <w:left w:val="none" w:sz="0" w:space="0" w:color="auto"/>
                                <w:bottom w:val="none" w:sz="0" w:space="0" w:color="auto"/>
                                <w:right w:val="none" w:sz="0" w:space="0" w:color="auto"/>
                              </w:divBdr>
                              <w:divsChild>
                                <w:div w:id="15790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7233">
      <w:bodyDiv w:val="1"/>
      <w:marLeft w:val="0"/>
      <w:marRight w:val="0"/>
      <w:marTop w:val="0"/>
      <w:marBottom w:val="0"/>
      <w:divBdr>
        <w:top w:val="none" w:sz="0" w:space="0" w:color="auto"/>
        <w:left w:val="none" w:sz="0" w:space="0" w:color="auto"/>
        <w:bottom w:val="none" w:sz="0" w:space="0" w:color="auto"/>
        <w:right w:val="none" w:sz="0" w:space="0" w:color="auto"/>
      </w:divBdr>
      <w:divsChild>
        <w:div w:id="1541892237">
          <w:marLeft w:val="0"/>
          <w:marRight w:val="0"/>
          <w:marTop w:val="0"/>
          <w:marBottom w:val="0"/>
          <w:divBdr>
            <w:top w:val="none" w:sz="0" w:space="0" w:color="auto"/>
            <w:left w:val="none" w:sz="0" w:space="0" w:color="auto"/>
            <w:bottom w:val="none" w:sz="0" w:space="0" w:color="auto"/>
            <w:right w:val="none" w:sz="0" w:space="0" w:color="auto"/>
          </w:divBdr>
          <w:divsChild>
            <w:div w:id="1471940761">
              <w:marLeft w:val="0"/>
              <w:marRight w:val="0"/>
              <w:marTop w:val="0"/>
              <w:marBottom w:val="0"/>
              <w:divBdr>
                <w:top w:val="none" w:sz="0" w:space="0" w:color="auto"/>
                <w:left w:val="none" w:sz="0" w:space="0" w:color="auto"/>
                <w:bottom w:val="none" w:sz="0" w:space="0" w:color="auto"/>
                <w:right w:val="none" w:sz="0" w:space="0" w:color="auto"/>
              </w:divBdr>
              <w:divsChild>
                <w:div w:id="1279142317">
                  <w:marLeft w:val="0"/>
                  <w:marRight w:val="0"/>
                  <w:marTop w:val="0"/>
                  <w:marBottom w:val="0"/>
                  <w:divBdr>
                    <w:top w:val="none" w:sz="0" w:space="0" w:color="auto"/>
                    <w:left w:val="none" w:sz="0" w:space="0" w:color="auto"/>
                    <w:bottom w:val="none" w:sz="0" w:space="0" w:color="auto"/>
                    <w:right w:val="none" w:sz="0" w:space="0" w:color="auto"/>
                  </w:divBdr>
                  <w:divsChild>
                    <w:div w:id="1161509253">
                      <w:marLeft w:val="0"/>
                      <w:marRight w:val="0"/>
                      <w:marTop w:val="0"/>
                      <w:marBottom w:val="0"/>
                      <w:divBdr>
                        <w:top w:val="none" w:sz="0" w:space="0" w:color="auto"/>
                        <w:left w:val="none" w:sz="0" w:space="0" w:color="auto"/>
                        <w:bottom w:val="none" w:sz="0" w:space="0" w:color="auto"/>
                        <w:right w:val="none" w:sz="0" w:space="0" w:color="auto"/>
                      </w:divBdr>
                      <w:divsChild>
                        <w:div w:id="856433675">
                          <w:marLeft w:val="0"/>
                          <w:marRight w:val="0"/>
                          <w:marTop w:val="0"/>
                          <w:marBottom w:val="0"/>
                          <w:divBdr>
                            <w:top w:val="none" w:sz="0" w:space="0" w:color="auto"/>
                            <w:left w:val="none" w:sz="0" w:space="0" w:color="auto"/>
                            <w:bottom w:val="none" w:sz="0" w:space="0" w:color="auto"/>
                            <w:right w:val="none" w:sz="0" w:space="0" w:color="auto"/>
                          </w:divBdr>
                          <w:divsChild>
                            <w:div w:id="1087771791">
                              <w:marLeft w:val="0"/>
                              <w:marRight w:val="0"/>
                              <w:marTop w:val="0"/>
                              <w:marBottom w:val="0"/>
                              <w:divBdr>
                                <w:top w:val="none" w:sz="0" w:space="0" w:color="auto"/>
                                <w:left w:val="none" w:sz="0" w:space="0" w:color="auto"/>
                                <w:bottom w:val="none" w:sz="0" w:space="0" w:color="auto"/>
                                <w:right w:val="none" w:sz="0" w:space="0" w:color="auto"/>
                              </w:divBdr>
                              <w:divsChild>
                                <w:div w:id="8787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me\Desktop\sabeq\PCBS\Energy%20%20%20ASD\diwan@pcbs.gov.p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cbs.gov.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title>
      <c:tx>
        <c:rich>
          <a:bodyPr/>
          <a:lstStyle/>
          <a:p>
            <a:pPr>
              <a:defRPr sz="750"/>
            </a:pPr>
            <a:r>
              <a:rPr lang="en-US" sz="750"/>
              <a:t>Number</a:t>
            </a:r>
            <a:r>
              <a:rPr lang="en-US" sz="750" baseline="0"/>
              <a:t>  of Inbound Visits during the First  Half of the Year (2008-2013)</a:t>
            </a:r>
            <a:endParaRPr lang="ar-SA" sz="750"/>
          </a:p>
        </c:rich>
      </c:tx>
      <c:layout>
        <c:manualLayout>
          <c:xMode val="edge"/>
          <c:yMode val="edge"/>
          <c:x val="0.18225263045116369"/>
          <c:y val="2.2055762002697998E-2"/>
        </c:manualLayout>
      </c:layout>
    </c:title>
    <c:plotArea>
      <c:layout>
        <c:manualLayout>
          <c:layoutTarget val="inner"/>
          <c:xMode val="edge"/>
          <c:yMode val="edge"/>
          <c:x val="0.18633547943803741"/>
          <c:y val="0.17226939463445926"/>
          <c:w val="0.7688519810061557"/>
          <c:h val="0.63264804233301186"/>
        </c:manualLayout>
      </c:layout>
      <c:lineChart>
        <c:grouping val="standard"/>
        <c:ser>
          <c:idx val="0"/>
          <c:order val="0"/>
          <c:cat>
            <c:strRef>
              <c:f>Sheet1!$B$1:$G$1</c:f>
              <c:strCache>
                <c:ptCount val="6"/>
                <c:pt idx="0">
                  <c:v>2008</c:v>
                </c:pt>
                <c:pt idx="1">
                  <c:v>2009</c:v>
                </c:pt>
                <c:pt idx="2">
                  <c:v>2010</c:v>
                </c:pt>
                <c:pt idx="3">
                  <c:v>2011</c:v>
                </c:pt>
                <c:pt idx="4">
                  <c:v>2012</c:v>
                </c:pt>
                <c:pt idx="5">
                  <c:v>2013</c:v>
                </c:pt>
              </c:strCache>
            </c:strRef>
          </c:cat>
          <c:val>
            <c:numRef>
              <c:f>Sheet1!$B$2:$G$2</c:f>
              <c:numCache>
                <c:formatCode>#,##0</c:formatCode>
                <c:ptCount val="6"/>
                <c:pt idx="0">
                  <c:v>444.53299999999899</c:v>
                </c:pt>
                <c:pt idx="1">
                  <c:v>560.79500000000053</c:v>
                </c:pt>
                <c:pt idx="2">
                  <c:v>1291.646</c:v>
                </c:pt>
                <c:pt idx="3">
                  <c:v>1493.4180000000001</c:v>
                </c:pt>
                <c:pt idx="4">
                  <c:v>1190.836</c:v>
                </c:pt>
                <c:pt idx="5">
                  <c:v>1340.027</c:v>
                </c:pt>
              </c:numCache>
            </c:numRef>
          </c:val>
        </c:ser>
        <c:marker val="1"/>
        <c:axId val="69580672"/>
        <c:axId val="69582208"/>
      </c:lineChart>
      <c:catAx>
        <c:axId val="69580672"/>
        <c:scaling>
          <c:orientation val="minMax"/>
        </c:scaling>
        <c:axPos val="b"/>
        <c:numFmt formatCode="General" sourceLinked="1"/>
        <c:majorTickMark val="none"/>
        <c:tickLblPos val="nextTo"/>
        <c:txPr>
          <a:bodyPr rot="-2700000" vert="horz"/>
          <a:lstStyle/>
          <a:p>
            <a:pPr>
              <a:defRPr sz="800">
                <a:latin typeface="Arial" pitchFamily="34" charset="0"/>
                <a:cs typeface="Arial" pitchFamily="34" charset="0"/>
              </a:defRPr>
            </a:pPr>
            <a:endParaRPr lang="ar-SA"/>
          </a:p>
        </c:txPr>
        <c:crossAx val="69582208"/>
        <c:crosses val="autoZero"/>
        <c:auto val="1"/>
        <c:lblAlgn val="ctr"/>
        <c:lblOffset val="100"/>
        <c:tickLblSkip val="1"/>
        <c:tickMarkSkip val="1"/>
      </c:catAx>
      <c:valAx>
        <c:axId val="69582208"/>
        <c:scaling>
          <c:orientation val="minMax"/>
        </c:scaling>
        <c:axPos val="l"/>
        <c:title>
          <c:tx>
            <c:rich>
              <a:bodyPr/>
              <a:lstStyle/>
              <a:p>
                <a:pPr>
                  <a:defRPr sz="700" b="1">
                    <a:cs typeface="+mn-cs"/>
                  </a:defRPr>
                </a:pPr>
                <a:r>
                  <a:rPr lang="en-US" sz="700" b="1">
                    <a:cs typeface="+mn-cs"/>
                  </a:rPr>
                  <a:t>No.in (000)</a:t>
                </a:r>
                <a:endParaRPr lang="ar-SA" sz="700" b="1">
                  <a:cs typeface="+mn-cs"/>
                </a:endParaRPr>
              </a:p>
            </c:rich>
          </c:tx>
          <c:layout>
            <c:manualLayout>
              <c:xMode val="edge"/>
              <c:yMode val="edge"/>
              <c:x val="1.5323835555622618E-2"/>
              <c:y val="0.31191840410063654"/>
            </c:manualLayout>
          </c:layout>
        </c:title>
        <c:numFmt formatCode="#,##0" sourceLinked="0"/>
        <c:majorTickMark val="none"/>
        <c:tickLblPos val="nextTo"/>
        <c:txPr>
          <a:bodyPr rot="60000" vert="horz"/>
          <a:lstStyle/>
          <a:p>
            <a:pPr>
              <a:defRPr sz="900"/>
            </a:pPr>
            <a:endParaRPr lang="ar-SA"/>
          </a:p>
        </c:txPr>
        <c:crossAx val="69580672"/>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3D45-910B-4DDD-BE1C-FFB3CB82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mshaheen</dc:creator>
  <cp:lastModifiedBy>fathi</cp:lastModifiedBy>
  <cp:revision>49</cp:revision>
  <cp:lastPrinted>2013-09-22T05:10:00Z</cp:lastPrinted>
  <dcterms:created xsi:type="dcterms:W3CDTF">2012-09-24T12:21:00Z</dcterms:created>
  <dcterms:modified xsi:type="dcterms:W3CDTF">2013-09-23T08:37:00Z</dcterms:modified>
</cp:coreProperties>
</file>