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173E6C" w:rsidRPr="00E7453E" w:rsidRDefault="00524B6E" w:rsidP="00E7453E">
      <w:pPr>
        <w:shd w:val="clear" w:color="auto" w:fill="FFFFFF" w:themeFill="background1"/>
        <w:bidi w:val="0"/>
        <w:spacing w:after="0" w:line="240" w:lineRule="auto"/>
        <w:jc w:val="center"/>
        <w:rPr>
          <w:rFonts w:asciiTheme="majorBidi" w:hAnsiTheme="majorBidi" w:cstheme="majorBidi"/>
          <w:b/>
          <w:bCs/>
          <w:sz w:val="28"/>
          <w:szCs w:val="28"/>
        </w:rPr>
      </w:pPr>
      <w:r w:rsidRPr="00E7453E">
        <w:rPr>
          <w:rFonts w:asciiTheme="majorBidi" w:hAnsiTheme="majorBidi" w:cstheme="majorBidi"/>
          <w:b/>
          <w:bCs/>
          <w:sz w:val="32"/>
          <w:szCs w:val="32"/>
        </w:rPr>
        <w:t>The Palestinian Central Bureau of Statistics</w:t>
      </w:r>
      <w:r w:rsidR="008E30A6" w:rsidRPr="00E7453E">
        <w:rPr>
          <w:rFonts w:asciiTheme="majorBidi" w:hAnsiTheme="majorBidi" w:cstheme="majorBidi"/>
          <w:b/>
          <w:bCs/>
          <w:sz w:val="32"/>
          <w:szCs w:val="32"/>
        </w:rPr>
        <w:t xml:space="preserve"> (PCBS) </w:t>
      </w:r>
      <w:r w:rsidRPr="00E7453E">
        <w:rPr>
          <w:rFonts w:asciiTheme="majorBidi" w:hAnsiTheme="majorBidi" w:cstheme="majorBidi"/>
          <w:b/>
          <w:bCs/>
          <w:sz w:val="32"/>
          <w:szCs w:val="32"/>
        </w:rPr>
        <w:t xml:space="preserve">announces the preliminary results of the </w:t>
      </w:r>
      <w:r w:rsidR="006842C5" w:rsidRPr="00E7453E">
        <w:rPr>
          <w:rFonts w:asciiTheme="majorBidi" w:hAnsiTheme="majorBidi" w:cstheme="majorBidi"/>
          <w:b/>
          <w:bCs/>
          <w:sz w:val="32"/>
          <w:szCs w:val="32"/>
        </w:rPr>
        <w:t>“</w:t>
      </w:r>
      <w:r w:rsidRPr="00E7453E">
        <w:rPr>
          <w:rFonts w:asciiTheme="majorBidi" w:hAnsiTheme="majorBidi" w:cstheme="majorBidi"/>
          <w:b/>
          <w:bCs/>
          <w:sz w:val="32"/>
          <w:szCs w:val="32"/>
        </w:rPr>
        <w:t>Smoking and Tobacco Consumption Survey, 2021</w:t>
      </w:r>
      <w:r w:rsidR="006842C5" w:rsidRPr="00E7453E">
        <w:rPr>
          <w:rFonts w:asciiTheme="majorBidi" w:hAnsiTheme="majorBidi" w:cstheme="majorBidi"/>
          <w:b/>
          <w:bCs/>
          <w:sz w:val="32"/>
          <w:szCs w:val="32"/>
        </w:rPr>
        <w:t>”</w:t>
      </w:r>
      <w:r w:rsidRPr="00E7453E">
        <w:rPr>
          <w:rFonts w:asciiTheme="majorBidi" w:hAnsiTheme="majorBidi" w:cstheme="majorBidi"/>
          <w:b/>
          <w:bCs/>
          <w:sz w:val="32"/>
          <w:szCs w:val="32"/>
        </w:rPr>
        <w:t xml:space="preserve"> on the World No Tobacco Day</w:t>
      </w:r>
      <w:r w:rsidR="006842C5" w:rsidRPr="00E7453E">
        <w:rPr>
          <w:rFonts w:asciiTheme="majorBidi" w:hAnsiTheme="majorBidi" w:cstheme="majorBidi"/>
          <w:b/>
          <w:bCs/>
          <w:sz w:val="32"/>
          <w:szCs w:val="32"/>
        </w:rPr>
        <w:t xml:space="preserve"> (</w:t>
      </w:r>
      <w:r w:rsidRPr="00E7453E">
        <w:rPr>
          <w:rFonts w:asciiTheme="majorBidi" w:hAnsiTheme="majorBidi" w:cstheme="majorBidi"/>
          <w:b/>
          <w:bCs/>
          <w:sz w:val="32"/>
          <w:szCs w:val="32"/>
        </w:rPr>
        <w:t>May 31</w:t>
      </w:r>
      <w:r w:rsidR="006842C5" w:rsidRPr="00E7453E">
        <w:rPr>
          <w:rFonts w:asciiTheme="majorBidi" w:hAnsiTheme="majorBidi" w:cstheme="majorBidi"/>
          <w:b/>
          <w:bCs/>
          <w:sz w:val="32"/>
          <w:szCs w:val="32"/>
          <w:vertAlign w:val="superscript"/>
        </w:rPr>
        <w:t>st</w:t>
      </w:r>
      <w:r w:rsidR="006842C5" w:rsidRPr="00E7453E">
        <w:rPr>
          <w:rFonts w:asciiTheme="majorBidi" w:hAnsiTheme="majorBidi" w:cstheme="majorBidi"/>
          <w:b/>
          <w:bCs/>
          <w:sz w:val="32"/>
          <w:szCs w:val="32"/>
        </w:rPr>
        <w:t xml:space="preserve"> </w:t>
      </w:r>
      <w:r w:rsidRPr="00E7453E">
        <w:rPr>
          <w:rFonts w:asciiTheme="majorBidi" w:hAnsiTheme="majorBidi" w:cstheme="majorBidi"/>
          <w:b/>
          <w:bCs/>
          <w:sz w:val="32"/>
          <w:szCs w:val="32"/>
        </w:rPr>
        <w:t>, 2022</w:t>
      </w:r>
      <w:r w:rsidR="006842C5" w:rsidRPr="00E7453E">
        <w:rPr>
          <w:rFonts w:asciiTheme="majorBidi" w:hAnsiTheme="majorBidi" w:cstheme="majorBidi"/>
          <w:b/>
          <w:bCs/>
          <w:sz w:val="32"/>
          <w:szCs w:val="32"/>
        </w:rPr>
        <w:t>)</w:t>
      </w:r>
    </w:p>
    <w:p w:rsidR="00E7453E" w:rsidRDefault="00E7453E" w:rsidP="00E7453E">
      <w:pPr>
        <w:shd w:val="clear" w:color="auto" w:fill="FFFFFF" w:themeFill="background1"/>
        <w:bidi w:val="0"/>
        <w:spacing w:after="0" w:line="240" w:lineRule="auto"/>
        <w:jc w:val="both"/>
        <w:rPr>
          <w:rFonts w:asciiTheme="majorBidi" w:hAnsiTheme="majorBidi" w:cstheme="majorBidi"/>
          <w:color w:val="000000" w:themeColor="text1"/>
          <w:sz w:val="24"/>
          <w:szCs w:val="24"/>
        </w:rPr>
      </w:pPr>
    </w:p>
    <w:p w:rsidR="00E7453E" w:rsidRPr="00C66E17" w:rsidRDefault="00E7453E" w:rsidP="00E7453E">
      <w:pPr>
        <w:shd w:val="clear" w:color="auto" w:fill="FFFFFF" w:themeFill="background1"/>
        <w:bidi w:val="0"/>
        <w:spacing w:after="0" w:line="240" w:lineRule="auto"/>
        <w:jc w:val="both"/>
        <w:rPr>
          <w:rFonts w:asciiTheme="majorBidi" w:hAnsiTheme="majorBidi" w:cstheme="majorBidi"/>
          <w:color w:val="000000" w:themeColor="text1"/>
          <w:sz w:val="16"/>
          <w:szCs w:val="16"/>
        </w:rPr>
      </w:pPr>
    </w:p>
    <w:p w:rsidR="00173E6C" w:rsidRPr="00E7453E" w:rsidRDefault="00173E6C" w:rsidP="00E7453E">
      <w:pPr>
        <w:shd w:val="clear" w:color="auto" w:fill="FFFFFF" w:themeFill="background1"/>
        <w:bidi w:val="0"/>
        <w:spacing w:after="0" w:line="240" w:lineRule="auto"/>
        <w:jc w:val="both"/>
        <w:rPr>
          <w:rFonts w:asciiTheme="majorBidi" w:hAnsiTheme="majorBidi" w:cstheme="majorBidi"/>
          <w:color w:val="000000" w:themeColor="text1"/>
          <w:sz w:val="26"/>
          <w:szCs w:val="26"/>
        </w:rPr>
      </w:pPr>
      <w:r w:rsidRPr="00E7453E">
        <w:rPr>
          <w:rFonts w:asciiTheme="majorBidi" w:hAnsiTheme="majorBidi" w:cstheme="majorBidi"/>
          <w:color w:val="000000" w:themeColor="text1"/>
          <w:sz w:val="26"/>
          <w:szCs w:val="26"/>
        </w:rPr>
        <w:t xml:space="preserve">The Palestinian Central Bureau of Statistics </w:t>
      </w:r>
      <w:r w:rsidR="000A3734" w:rsidRPr="00E7453E">
        <w:rPr>
          <w:rFonts w:asciiTheme="majorBidi" w:hAnsiTheme="majorBidi" w:cstheme="majorBidi"/>
          <w:color w:val="000000" w:themeColor="text1"/>
          <w:sz w:val="26"/>
          <w:szCs w:val="26"/>
        </w:rPr>
        <w:t xml:space="preserve">(PCBS) </w:t>
      </w:r>
      <w:r w:rsidR="00B46852" w:rsidRPr="00E7453E">
        <w:rPr>
          <w:rFonts w:asciiTheme="majorBidi" w:hAnsiTheme="majorBidi" w:cstheme="majorBidi"/>
          <w:color w:val="000000" w:themeColor="text1"/>
          <w:sz w:val="26"/>
          <w:szCs w:val="26"/>
        </w:rPr>
        <w:t>in cooperation with the Statistical, Economic and Social Research and Training Centre for Islamic Countries (SESRIC)</w:t>
      </w:r>
      <w:r w:rsidR="00B46852" w:rsidRPr="00E7453E">
        <w:rPr>
          <w:rFonts w:asciiTheme="majorBidi" w:hAnsiTheme="majorBidi" w:cstheme="majorBidi"/>
          <w:sz w:val="26"/>
          <w:szCs w:val="26"/>
        </w:rPr>
        <w:t xml:space="preserve"> </w:t>
      </w:r>
      <w:r w:rsidRPr="00E7453E">
        <w:rPr>
          <w:rFonts w:asciiTheme="majorBidi" w:hAnsiTheme="majorBidi" w:cstheme="majorBidi"/>
          <w:color w:val="000000" w:themeColor="text1"/>
          <w:sz w:val="26"/>
          <w:szCs w:val="26"/>
        </w:rPr>
        <w:t>carried out the first specialized survey on smoking and tobacco consumption in Palestine during the period between (</w:t>
      </w:r>
      <w:r w:rsidR="008620D0" w:rsidRPr="00E7453E">
        <w:rPr>
          <w:rFonts w:asciiTheme="majorBidi" w:hAnsiTheme="majorBidi" w:cstheme="majorBidi"/>
          <w:color w:val="000000" w:themeColor="text1"/>
          <w:sz w:val="26"/>
          <w:szCs w:val="26"/>
        </w:rPr>
        <w:t>14</w:t>
      </w:r>
      <w:r w:rsidRPr="00E7453E">
        <w:rPr>
          <w:rFonts w:asciiTheme="majorBidi" w:hAnsiTheme="majorBidi" w:cstheme="majorBidi"/>
          <w:color w:val="000000" w:themeColor="text1"/>
          <w:sz w:val="26"/>
          <w:szCs w:val="26"/>
        </w:rPr>
        <w:t>/</w:t>
      </w:r>
      <w:r w:rsidR="008620D0" w:rsidRPr="00E7453E">
        <w:rPr>
          <w:rFonts w:asciiTheme="majorBidi" w:hAnsiTheme="majorBidi" w:cstheme="majorBidi"/>
          <w:color w:val="000000" w:themeColor="text1"/>
          <w:sz w:val="26"/>
          <w:szCs w:val="26"/>
        </w:rPr>
        <w:t>09/</w:t>
      </w:r>
      <w:r w:rsidRPr="00E7453E">
        <w:rPr>
          <w:rFonts w:asciiTheme="majorBidi" w:hAnsiTheme="majorBidi" w:cstheme="majorBidi"/>
          <w:color w:val="000000" w:themeColor="text1"/>
          <w:sz w:val="26"/>
          <w:szCs w:val="26"/>
        </w:rPr>
        <w:t xml:space="preserve">2021-01/11/2021) on a sample of 9,232 </w:t>
      </w:r>
      <w:r w:rsidR="000A3734" w:rsidRPr="00E7453E">
        <w:rPr>
          <w:rFonts w:asciiTheme="majorBidi" w:hAnsiTheme="majorBidi" w:cstheme="majorBidi"/>
          <w:color w:val="000000" w:themeColor="text1"/>
          <w:sz w:val="26"/>
          <w:szCs w:val="26"/>
        </w:rPr>
        <w:t>house</w:t>
      </w:r>
      <w:r w:rsidR="003E35F1" w:rsidRPr="00E7453E">
        <w:rPr>
          <w:rFonts w:asciiTheme="majorBidi" w:hAnsiTheme="majorBidi" w:cstheme="majorBidi"/>
          <w:color w:val="000000" w:themeColor="text1"/>
          <w:sz w:val="26"/>
          <w:szCs w:val="26"/>
        </w:rPr>
        <w:t>holds</w:t>
      </w:r>
      <w:r w:rsidRPr="00E7453E">
        <w:rPr>
          <w:rFonts w:asciiTheme="majorBidi" w:hAnsiTheme="majorBidi" w:cstheme="majorBidi"/>
          <w:color w:val="000000" w:themeColor="text1"/>
          <w:sz w:val="26"/>
          <w:szCs w:val="26"/>
        </w:rPr>
        <w:t xml:space="preserve"> represented in Palestine</w:t>
      </w:r>
      <w:r w:rsidR="003E35F1" w:rsidRPr="00E7453E">
        <w:rPr>
          <w:rFonts w:asciiTheme="majorBidi" w:hAnsiTheme="majorBidi" w:cstheme="majorBidi"/>
          <w:color w:val="000000" w:themeColor="text1"/>
          <w:sz w:val="26"/>
          <w:szCs w:val="26"/>
        </w:rPr>
        <w:t xml:space="preserve">. The </w:t>
      </w:r>
      <w:r w:rsidRPr="00E7453E">
        <w:rPr>
          <w:rFonts w:asciiTheme="majorBidi" w:hAnsiTheme="majorBidi" w:cstheme="majorBidi"/>
          <w:color w:val="000000" w:themeColor="text1"/>
          <w:sz w:val="26"/>
          <w:szCs w:val="26"/>
        </w:rPr>
        <w:t xml:space="preserve">number of </w:t>
      </w:r>
      <w:r w:rsidR="003E35F1" w:rsidRPr="00E7453E">
        <w:rPr>
          <w:rFonts w:asciiTheme="majorBidi" w:hAnsiTheme="majorBidi" w:cstheme="majorBidi"/>
          <w:color w:val="000000" w:themeColor="text1"/>
          <w:sz w:val="26"/>
          <w:szCs w:val="26"/>
        </w:rPr>
        <w:t xml:space="preserve">households </w:t>
      </w:r>
      <w:r w:rsidRPr="00E7453E">
        <w:rPr>
          <w:rFonts w:asciiTheme="majorBidi" w:hAnsiTheme="majorBidi" w:cstheme="majorBidi"/>
          <w:color w:val="000000" w:themeColor="text1"/>
          <w:sz w:val="26"/>
          <w:szCs w:val="26"/>
        </w:rPr>
        <w:t xml:space="preserve">whose data was completed was (7,763) </w:t>
      </w:r>
      <w:r w:rsidR="008875E4" w:rsidRPr="00E7453E">
        <w:rPr>
          <w:rFonts w:asciiTheme="majorBidi" w:hAnsiTheme="majorBidi" w:cstheme="majorBidi"/>
          <w:color w:val="000000" w:themeColor="text1"/>
          <w:sz w:val="26"/>
          <w:szCs w:val="26"/>
        </w:rPr>
        <w:t>households, including</w:t>
      </w:r>
      <w:r w:rsidRPr="00E7453E">
        <w:rPr>
          <w:rFonts w:asciiTheme="majorBidi" w:hAnsiTheme="majorBidi" w:cstheme="majorBidi"/>
          <w:color w:val="000000" w:themeColor="text1"/>
          <w:sz w:val="26"/>
          <w:szCs w:val="26"/>
        </w:rPr>
        <w:t xml:space="preserve"> (5,049) </w:t>
      </w:r>
      <w:r w:rsidR="00BD780B" w:rsidRPr="00E7453E">
        <w:rPr>
          <w:rFonts w:asciiTheme="majorBidi" w:hAnsiTheme="majorBidi" w:cstheme="majorBidi"/>
          <w:color w:val="000000" w:themeColor="text1"/>
          <w:sz w:val="26"/>
          <w:szCs w:val="26"/>
        </w:rPr>
        <w:t xml:space="preserve">households </w:t>
      </w:r>
      <w:r w:rsidRPr="00E7453E">
        <w:rPr>
          <w:rFonts w:asciiTheme="majorBidi" w:hAnsiTheme="majorBidi" w:cstheme="majorBidi"/>
          <w:color w:val="000000" w:themeColor="text1"/>
          <w:sz w:val="26"/>
          <w:szCs w:val="26"/>
        </w:rPr>
        <w:t xml:space="preserve">in the West Bank, and (2,714) </w:t>
      </w:r>
      <w:r w:rsidR="00BD780B" w:rsidRPr="00E7453E">
        <w:rPr>
          <w:rFonts w:asciiTheme="majorBidi" w:hAnsiTheme="majorBidi" w:cstheme="majorBidi"/>
          <w:color w:val="000000" w:themeColor="text1"/>
          <w:sz w:val="26"/>
          <w:szCs w:val="26"/>
        </w:rPr>
        <w:t xml:space="preserve">households </w:t>
      </w:r>
      <w:r w:rsidRPr="00E7453E">
        <w:rPr>
          <w:rFonts w:asciiTheme="majorBidi" w:hAnsiTheme="majorBidi" w:cstheme="majorBidi"/>
          <w:color w:val="000000" w:themeColor="text1"/>
          <w:sz w:val="26"/>
          <w:szCs w:val="26"/>
        </w:rPr>
        <w:t>in Gaza Strip, with a response rate of 88%</w:t>
      </w:r>
      <w:r w:rsidRPr="00E7453E">
        <w:rPr>
          <w:rFonts w:asciiTheme="majorBidi" w:hAnsiTheme="majorBidi" w:cstheme="majorBidi"/>
          <w:color w:val="000000" w:themeColor="text1"/>
          <w:sz w:val="26"/>
          <w:szCs w:val="26"/>
          <w:rtl/>
        </w:rPr>
        <w:t xml:space="preserve">. </w:t>
      </w:r>
    </w:p>
    <w:p w:rsidR="00E7453E" w:rsidRPr="00E7453E" w:rsidRDefault="00E7453E" w:rsidP="00E7453E">
      <w:pPr>
        <w:shd w:val="clear" w:color="auto" w:fill="FFFFFF" w:themeFill="background1"/>
        <w:spacing w:after="0" w:line="240" w:lineRule="auto"/>
        <w:jc w:val="right"/>
        <w:rPr>
          <w:rFonts w:asciiTheme="majorBidi" w:hAnsiTheme="majorBidi" w:cstheme="majorBidi"/>
          <w:b/>
          <w:bCs/>
          <w:color w:val="000000" w:themeColor="text1"/>
          <w:sz w:val="16"/>
          <w:szCs w:val="16"/>
        </w:rPr>
      </w:pPr>
    </w:p>
    <w:p w:rsidR="00173E6C" w:rsidRPr="00E7453E" w:rsidRDefault="00173E6C" w:rsidP="00E7453E">
      <w:pPr>
        <w:shd w:val="clear" w:color="auto" w:fill="FFFFFF" w:themeFill="background1"/>
        <w:spacing w:after="0" w:line="240" w:lineRule="auto"/>
        <w:jc w:val="right"/>
        <w:rPr>
          <w:rFonts w:asciiTheme="majorBidi" w:hAnsiTheme="majorBidi" w:cstheme="majorBidi"/>
          <w:b/>
          <w:bCs/>
          <w:color w:val="000000" w:themeColor="text1"/>
          <w:sz w:val="28"/>
          <w:szCs w:val="28"/>
        </w:rPr>
      </w:pPr>
      <w:r w:rsidRPr="00E7453E">
        <w:rPr>
          <w:rFonts w:asciiTheme="majorBidi" w:hAnsiTheme="majorBidi" w:cstheme="majorBidi"/>
          <w:b/>
          <w:bCs/>
          <w:color w:val="000000" w:themeColor="text1"/>
          <w:sz w:val="28"/>
          <w:szCs w:val="28"/>
        </w:rPr>
        <w:t>A significant increase in smoking rates and a large gap between the West Bank and Gaza Strip</w:t>
      </w:r>
      <w:r w:rsidRPr="00E7453E">
        <w:rPr>
          <w:rFonts w:asciiTheme="majorBidi" w:hAnsiTheme="majorBidi" w:cstheme="majorBidi"/>
          <w:b/>
          <w:bCs/>
          <w:color w:val="000000" w:themeColor="text1"/>
          <w:sz w:val="28"/>
          <w:szCs w:val="28"/>
          <w:rtl/>
        </w:rPr>
        <w:t xml:space="preserve"> </w:t>
      </w:r>
    </w:p>
    <w:p w:rsidR="00173E6C" w:rsidRPr="00E7453E" w:rsidRDefault="00173E6C" w:rsidP="00E7453E">
      <w:pPr>
        <w:shd w:val="clear" w:color="auto" w:fill="FFFFFF" w:themeFill="background1"/>
        <w:bidi w:val="0"/>
        <w:spacing w:after="0" w:line="240" w:lineRule="auto"/>
        <w:jc w:val="both"/>
        <w:rPr>
          <w:rFonts w:asciiTheme="majorBidi" w:hAnsiTheme="majorBidi" w:cstheme="majorBidi"/>
          <w:color w:val="000000" w:themeColor="text1"/>
          <w:sz w:val="26"/>
          <w:szCs w:val="26"/>
        </w:rPr>
      </w:pPr>
      <w:r w:rsidRPr="00E7453E">
        <w:rPr>
          <w:rFonts w:asciiTheme="majorBidi" w:hAnsiTheme="majorBidi" w:cstheme="majorBidi"/>
          <w:color w:val="000000" w:themeColor="text1"/>
          <w:sz w:val="26"/>
          <w:szCs w:val="26"/>
        </w:rPr>
        <w:t xml:space="preserve">The percentage of individuals </w:t>
      </w:r>
      <w:r w:rsidR="00C93BC4" w:rsidRPr="00E7453E">
        <w:rPr>
          <w:rFonts w:asciiTheme="majorBidi" w:hAnsiTheme="majorBidi" w:cstheme="majorBidi"/>
          <w:color w:val="000000" w:themeColor="text1"/>
          <w:sz w:val="26"/>
          <w:szCs w:val="26"/>
        </w:rPr>
        <w:t xml:space="preserve">aged </w:t>
      </w:r>
      <w:r w:rsidRPr="00E7453E">
        <w:rPr>
          <w:rFonts w:asciiTheme="majorBidi" w:hAnsiTheme="majorBidi" w:cstheme="majorBidi"/>
          <w:color w:val="000000" w:themeColor="text1"/>
          <w:sz w:val="26"/>
          <w:szCs w:val="26"/>
        </w:rPr>
        <w:t xml:space="preserve">18 years and </w:t>
      </w:r>
      <w:r w:rsidR="00C93BC4" w:rsidRPr="00E7453E">
        <w:rPr>
          <w:rFonts w:asciiTheme="majorBidi" w:hAnsiTheme="majorBidi" w:cstheme="majorBidi"/>
          <w:color w:val="000000" w:themeColor="text1"/>
          <w:sz w:val="26"/>
          <w:szCs w:val="26"/>
        </w:rPr>
        <w:t xml:space="preserve">above </w:t>
      </w:r>
      <w:r w:rsidRPr="00E7453E">
        <w:rPr>
          <w:rFonts w:asciiTheme="majorBidi" w:hAnsiTheme="majorBidi" w:cstheme="majorBidi"/>
          <w:color w:val="000000" w:themeColor="text1"/>
          <w:sz w:val="26"/>
          <w:szCs w:val="26"/>
        </w:rPr>
        <w:t xml:space="preserve">who smoke one or more </w:t>
      </w:r>
      <w:r w:rsidR="00C93BC4" w:rsidRPr="00E7453E">
        <w:rPr>
          <w:rFonts w:asciiTheme="majorBidi" w:hAnsiTheme="majorBidi" w:cstheme="majorBidi"/>
          <w:color w:val="000000" w:themeColor="text1"/>
          <w:sz w:val="26"/>
          <w:szCs w:val="26"/>
        </w:rPr>
        <w:t>product</w:t>
      </w:r>
      <w:r w:rsidR="000964B0" w:rsidRPr="00E7453E">
        <w:rPr>
          <w:rFonts w:asciiTheme="majorBidi" w:hAnsiTheme="majorBidi" w:cstheme="majorBidi"/>
          <w:color w:val="000000" w:themeColor="text1"/>
          <w:sz w:val="26"/>
          <w:szCs w:val="26"/>
        </w:rPr>
        <w:t>s</w:t>
      </w:r>
      <w:r w:rsidR="00C93BC4" w:rsidRPr="00E7453E">
        <w:rPr>
          <w:rFonts w:asciiTheme="majorBidi" w:hAnsiTheme="majorBidi" w:cstheme="majorBidi"/>
          <w:color w:val="000000" w:themeColor="text1"/>
          <w:sz w:val="26"/>
          <w:szCs w:val="26"/>
        </w:rPr>
        <w:t xml:space="preserve"> of </w:t>
      </w:r>
      <w:r w:rsidRPr="00E7453E">
        <w:rPr>
          <w:rFonts w:asciiTheme="majorBidi" w:hAnsiTheme="majorBidi" w:cstheme="majorBidi"/>
          <w:color w:val="000000" w:themeColor="text1"/>
          <w:sz w:val="26"/>
          <w:szCs w:val="26"/>
        </w:rPr>
        <w:t xml:space="preserve">smoked tobacco (manufactured cigarettes, hand-rolled cigarettes, cigars, and water- pipes) in Palestine increased to about 31% of the total individuals </w:t>
      </w:r>
      <w:r w:rsidR="00C93BC4" w:rsidRPr="00E7453E">
        <w:rPr>
          <w:rFonts w:asciiTheme="majorBidi" w:hAnsiTheme="majorBidi" w:cstheme="majorBidi"/>
          <w:color w:val="000000" w:themeColor="text1"/>
          <w:sz w:val="26"/>
          <w:szCs w:val="26"/>
        </w:rPr>
        <w:t xml:space="preserve">aged </w:t>
      </w:r>
      <w:r w:rsidRPr="00E7453E">
        <w:rPr>
          <w:rFonts w:asciiTheme="majorBidi" w:hAnsiTheme="majorBidi" w:cstheme="majorBidi"/>
          <w:color w:val="000000" w:themeColor="text1"/>
          <w:sz w:val="26"/>
          <w:szCs w:val="26"/>
        </w:rPr>
        <w:t xml:space="preserve">18 years and </w:t>
      </w:r>
      <w:r w:rsidR="00C93BC4" w:rsidRPr="00E7453E">
        <w:rPr>
          <w:rFonts w:asciiTheme="majorBidi" w:hAnsiTheme="majorBidi" w:cstheme="majorBidi"/>
          <w:color w:val="000000" w:themeColor="text1"/>
          <w:sz w:val="26"/>
          <w:szCs w:val="26"/>
        </w:rPr>
        <w:t xml:space="preserve">above </w:t>
      </w:r>
      <w:r w:rsidRPr="00E7453E">
        <w:rPr>
          <w:rFonts w:asciiTheme="majorBidi" w:hAnsiTheme="majorBidi" w:cstheme="majorBidi"/>
          <w:color w:val="000000" w:themeColor="text1"/>
          <w:sz w:val="26"/>
          <w:szCs w:val="26"/>
        </w:rPr>
        <w:t>in the year 2021, while this percentage was</w:t>
      </w:r>
      <w:r w:rsidR="00FC1809" w:rsidRPr="00E7453E">
        <w:rPr>
          <w:rFonts w:asciiTheme="majorBidi" w:hAnsiTheme="majorBidi" w:cstheme="majorBidi"/>
          <w:color w:val="000000" w:themeColor="text1"/>
          <w:sz w:val="26"/>
          <w:szCs w:val="26"/>
        </w:rPr>
        <w:t xml:space="preserve"> about 23%</w:t>
      </w:r>
      <w:r w:rsidRPr="00E7453E">
        <w:rPr>
          <w:rFonts w:asciiTheme="majorBidi" w:hAnsiTheme="majorBidi" w:cstheme="majorBidi"/>
          <w:color w:val="000000" w:themeColor="text1"/>
          <w:sz w:val="26"/>
          <w:szCs w:val="26"/>
        </w:rPr>
        <w:t xml:space="preserve"> for 2010. At the region</w:t>
      </w:r>
      <w:r w:rsidR="006842C5" w:rsidRPr="00E7453E">
        <w:rPr>
          <w:rFonts w:asciiTheme="majorBidi" w:hAnsiTheme="majorBidi" w:cstheme="majorBidi"/>
          <w:color w:val="000000" w:themeColor="text1"/>
          <w:sz w:val="26"/>
          <w:szCs w:val="26"/>
        </w:rPr>
        <w:t>’s</w:t>
      </w:r>
      <w:r w:rsidRPr="00E7453E">
        <w:rPr>
          <w:rFonts w:asciiTheme="majorBidi" w:hAnsiTheme="majorBidi" w:cstheme="majorBidi"/>
          <w:color w:val="000000" w:themeColor="text1"/>
          <w:sz w:val="26"/>
          <w:szCs w:val="26"/>
        </w:rPr>
        <w:t xml:space="preserve"> level, the results of the survey indicated a large gap between the West Bank and Gaza Strip</w:t>
      </w:r>
      <w:r w:rsidR="00085163" w:rsidRPr="00E7453E">
        <w:rPr>
          <w:rFonts w:asciiTheme="majorBidi" w:hAnsiTheme="majorBidi" w:cstheme="majorBidi"/>
          <w:color w:val="000000" w:themeColor="text1"/>
          <w:sz w:val="26"/>
          <w:szCs w:val="26"/>
        </w:rPr>
        <w:t>.</w:t>
      </w:r>
      <w:r w:rsidR="0062319A" w:rsidRPr="00E7453E">
        <w:rPr>
          <w:rFonts w:asciiTheme="majorBidi" w:hAnsiTheme="majorBidi" w:cstheme="majorBidi"/>
          <w:color w:val="000000" w:themeColor="text1"/>
          <w:sz w:val="26"/>
          <w:szCs w:val="26"/>
        </w:rPr>
        <w:t xml:space="preserve"> </w:t>
      </w:r>
      <w:r w:rsidR="006842C5" w:rsidRPr="00E7453E">
        <w:rPr>
          <w:rFonts w:asciiTheme="majorBidi" w:hAnsiTheme="majorBidi" w:cstheme="majorBidi"/>
          <w:color w:val="000000" w:themeColor="text1"/>
          <w:sz w:val="26"/>
          <w:szCs w:val="26"/>
        </w:rPr>
        <w:t>There’s a</w:t>
      </w:r>
      <w:r w:rsidRPr="00E7453E">
        <w:rPr>
          <w:rFonts w:asciiTheme="majorBidi" w:hAnsiTheme="majorBidi" w:cstheme="majorBidi"/>
          <w:color w:val="000000" w:themeColor="text1"/>
          <w:sz w:val="26"/>
          <w:szCs w:val="26"/>
        </w:rPr>
        <w:t xml:space="preserve"> clear increase in the prevalence of smoking among individuals aged 18 and </w:t>
      </w:r>
      <w:r w:rsidR="00085163" w:rsidRPr="00E7453E">
        <w:rPr>
          <w:rFonts w:asciiTheme="majorBidi" w:hAnsiTheme="majorBidi" w:cstheme="majorBidi"/>
          <w:color w:val="000000" w:themeColor="text1"/>
          <w:sz w:val="26"/>
          <w:szCs w:val="26"/>
        </w:rPr>
        <w:t xml:space="preserve">above </w:t>
      </w:r>
      <w:r w:rsidRPr="00E7453E">
        <w:rPr>
          <w:rFonts w:asciiTheme="majorBidi" w:hAnsiTheme="majorBidi" w:cstheme="majorBidi"/>
          <w:color w:val="000000" w:themeColor="text1"/>
          <w:sz w:val="26"/>
          <w:szCs w:val="26"/>
        </w:rPr>
        <w:t>in the West Bank, as it increased from about 26% in 2010 to about 40% in 2021</w:t>
      </w:r>
      <w:r w:rsidR="008A4F53" w:rsidRPr="00E7453E">
        <w:rPr>
          <w:rFonts w:asciiTheme="majorBidi" w:hAnsiTheme="majorBidi" w:cstheme="majorBidi"/>
          <w:color w:val="000000" w:themeColor="text1"/>
          <w:sz w:val="26"/>
          <w:szCs w:val="26"/>
        </w:rPr>
        <w:t>.</w:t>
      </w:r>
      <w:r w:rsidRPr="00E7453E">
        <w:rPr>
          <w:rFonts w:asciiTheme="majorBidi" w:hAnsiTheme="majorBidi" w:cstheme="majorBidi"/>
          <w:color w:val="000000" w:themeColor="text1"/>
          <w:sz w:val="26"/>
          <w:szCs w:val="26"/>
        </w:rPr>
        <w:t xml:space="preserve"> </w:t>
      </w:r>
      <w:r w:rsidR="008A4F53" w:rsidRPr="00E7453E">
        <w:rPr>
          <w:rFonts w:asciiTheme="majorBidi" w:hAnsiTheme="majorBidi" w:cstheme="majorBidi"/>
          <w:color w:val="000000" w:themeColor="text1"/>
          <w:sz w:val="26"/>
          <w:szCs w:val="26"/>
        </w:rPr>
        <w:t>I</w:t>
      </w:r>
      <w:r w:rsidR="00CD5467" w:rsidRPr="00E7453E">
        <w:rPr>
          <w:rFonts w:asciiTheme="majorBidi" w:hAnsiTheme="majorBidi" w:cstheme="majorBidi"/>
          <w:color w:val="000000" w:themeColor="text1"/>
          <w:sz w:val="26"/>
          <w:szCs w:val="26"/>
        </w:rPr>
        <w:t>n</w:t>
      </w:r>
      <w:r w:rsidRPr="00E7453E">
        <w:rPr>
          <w:rFonts w:asciiTheme="majorBidi" w:hAnsiTheme="majorBidi" w:cstheme="majorBidi"/>
          <w:color w:val="000000" w:themeColor="text1"/>
          <w:sz w:val="26"/>
          <w:szCs w:val="26"/>
        </w:rPr>
        <w:t xml:space="preserve"> </w:t>
      </w:r>
      <w:r w:rsidR="00CD5467" w:rsidRPr="00E7453E">
        <w:rPr>
          <w:rFonts w:asciiTheme="majorBidi" w:hAnsiTheme="majorBidi" w:cstheme="majorBidi"/>
          <w:color w:val="000000" w:themeColor="text1"/>
          <w:sz w:val="26"/>
          <w:szCs w:val="26"/>
        </w:rPr>
        <w:t xml:space="preserve">Gaza Strip, it </w:t>
      </w:r>
      <w:r w:rsidRPr="00E7453E">
        <w:rPr>
          <w:rFonts w:asciiTheme="majorBidi" w:hAnsiTheme="majorBidi" w:cstheme="majorBidi"/>
          <w:color w:val="000000" w:themeColor="text1"/>
          <w:sz w:val="26"/>
          <w:szCs w:val="26"/>
        </w:rPr>
        <w:t xml:space="preserve">increased </w:t>
      </w:r>
      <w:r w:rsidR="008A4F53" w:rsidRPr="00E7453E">
        <w:rPr>
          <w:rFonts w:asciiTheme="majorBidi" w:hAnsiTheme="majorBidi" w:cstheme="majorBidi"/>
          <w:color w:val="000000" w:themeColor="text1"/>
          <w:sz w:val="26"/>
          <w:szCs w:val="26"/>
        </w:rPr>
        <w:t xml:space="preserve">from </w:t>
      </w:r>
      <w:r w:rsidRPr="00E7453E">
        <w:rPr>
          <w:rFonts w:asciiTheme="majorBidi" w:hAnsiTheme="majorBidi" w:cstheme="majorBidi"/>
          <w:color w:val="000000" w:themeColor="text1"/>
          <w:sz w:val="26"/>
          <w:szCs w:val="26"/>
        </w:rPr>
        <w:t>about 15% in 2010 to 17% in 2021.</w:t>
      </w:r>
    </w:p>
    <w:p w:rsidR="00177A33" w:rsidRPr="00E7453E" w:rsidRDefault="00177A33" w:rsidP="00E7453E">
      <w:pPr>
        <w:shd w:val="clear" w:color="auto" w:fill="FFFFFF" w:themeFill="background1"/>
        <w:bidi w:val="0"/>
        <w:spacing w:after="0" w:line="240" w:lineRule="auto"/>
        <w:jc w:val="both"/>
        <w:rPr>
          <w:rFonts w:asciiTheme="majorBidi" w:hAnsiTheme="majorBidi" w:cstheme="majorBidi"/>
          <w:color w:val="000000" w:themeColor="text1"/>
          <w:sz w:val="10"/>
          <w:szCs w:val="10"/>
        </w:rPr>
      </w:pPr>
    </w:p>
    <w:p w:rsidR="00173E6C" w:rsidRDefault="00173E6C" w:rsidP="00E7453E">
      <w:pPr>
        <w:shd w:val="clear" w:color="auto" w:fill="FFFFFF" w:themeFill="background1"/>
        <w:bidi w:val="0"/>
        <w:spacing w:after="0" w:line="240" w:lineRule="auto"/>
        <w:jc w:val="center"/>
        <w:rPr>
          <w:rFonts w:asciiTheme="majorBidi" w:hAnsiTheme="majorBidi" w:cstheme="majorBidi"/>
          <w:b/>
          <w:bCs/>
          <w:color w:val="000000" w:themeColor="text1"/>
          <w:sz w:val="28"/>
          <w:szCs w:val="28"/>
        </w:rPr>
      </w:pPr>
      <w:r w:rsidRPr="00E7453E">
        <w:rPr>
          <w:rFonts w:asciiTheme="majorBidi" w:hAnsiTheme="majorBidi" w:cstheme="majorBidi"/>
          <w:b/>
          <w:bCs/>
          <w:color w:val="000000" w:themeColor="text1"/>
          <w:sz w:val="28"/>
          <w:szCs w:val="28"/>
        </w:rPr>
        <w:t xml:space="preserve">Percentage of smoking among individuals </w:t>
      </w:r>
      <w:r w:rsidR="008A4F53" w:rsidRPr="00E7453E">
        <w:rPr>
          <w:rFonts w:asciiTheme="majorBidi" w:hAnsiTheme="majorBidi" w:cstheme="majorBidi"/>
          <w:b/>
          <w:bCs/>
          <w:color w:val="000000" w:themeColor="text1"/>
          <w:sz w:val="28"/>
          <w:szCs w:val="28"/>
        </w:rPr>
        <w:t xml:space="preserve">aged </w:t>
      </w:r>
      <w:r w:rsidRPr="00E7453E">
        <w:rPr>
          <w:rFonts w:asciiTheme="majorBidi" w:hAnsiTheme="majorBidi" w:cstheme="majorBidi"/>
          <w:b/>
          <w:bCs/>
          <w:color w:val="000000" w:themeColor="text1"/>
          <w:sz w:val="28"/>
          <w:szCs w:val="28"/>
        </w:rPr>
        <w:t xml:space="preserve">(18 years and </w:t>
      </w:r>
      <w:r w:rsidR="0062319A" w:rsidRPr="00E7453E">
        <w:rPr>
          <w:rFonts w:asciiTheme="majorBidi" w:hAnsiTheme="majorBidi" w:cstheme="majorBidi"/>
          <w:b/>
          <w:bCs/>
          <w:color w:val="000000" w:themeColor="text1"/>
          <w:sz w:val="28"/>
          <w:szCs w:val="28"/>
        </w:rPr>
        <w:t>above</w:t>
      </w:r>
      <w:r w:rsidRPr="00E7453E">
        <w:rPr>
          <w:rFonts w:asciiTheme="majorBidi" w:hAnsiTheme="majorBidi" w:cstheme="majorBidi"/>
          <w:b/>
          <w:bCs/>
          <w:color w:val="000000" w:themeColor="text1"/>
          <w:sz w:val="28"/>
          <w:szCs w:val="28"/>
        </w:rPr>
        <w:t>) by region and sex for the years 2010, 2021</w:t>
      </w:r>
    </w:p>
    <w:p w:rsidR="00E7453E" w:rsidRPr="00E7453E" w:rsidRDefault="00E7453E" w:rsidP="00E7453E">
      <w:pPr>
        <w:shd w:val="clear" w:color="auto" w:fill="FFFFFF" w:themeFill="background1"/>
        <w:bidi w:val="0"/>
        <w:spacing w:after="0" w:line="240" w:lineRule="auto"/>
        <w:jc w:val="center"/>
        <w:rPr>
          <w:rFonts w:asciiTheme="majorBidi" w:hAnsiTheme="majorBidi" w:cstheme="majorBidi"/>
          <w:b/>
          <w:bCs/>
          <w:color w:val="000000" w:themeColor="text1"/>
          <w:sz w:val="10"/>
          <w:szCs w:val="10"/>
        </w:rPr>
      </w:pPr>
    </w:p>
    <w:tbl>
      <w:tblPr>
        <w:tblStyle w:val="LightShading-Accent41"/>
        <w:bidiVisual/>
        <w:tblW w:w="0" w:type="auto"/>
        <w:jc w:val="center"/>
        <w:tblLook w:val="04A0" w:firstRow="1" w:lastRow="0" w:firstColumn="1" w:lastColumn="0" w:noHBand="0" w:noVBand="1"/>
      </w:tblPr>
      <w:tblGrid>
        <w:gridCol w:w="953"/>
        <w:gridCol w:w="948"/>
        <w:gridCol w:w="8"/>
        <w:gridCol w:w="940"/>
        <w:gridCol w:w="948"/>
        <w:gridCol w:w="9"/>
        <w:gridCol w:w="939"/>
        <w:gridCol w:w="948"/>
        <w:gridCol w:w="10"/>
        <w:gridCol w:w="2626"/>
      </w:tblGrid>
      <w:tr w:rsidR="00E31702" w:rsidRPr="00E7453E" w:rsidTr="00EF70F1">
        <w:trPr>
          <w:cnfStyle w:val="100000000000" w:firstRow="1" w:lastRow="0" w:firstColumn="0" w:lastColumn="0" w:oddVBand="0" w:evenVBand="0" w:oddHBand="0"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1909" w:type="dxa"/>
            <w:gridSpan w:val="3"/>
            <w:tcBorders>
              <w:left w:val="single" w:sz="8" w:space="0" w:color="8064A2"/>
              <w:right w:val="single" w:sz="8" w:space="0" w:color="8064A2"/>
            </w:tcBorders>
            <w:vAlign w:val="center"/>
          </w:tcPr>
          <w:p w:rsidR="00173E6C" w:rsidRPr="00E7453E" w:rsidRDefault="00173E6C" w:rsidP="00E7453E">
            <w:pPr>
              <w:jc w:val="center"/>
              <w:rPr>
                <w:rFonts w:asciiTheme="majorBidi" w:hAnsiTheme="majorBidi" w:cstheme="majorBidi"/>
                <w:color w:val="000000" w:themeColor="text1"/>
                <w:sz w:val="24"/>
                <w:szCs w:val="24"/>
                <w:rtl/>
              </w:rPr>
            </w:pPr>
            <w:r w:rsidRPr="00E7453E">
              <w:rPr>
                <w:rFonts w:asciiTheme="majorBidi" w:hAnsiTheme="majorBidi" w:cstheme="majorBidi"/>
                <w:color w:val="000000" w:themeColor="text1"/>
                <w:sz w:val="24"/>
                <w:szCs w:val="24"/>
              </w:rPr>
              <w:t>Both sexes</w:t>
            </w:r>
          </w:p>
        </w:tc>
        <w:tc>
          <w:tcPr>
            <w:tcW w:w="1897" w:type="dxa"/>
            <w:gridSpan w:val="3"/>
            <w:tcBorders>
              <w:left w:val="single" w:sz="8" w:space="0" w:color="8064A2"/>
              <w:right w:val="single" w:sz="8" w:space="0" w:color="8064A2"/>
            </w:tcBorders>
            <w:vAlign w:val="center"/>
          </w:tcPr>
          <w:p w:rsidR="00173E6C" w:rsidRPr="00E7453E" w:rsidRDefault="00173E6C" w:rsidP="00E7453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rPr>
            </w:pPr>
            <w:r w:rsidRPr="00E7453E">
              <w:rPr>
                <w:rFonts w:asciiTheme="majorBidi" w:hAnsiTheme="majorBidi" w:cstheme="majorBidi"/>
                <w:color w:val="000000" w:themeColor="text1"/>
                <w:sz w:val="24"/>
                <w:szCs w:val="24"/>
              </w:rPr>
              <w:t>Males</w:t>
            </w:r>
          </w:p>
        </w:tc>
        <w:tc>
          <w:tcPr>
            <w:tcW w:w="1897" w:type="dxa"/>
            <w:gridSpan w:val="3"/>
            <w:tcBorders>
              <w:left w:val="single" w:sz="8" w:space="0" w:color="8064A2"/>
              <w:right w:val="single" w:sz="8" w:space="0" w:color="8064A2"/>
            </w:tcBorders>
            <w:vAlign w:val="center"/>
          </w:tcPr>
          <w:p w:rsidR="00173E6C" w:rsidRPr="00E7453E" w:rsidRDefault="00173E6C" w:rsidP="00E7453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E7453E">
              <w:rPr>
                <w:rFonts w:asciiTheme="majorBidi" w:hAnsiTheme="majorBidi" w:cstheme="majorBidi"/>
                <w:color w:val="000000" w:themeColor="text1"/>
                <w:sz w:val="24"/>
                <w:szCs w:val="24"/>
              </w:rPr>
              <w:t>Females</w:t>
            </w:r>
          </w:p>
        </w:tc>
        <w:tc>
          <w:tcPr>
            <w:tcW w:w="2626" w:type="dxa"/>
            <w:tcBorders>
              <w:left w:val="single" w:sz="8" w:space="0" w:color="8064A2"/>
              <w:right w:val="single" w:sz="8" w:space="0" w:color="8064A2"/>
            </w:tcBorders>
          </w:tcPr>
          <w:p w:rsidR="00173E6C" w:rsidRPr="00E7453E" w:rsidRDefault="00173E6C" w:rsidP="00E7453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E7453E">
              <w:rPr>
                <w:rFonts w:asciiTheme="majorBidi" w:hAnsiTheme="majorBidi" w:cstheme="majorBidi"/>
                <w:color w:val="000000" w:themeColor="text1"/>
                <w:sz w:val="24"/>
                <w:szCs w:val="24"/>
              </w:rPr>
              <w:t>Region</w:t>
            </w:r>
          </w:p>
        </w:tc>
      </w:tr>
      <w:tr w:rsidR="00E31702" w:rsidRPr="00E7453E" w:rsidTr="00EF70F1">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953" w:type="dxa"/>
            <w:tcBorders>
              <w:left w:val="single" w:sz="8" w:space="0" w:color="8064A2"/>
              <w:bottom w:val="single" w:sz="8" w:space="0" w:color="8064A2"/>
              <w:right w:val="single" w:sz="8" w:space="0" w:color="8064A2"/>
            </w:tcBorders>
            <w:vAlign w:val="center"/>
          </w:tcPr>
          <w:p w:rsidR="00173E6C" w:rsidRPr="00E7453E" w:rsidRDefault="00173E6C" w:rsidP="00E7453E">
            <w:pPr>
              <w:jc w:val="both"/>
              <w:rPr>
                <w:rFonts w:asciiTheme="majorBidi" w:hAnsiTheme="majorBidi" w:cstheme="majorBidi"/>
                <w:color w:val="000000" w:themeColor="text1"/>
                <w:sz w:val="24"/>
                <w:szCs w:val="24"/>
                <w:rtl/>
              </w:rPr>
            </w:pPr>
            <w:r w:rsidRPr="00E7453E">
              <w:rPr>
                <w:rFonts w:asciiTheme="majorBidi" w:hAnsiTheme="majorBidi" w:cstheme="majorBidi"/>
                <w:color w:val="000000" w:themeColor="text1"/>
                <w:sz w:val="24"/>
                <w:szCs w:val="24"/>
                <w:rtl/>
              </w:rPr>
              <w:t>2021</w:t>
            </w:r>
          </w:p>
        </w:tc>
        <w:tc>
          <w:tcPr>
            <w:tcW w:w="948" w:type="dxa"/>
            <w:tcBorders>
              <w:left w:val="single" w:sz="8" w:space="0" w:color="8064A2"/>
              <w:bottom w:val="single" w:sz="8" w:space="0" w:color="8064A2"/>
              <w:right w:val="single" w:sz="8" w:space="0" w:color="8064A2"/>
            </w:tcBorders>
            <w:vAlign w:val="center"/>
          </w:tcPr>
          <w:p w:rsidR="00173E6C" w:rsidRPr="00E7453E" w:rsidRDefault="00173E6C" w:rsidP="00E7453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tl/>
              </w:rPr>
            </w:pPr>
            <w:r w:rsidRPr="00E7453E">
              <w:rPr>
                <w:rFonts w:asciiTheme="majorBidi" w:hAnsiTheme="majorBidi" w:cstheme="majorBidi"/>
                <w:color w:val="000000" w:themeColor="text1"/>
                <w:sz w:val="24"/>
                <w:szCs w:val="24"/>
                <w:rtl/>
              </w:rPr>
              <w:t>2010</w:t>
            </w:r>
          </w:p>
        </w:tc>
        <w:tc>
          <w:tcPr>
            <w:tcW w:w="948" w:type="dxa"/>
            <w:gridSpan w:val="2"/>
            <w:tcBorders>
              <w:left w:val="single" w:sz="8" w:space="0" w:color="8064A2"/>
              <w:bottom w:val="single" w:sz="8" w:space="0" w:color="8064A2"/>
              <w:right w:val="single" w:sz="8" w:space="0" w:color="8064A2"/>
            </w:tcBorders>
            <w:vAlign w:val="center"/>
          </w:tcPr>
          <w:p w:rsidR="00173E6C" w:rsidRPr="00E7453E" w:rsidRDefault="00173E6C" w:rsidP="00E7453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tl/>
              </w:rPr>
            </w:pPr>
            <w:r w:rsidRPr="00E7453E">
              <w:rPr>
                <w:rFonts w:asciiTheme="majorBidi" w:hAnsiTheme="majorBidi" w:cstheme="majorBidi"/>
                <w:color w:val="000000" w:themeColor="text1"/>
                <w:sz w:val="24"/>
                <w:szCs w:val="24"/>
              </w:rPr>
              <w:t>2021</w:t>
            </w:r>
          </w:p>
        </w:tc>
        <w:tc>
          <w:tcPr>
            <w:tcW w:w="948" w:type="dxa"/>
            <w:tcBorders>
              <w:left w:val="single" w:sz="8" w:space="0" w:color="8064A2"/>
              <w:bottom w:val="single" w:sz="8" w:space="0" w:color="8064A2"/>
              <w:right w:val="single" w:sz="8" w:space="0" w:color="8064A2"/>
            </w:tcBorders>
            <w:vAlign w:val="center"/>
          </w:tcPr>
          <w:p w:rsidR="00173E6C" w:rsidRPr="00E7453E" w:rsidRDefault="00173E6C" w:rsidP="00E7453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tl/>
              </w:rPr>
            </w:pPr>
            <w:r w:rsidRPr="00E7453E">
              <w:rPr>
                <w:rFonts w:asciiTheme="majorBidi" w:hAnsiTheme="majorBidi" w:cstheme="majorBidi"/>
                <w:color w:val="000000" w:themeColor="text1"/>
                <w:sz w:val="24"/>
                <w:szCs w:val="24"/>
              </w:rPr>
              <w:t>2010</w:t>
            </w:r>
          </w:p>
        </w:tc>
        <w:tc>
          <w:tcPr>
            <w:tcW w:w="948" w:type="dxa"/>
            <w:gridSpan w:val="2"/>
            <w:tcBorders>
              <w:left w:val="single" w:sz="8" w:space="0" w:color="8064A2"/>
              <w:bottom w:val="single" w:sz="8" w:space="0" w:color="8064A2"/>
              <w:right w:val="single" w:sz="8" w:space="0" w:color="8064A2"/>
            </w:tcBorders>
            <w:vAlign w:val="center"/>
          </w:tcPr>
          <w:p w:rsidR="00173E6C" w:rsidRPr="00E7453E" w:rsidRDefault="00173E6C" w:rsidP="00E7453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tl/>
              </w:rPr>
            </w:pPr>
            <w:r w:rsidRPr="00E7453E">
              <w:rPr>
                <w:rFonts w:asciiTheme="majorBidi" w:hAnsiTheme="majorBidi" w:cstheme="majorBidi"/>
                <w:color w:val="000000" w:themeColor="text1"/>
                <w:sz w:val="24"/>
                <w:szCs w:val="24"/>
              </w:rPr>
              <w:t>2021</w:t>
            </w:r>
          </w:p>
        </w:tc>
        <w:tc>
          <w:tcPr>
            <w:tcW w:w="948" w:type="dxa"/>
            <w:tcBorders>
              <w:left w:val="single" w:sz="8" w:space="0" w:color="8064A2"/>
              <w:bottom w:val="single" w:sz="8" w:space="0" w:color="8064A2"/>
              <w:right w:val="single" w:sz="8" w:space="0" w:color="8064A2"/>
            </w:tcBorders>
            <w:vAlign w:val="center"/>
          </w:tcPr>
          <w:p w:rsidR="00173E6C" w:rsidRPr="00E7453E" w:rsidRDefault="00173E6C" w:rsidP="00E7453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tl/>
              </w:rPr>
            </w:pPr>
            <w:r w:rsidRPr="00E7453E">
              <w:rPr>
                <w:rFonts w:asciiTheme="majorBidi" w:hAnsiTheme="majorBidi" w:cstheme="majorBidi"/>
                <w:color w:val="000000" w:themeColor="text1"/>
                <w:sz w:val="24"/>
                <w:szCs w:val="24"/>
              </w:rPr>
              <w:t>2010</w:t>
            </w:r>
          </w:p>
        </w:tc>
        <w:tc>
          <w:tcPr>
            <w:tcW w:w="2636" w:type="dxa"/>
            <w:gridSpan w:val="2"/>
            <w:tcBorders>
              <w:left w:val="single" w:sz="8" w:space="0" w:color="8064A2"/>
              <w:bottom w:val="single" w:sz="8" w:space="0" w:color="8064A2"/>
              <w:right w:val="single" w:sz="8" w:space="0" w:color="8064A2"/>
            </w:tcBorders>
          </w:tcPr>
          <w:p w:rsidR="00173E6C" w:rsidRPr="00E7453E" w:rsidRDefault="00173E6C" w:rsidP="00E7453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p>
        </w:tc>
      </w:tr>
      <w:tr w:rsidR="00E31702" w:rsidRPr="00E7453E" w:rsidTr="00EF70F1">
        <w:trPr>
          <w:trHeight w:hRule="exact" w:val="366"/>
          <w:jc w:val="center"/>
        </w:trPr>
        <w:tc>
          <w:tcPr>
            <w:cnfStyle w:val="001000000000" w:firstRow="0" w:lastRow="0" w:firstColumn="1" w:lastColumn="0" w:oddVBand="0" w:evenVBand="0" w:oddHBand="0" w:evenHBand="0" w:firstRowFirstColumn="0" w:firstRowLastColumn="0" w:lastRowFirstColumn="0" w:lastRowLastColumn="0"/>
            <w:tcW w:w="953" w:type="dxa"/>
            <w:tcBorders>
              <w:top w:val="single" w:sz="8" w:space="0" w:color="8064A2"/>
              <w:left w:val="single" w:sz="8" w:space="0" w:color="8064A2"/>
              <w:bottom w:val="nil"/>
              <w:right w:val="single" w:sz="8" w:space="0" w:color="8064A2"/>
            </w:tcBorders>
            <w:vAlign w:val="center"/>
          </w:tcPr>
          <w:p w:rsidR="00173E6C" w:rsidRPr="00E7453E" w:rsidRDefault="00173E6C" w:rsidP="00E7453E">
            <w:pPr>
              <w:jc w:val="both"/>
              <w:rPr>
                <w:rFonts w:asciiTheme="majorBidi" w:hAnsiTheme="majorBidi" w:cstheme="majorBidi"/>
                <w:color w:val="000000" w:themeColor="text1"/>
                <w:sz w:val="24"/>
                <w:szCs w:val="24"/>
                <w:rtl/>
              </w:rPr>
            </w:pPr>
            <w:r w:rsidRPr="00E7453E">
              <w:rPr>
                <w:rFonts w:asciiTheme="majorBidi" w:hAnsiTheme="majorBidi" w:cstheme="majorBidi"/>
                <w:color w:val="000000" w:themeColor="text1"/>
                <w:sz w:val="24"/>
                <w:szCs w:val="24"/>
                <w:rtl/>
              </w:rPr>
              <w:t>31.3</w:t>
            </w:r>
          </w:p>
        </w:tc>
        <w:tc>
          <w:tcPr>
            <w:tcW w:w="948" w:type="dxa"/>
            <w:tcBorders>
              <w:top w:val="single" w:sz="8" w:space="0" w:color="8064A2"/>
              <w:left w:val="single" w:sz="8" w:space="0" w:color="8064A2"/>
              <w:bottom w:val="nil"/>
              <w:right w:val="single" w:sz="8" w:space="0" w:color="8064A2"/>
            </w:tcBorders>
            <w:vAlign w:val="center"/>
          </w:tcPr>
          <w:p w:rsidR="00173E6C" w:rsidRPr="00E7453E" w:rsidRDefault="00173E6C" w:rsidP="00E7453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4"/>
                <w:szCs w:val="24"/>
                <w:rtl/>
              </w:rPr>
            </w:pPr>
            <w:r w:rsidRPr="00E7453E">
              <w:rPr>
                <w:rFonts w:asciiTheme="majorBidi" w:hAnsiTheme="majorBidi" w:cstheme="majorBidi"/>
                <w:b/>
                <w:bCs/>
                <w:color w:val="000000" w:themeColor="text1"/>
                <w:sz w:val="24"/>
                <w:szCs w:val="24"/>
                <w:rtl/>
              </w:rPr>
              <w:t>22.5</w:t>
            </w:r>
          </w:p>
        </w:tc>
        <w:tc>
          <w:tcPr>
            <w:tcW w:w="948" w:type="dxa"/>
            <w:gridSpan w:val="2"/>
            <w:tcBorders>
              <w:top w:val="single" w:sz="8" w:space="0" w:color="8064A2"/>
              <w:left w:val="single" w:sz="8" w:space="0" w:color="8064A2"/>
              <w:bottom w:val="nil"/>
              <w:right w:val="single" w:sz="8" w:space="0" w:color="8064A2"/>
            </w:tcBorders>
            <w:vAlign w:val="center"/>
          </w:tcPr>
          <w:p w:rsidR="00173E6C" w:rsidRPr="00E7453E" w:rsidRDefault="00173E6C" w:rsidP="00E7453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4"/>
                <w:szCs w:val="24"/>
                <w:rtl/>
              </w:rPr>
            </w:pPr>
            <w:r w:rsidRPr="00E7453E">
              <w:rPr>
                <w:rFonts w:asciiTheme="majorBidi" w:hAnsiTheme="majorBidi" w:cstheme="majorBidi"/>
                <w:b/>
                <w:bCs/>
                <w:color w:val="000000" w:themeColor="text1"/>
                <w:sz w:val="24"/>
                <w:szCs w:val="24"/>
                <w:rtl/>
              </w:rPr>
              <w:t>54.4</w:t>
            </w:r>
          </w:p>
        </w:tc>
        <w:tc>
          <w:tcPr>
            <w:tcW w:w="948" w:type="dxa"/>
            <w:tcBorders>
              <w:top w:val="single" w:sz="8" w:space="0" w:color="8064A2"/>
              <w:left w:val="single" w:sz="8" w:space="0" w:color="8064A2"/>
              <w:bottom w:val="nil"/>
              <w:right w:val="single" w:sz="8" w:space="0" w:color="8064A2"/>
            </w:tcBorders>
            <w:vAlign w:val="center"/>
          </w:tcPr>
          <w:p w:rsidR="00173E6C" w:rsidRPr="00E7453E" w:rsidRDefault="00173E6C" w:rsidP="00E7453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4"/>
                <w:szCs w:val="24"/>
                <w:lang w:eastAsia="ar-SA"/>
              </w:rPr>
            </w:pPr>
            <w:r w:rsidRPr="00E7453E">
              <w:rPr>
                <w:rFonts w:asciiTheme="majorBidi" w:hAnsiTheme="majorBidi" w:cstheme="majorBidi"/>
                <w:b/>
                <w:bCs/>
                <w:color w:val="000000" w:themeColor="text1"/>
                <w:sz w:val="24"/>
                <w:szCs w:val="24"/>
                <w:rtl/>
                <w:lang w:eastAsia="ar-SA"/>
              </w:rPr>
              <w:t>41.9</w:t>
            </w:r>
          </w:p>
        </w:tc>
        <w:tc>
          <w:tcPr>
            <w:tcW w:w="948" w:type="dxa"/>
            <w:gridSpan w:val="2"/>
            <w:tcBorders>
              <w:top w:val="single" w:sz="8" w:space="0" w:color="8064A2"/>
              <w:left w:val="single" w:sz="8" w:space="0" w:color="8064A2"/>
              <w:bottom w:val="nil"/>
              <w:right w:val="single" w:sz="8" w:space="0" w:color="8064A2"/>
            </w:tcBorders>
            <w:vAlign w:val="center"/>
          </w:tcPr>
          <w:p w:rsidR="00173E6C" w:rsidRPr="00E7453E" w:rsidRDefault="00173E6C" w:rsidP="00E7453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4"/>
                <w:szCs w:val="24"/>
              </w:rPr>
            </w:pPr>
            <w:r w:rsidRPr="00E7453E">
              <w:rPr>
                <w:rFonts w:asciiTheme="majorBidi" w:hAnsiTheme="majorBidi" w:cstheme="majorBidi"/>
                <w:b/>
                <w:bCs/>
                <w:color w:val="000000" w:themeColor="text1"/>
                <w:sz w:val="24"/>
                <w:szCs w:val="24"/>
                <w:rtl/>
              </w:rPr>
              <w:t>7.7</w:t>
            </w:r>
          </w:p>
        </w:tc>
        <w:tc>
          <w:tcPr>
            <w:tcW w:w="948" w:type="dxa"/>
            <w:tcBorders>
              <w:top w:val="single" w:sz="8" w:space="0" w:color="8064A2"/>
              <w:left w:val="single" w:sz="8" w:space="0" w:color="8064A2"/>
              <w:bottom w:val="nil"/>
              <w:right w:val="single" w:sz="8" w:space="0" w:color="8064A2"/>
            </w:tcBorders>
            <w:vAlign w:val="center"/>
          </w:tcPr>
          <w:p w:rsidR="00173E6C" w:rsidRPr="00E7453E" w:rsidRDefault="00173E6C" w:rsidP="00E7453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4"/>
                <w:szCs w:val="24"/>
                <w:lang w:eastAsia="ar-SA"/>
              </w:rPr>
            </w:pPr>
            <w:r w:rsidRPr="00E7453E">
              <w:rPr>
                <w:rFonts w:asciiTheme="majorBidi" w:hAnsiTheme="majorBidi" w:cstheme="majorBidi"/>
                <w:b/>
                <w:bCs/>
                <w:color w:val="000000" w:themeColor="text1"/>
                <w:sz w:val="24"/>
                <w:szCs w:val="24"/>
                <w:rtl/>
                <w:lang w:eastAsia="ar-SA"/>
              </w:rPr>
              <w:t>2.3</w:t>
            </w:r>
          </w:p>
        </w:tc>
        <w:tc>
          <w:tcPr>
            <w:tcW w:w="2636" w:type="dxa"/>
            <w:gridSpan w:val="2"/>
            <w:tcBorders>
              <w:top w:val="single" w:sz="8" w:space="0" w:color="8064A2"/>
              <w:left w:val="single" w:sz="8" w:space="0" w:color="8064A2"/>
              <w:bottom w:val="nil"/>
              <w:right w:val="single" w:sz="8" w:space="0" w:color="8064A2"/>
            </w:tcBorders>
          </w:tcPr>
          <w:p w:rsidR="00173E6C" w:rsidRPr="00E7453E" w:rsidRDefault="00173E6C" w:rsidP="00E7453E">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4"/>
                <w:szCs w:val="24"/>
              </w:rPr>
            </w:pPr>
            <w:r w:rsidRPr="00E7453E">
              <w:rPr>
                <w:rFonts w:asciiTheme="majorBidi" w:hAnsiTheme="majorBidi" w:cstheme="majorBidi"/>
                <w:b/>
                <w:bCs/>
                <w:color w:val="000000" w:themeColor="text1"/>
                <w:sz w:val="24"/>
                <w:szCs w:val="24"/>
              </w:rPr>
              <w:t>Palestine</w:t>
            </w:r>
          </w:p>
        </w:tc>
      </w:tr>
      <w:tr w:rsidR="00E31702" w:rsidRPr="00E7453E" w:rsidTr="00EF70F1">
        <w:trPr>
          <w:cnfStyle w:val="000000100000" w:firstRow="0" w:lastRow="0" w:firstColumn="0" w:lastColumn="0" w:oddVBand="0" w:evenVBand="0" w:oddHBand="1" w:evenHBand="0" w:firstRowFirstColumn="0" w:firstRowLastColumn="0" w:lastRowFirstColumn="0" w:lastRowLastColumn="0"/>
          <w:trHeight w:hRule="exact" w:val="366"/>
          <w:jc w:val="center"/>
        </w:trPr>
        <w:tc>
          <w:tcPr>
            <w:cnfStyle w:val="001000000000" w:firstRow="0" w:lastRow="0" w:firstColumn="1" w:lastColumn="0" w:oddVBand="0" w:evenVBand="0" w:oddHBand="0" w:evenHBand="0" w:firstRowFirstColumn="0" w:firstRowLastColumn="0" w:lastRowFirstColumn="0" w:lastRowLastColumn="0"/>
            <w:tcW w:w="953" w:type="dxa"/>
            <w:tcBorders>
              <w:top w:val="nil"/>
              <w:left w:val="single" w:sz="8" w:space="0" w:color="8064A2"/>
              <w:right w:val="single" w:sz="8" w:space="0" w:color="8064A2"/>
            </w:tcBorders>
            <w:vAlign w:val="center"/>
          </w:tcPr>
          <w:p w:rsidR="00173E6C" w:rsidRPr="00E7453E" w:rsidRDefault="00173E6C" w:rsidP="00E7453E">
            <w:pPr>
              <w:jc w:val="both"/>
              <w:rPr>
                <w:rFonts w:asciiTheme="majorBidi" w:hAnsiTheme="majorBidi" w:cstheme="majorBidi"/>
                <w:color w:val="000000" w:themeColor="text1"/>
                <w:sz w:val="24"/>
                <w:szCs w:val="24"/>
              </w:rPr>
            </w:pPr>
            <w:r w:rsidRPr="00E7453E">
              <w:rPr>
                <w:rFonts w:asciiTheme="majorBidi" w:hAnsiTheme="majorBidi" w:cstheme="majorBidi"/>
                <w:color w:val="000000" w:themeColor="text1"/>
                <w:sz w:val="24"/>
                <w:szCs w:val="24"/>
                <w:rtl/>
              </w:rPr>
              <w:t>40.1</w:t>
            </w:r>
          </w:p>
        </w:tc>
        <w:tc>
          <w:tcPr>
            <w:tcW w:w="948" w:type="dxa"/>
            <w:tcBorders>
              <w:top w:val="nil"/>
              <w:left w:val="single" w:sz="8" w:space="0" w:color="8064A2"/>
              <w:right w:val="single" w:sz="8" w:space="0" w:color="8064A2"/>
            </w:tcBorders>
            <w:vAlign w:val="center"/>
          </w:tcPr>
          <w:p w:rsidR="00173E6C" w:rsidRPr="00E7453E" w:rsidRDefault="00173E6C" w:rsidP="00E7453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E7453E">
              <w:rPr>
                <w:rFonts w:asciiTheme="majorBidi" w:hAnsiTheme="majorBidi" w:cstheme="majorBidi"/>
                <w:color w:val="000000" w:themeColor="text1"/>
                <w:sz w:val="24"/>
                <w:szCs w:val="24"/>
                <w:rtl/>
              </w:rPr>
              <w:t>25.5</w:t>
            </w:r>
          </w:p>
        </w:tc>
        <w:tc>
          <w:tcPr>
            <w:tcW w:w="948" w:type="dxa"/>
            <w:gridSpan w:val="2"/>
            <w:tcBorders>
              <w:top w:val="nil"/>
              <w:left w:val="single" w:sz="8" w:space="0" w:color="8064A2"/>
              <w:right w:val="single" w:sz="8" w:space="0" w:color="8064A2"/>
            </w:tcBorders>
            <w:vAlign w:val="center"/>
          </w:tcPr>
          <w:p w:rsidR="00173E6C" w:rsidRPr="00E7453E" w:rsidRDefault="00173E6C" w:rsidP="00E7453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E7453E">
              <w:rPr>
                <w:rFonts w:asciiTheme="majorBidi" w:hAnsiTheme="majorBidi" w:cstheme="majorBidi"/>
                <w:color w:val="000000" w:themeColor="text1"/>
                <w:sz w:val="24"/>
                <w:szCs w:val="24"/>
                <w:rtl/>
              </w:rPr>
              <w:t>67.2</w:t>
            </w:r>
          </w:p>
        </w:tc>
        <w:tc>
          <w:tcPr>
            <w:tcW w:w="948" w:type="dxa"/>
            <w:tcBorders>
              <w:top w:val="nil"/>
              <w:left w:val="single" w:sz="8" w:space="0" w:color="8064A2"/>
              <w:right w:val="single" w:sz="8" w:space="0" w:color="8064A2"/>
            </w:tcBorders>
            <w:vAlign w:val="center"/>
          </w:tcPr>
          <w:p w:rsidR="00173E6C" w:rsidRPr="00E7453E" w:rsidRDefault="00173E6C" w:rsidP="00E7453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eastAsia="ar-SA"/>
              </w:rPr>
            </w:pPr>
            <w:r w:rsidRPr="00E7453E">
              <w:rPr>
                <w:rFonts w:asciiTheme="majorBidi" w:hAnsiTheme="majorBidi" w:cstheme="majorBidi"/>
                <w:color w:val="000000" w:themeColor="text1"/>
                <w:sz w:val="24"/>
                <w:szCs w:val="24"/>
                <w:rtl/>
                <w:lang w:eastAsia="ar-SA"/>
              </w:rPr>
              <w:t>49.5</w:t>
            </w:r>
          </w:p>
        </w:tc>
        <w:tc>
          <w:tcPr>
            <w:tcW w:w="948" w:type="dxa"/>
            <w:gridSpan w:val="2"/>
            <w:tcBorders>
              <w:top w:val="nil"/>
              <w:left w:val="single" w:sz="8" w:space="0" w:color="8064A2"/>
              <w:right w:val="single" w:sz="8" w:space="0" w:color="8064A2"/>
            </w:tcBorders>
            <w:vAlign w:val="center"/>
          </w:tcPr>
          <w:p w:rsidR="00173E6C" w:rsidRPr="00E7453E" w:rsidRDefault="00173E6C" w:rsidP="00E7453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E7453E">
              <w:rPr>
                <w:rFonts w:asciiTheme="majorBidi" w:hAnsiTheme="majorBidi" w:cstheme="majorBidi"/>
                <w:color w:val="000000" w:themeColor="text1"/>
                <w:sz w:val="24"/>
                <w:szCs w:val="24"/>
                <w:rtl/>
              </w:rPr>
              <w:t>12.2</w:t>
            </w:r>
          </w:p>
        </w:tc>
        <w:tc>
          <w:tcPr>
            <w:tcW w:w="948" w:type="dxa"/>
            <w:tcBorders>
              <w:top w:val="nil"/>
              <w:left w:val="single" w:sz="8" w:space="0" w:color="8064A2"/>
              <w:right w:val="single" w:sz="8" w:space="0" w:color="8064A2"/>
            </w:tcBorders>
            <w:vAlign w:val="center"/>
          </w:tcPr>
          <w:p w:rsidR="00173E6C" w:rsidRPr="00E7453E" w:rsidRDefault="00173E6C" w:rsidP="00E7453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lang w:eastAsia="ar-SA"/>
              </w:rPr>
            </w:pPr>
            <w:r w:rsidRPr="00E7453E">
              <w:rPr>
                <w:rFonts w:asciiTheme="majorBidi" w:hAnsiTheme="majorBidi" w:cstheme="majorBidi"/>
                <w:color w:val="000000" w:themeColor="text1"/>
                <w:sz w:val="24"/>
                <w:szCs w:val="24"/>
                <w:rtl/>
                <w:lang w:eastAsia="ar-SA"/>
              </w:rPr>
              <w:t>3.5</w:t>
            </w:r>
          </w:p>
        </w:tc>
        <w:tc>
          <w:tcPr>
            <w:tcW w:w="2636" w:type="dxa"/>
            <w:gridSpan w:val="2"/>
            <w:tcBorders>
              <w:top w:val="nil"/>
              <w:left w:val="single" w:sz="8" w:space="0" w:color="8064A2"/>
              <w:right w:val="single" w:sz="8" w:space="0" w:color="8064A2"/>
            </w:tcBorders>
          </w:tcPr>
          <w:p w:rsidR="00173E6C" w:rsidRPr="00E7453E" w:rsidRDefault="00173E6C" w:rsidP="00E7453E">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E7453E">
              <w:rPr>
                <w:rFonts w:asciiTheme="majorBidi" w:hAnsiTheme="majorBidi" w:cstheme="majorBidi"/>
                <w:color w:val="000000" w:themeColor="text1"/>
                <w:sz w:val="24"/>
                <w:szCs w:val="24"/>
              </w:rPr>
              <w:t>West Bank</w:t>
            </w:r>
          </w:p>
        </w:tc>
      </w:tr>
      <w:tr w:rsidR="00E31702" w:rsidRPr="00E7453E" w:rsidTr="00EF70F1">
        <w:trPr>
          <w:trHeight w:hRule="exact" w:val="366"/>
          <w:jc w:val="center"/>
        </w:trPr>
        <w:tc>
          <w:tcPr>
            <w:cnfStyle w:val="001000000000" w:firstRow="0" w:lastRow="0" w:firstColumn="1" w:lastColumn="0" w:oddVBand="0" w:evenVBand="0" w:oddHBand="0" w:evenHBand="0" w:firstRowFirstColumn="0" w:firstRowLastColumn="0" w:lastRowFirstColumn="0" w:lastRowLastColumn="0"/>
            <w:tcW w:w="953" w:type="dxa"/>
            <w:tcBorders>
              <w:left w:val="single" w:sz="8" w:space="0" w:color="8064A2"/>
              <w:right w:val="single" w:sz="8" w:space="0" w:color="8064A2"/>
            </w:tcBorders>
            <w:vAlign w:val="center"/>
          </w:tcPr>
          <w:p w:rsidR="00173E6C" w:rsidRPr="00E7453E" w:rsidRDefault="00173E6C" w:rsidP="00E7453E">
            <w:pPr>
              <w:jc w:val="both"/>
              <w:rPr>
                <w:rFonts w:asciiTheme="majorBidi" w:hAnsiTheme="majorBidi" w:cstheme="majorBidi"/>
                <w:color w:val="000000" w:themeColor="text1"/>
                <w:sz w:val="24"/>
                <w:szCs w:val="24"/>
                <w:rtl/>
              </w:rPr>
            </w:pPr>
            <w:r w:rsidRPr="00E7453E">
              <w:rPr>
                <w:rFonts w:asciiTheme="majorBidi" w:hAnsiTheme="majorBidi" w:cstheme="majorBidi"/>
                <w:color w:val="000000" w:themeColor="text1"/>
                <w:sz w:val="24"/>
                <w:szCs w:val="24"/>
                <w:rtl/>
              </w:rPr>
              <w:t>17.0</w:t>
            </w:r>
          </w:p>
        </w:tc>
        <w:tc>
          <w:tcPr>
            <w:tcW w:w="948" w:type="dxa"/>
            <w:tcBorders>
              <w:left w:val="single" w:sz="8" w:space="0" w:color="8064A2"/>
              <w:right w:val="single" w:sz="8" w:space="0" w:color="8064A2"/>
            </w:tcBorders>
            <w:vAlign w:val="center"/>
          </w:tcPr>
          <w:p w:rsidR="00173E6C" w:rsidRPr="00E7453E" w:rsidRDefault="00173E6C" w:rsidP="00E7453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tl/>
              </w:rPr>
            </w:pPr>
            <w:r w:rsidRPr="00E7453E">
              <w:rPr>
                <w:rFonts w:asciiTheme="majorBidi" w:hAnsiTheme="majorBidi" w:cstheme="majorBidi"/>
                <w:color w:val="000000" w:themeColor="text1"/>
                <w:sz w:val="24"/>
                <w:szCs w:val="24"/>
                <w:rtl/>
              </w:rPr>
              <w:t>14.6</w:t>
            </w:r>
          </w:p>
        </w:tc>
        <w:tc>
          <w:tcPr>
            <w:tcW w:w="948" w:type="dxa"/>
            <w:gridSpan w:val="2"/>
            <w:tcBorders>
              <w:left w:val="single" w:sz="8" w:space="0" w:color="8064A2"/>
              <w:right w:val="single" w:sz="8" w:space="0" w:color="8064A2"/>
            </w:tcBorders>
            <w:vAlign w:val="center"/>
          </w:tcPr>
          <w:p w:rsidR="00173E6C" w:rsidRPr="00E7453E" w:rsidRDefault="00173E6C" w:rsidP="00E7453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E7453E">
              <w:rPr>
                <w:rFonts w:asciiTheme="majorBidi" w:hAnsiTheme="majorBidi" w:cstheme="majorBidi"/>
                <w:color w:val="000000" w:themeColor="text1"/>
                <w:sz w:val="24"/>
                <w:szCs w:val="24"/>
                <w:rtl/>
              </w:rPr>
              <w:t>33.3</w:t>
            </w:r>
          </w:p>
        </w:tc>
        <w:tc>
          <w:tcPr>
            <w:tcW w:w="948" w:type="dxa"/>
            <w:tcBorders>
              <w:left w:val="single" w:sz="8" w:space="0" w:color="8064A2"/>
              <w:right w:val="single" w:sz="8" w:space="0" w:color="8064A2"/>
            </w:tcBorders>
            <w:vAlign w:val="center"/>
          </w:tcPr>
          <w:p w:rsidR="00173E6C" w:rsidRPr="00E7453E" w:rsidRDefault="00173E6C" w:rsidP="00E7453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eastAsia="ar-SA"/>
              </w:rPr>
            </w:pPr>
            <w:r w:rsidRPr="00E7453E">
              <w:rPr>
                <w:rFonts w:asciiTheme="majorBidi" w:hAnsiTheme="majorBidi" w:cstheme="majorBidi"/>
                <w:color w:val="000000" w:themeColor="text1"/>
                <w:sz w:val="24"/>
                <w:szCs w:val="24"/>
                <w:rtl/>
                <w:lang w:eastAsia="ar-SA"/>
              </w:rPr>
              <w:t>28.2</w:t>
            </w:r>
          </w:p>
        </w:tc>
        <w:tc>
          <w:tcPr>
            <w:tcW w:w="948" w:type="dxa"/>
            <w:gridSpan w:val="2"/>
            <w:tcBorders>
              <w:left w:val="single" w:sz="8" w:space="0" w:color="8064A2"/>
              <w:right w:val="single" w:sz="8" w:space="0" w:color="8064A2"/>
            </w:tcBorders>
            <w:vAlign w:val="center"/>
          </w:tcPr>
          <w:p w:rsidR="00173E6C" w:rsidRPr="00E7453E" w:rsidRDefault="00173E6C" w:rsidP="00E7453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E7453E">
              <w:rPr>
                <w:rFonts w:asciiTheme="majorBidi" w:hAnsiTheme="majorBidi" w:cstheme="majorBidi"/>
                <w:color w:val="000000" w:themeColor="text1"/>
                <w:sz w:val="24"/>
                <w:szCs w:val="24"/>
                <w:rtl/>
              </w:rPr>
              <w:t>0.5</w:t>
            </w:r>
          </w:p>
        </w:tc>
        <w:tc>
          <w:tcPr>
            <w:tcW w:w="948" w:type="dxa"/>
            <w:tcBorders>
              <w:left w:val="single" w:sz="8" w:space="0" w:color="8064A2"/>
              <w:right w:val="single" w:sz="8" w:space="0" w:color="8064A2"/>
            </w:tcBorders>
            <w:vAlign w:val="center"/>
          </w:tcPr>
          <w:p w:rsidR="00173E6C" w:rsidRPr="00E7453E" w:rsidRDefault="00173E6C" w:rsidP="00E7453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lang w:eastAsia="ar-SA"/>
              </w:rPr>
            </w:pPr>
            <w:r w:rsidRPr="00E7453E">
              <w:rPr>
                <w:rFonts w:asciiTheme="majorBidi" w:hAnsiTheme="majorBidi" w:cstheme="majorBidi"/>
                <w:color w:val="000000" w:themeColor="text1"/>
                <w:sz w:val="24"/>
                <w:szCs w:val="24"/>
                <w:rtl/>
                <w:lang w:eastAsia="ar-SA"/>
              </w:rPr>
              <w:t>0.2</w:t>
            </w:r>
          </w:p>
        </w:tc>
        <w:tc>
          <w:tcPr>
            <w:tcW w:w="2636" w:type="dxa"/>
            <w:gridSpan w:val="2"/>
            <w:tcBorders>
              <w:left w:val="single" w:sz="8" w:space="0" w:color="8064A2"/>
              <w:right w:val="single" w:sz="8" w:space="0" w:color="8064A2"/>
            </w:tcBorders>
          </w:tcPr>
          <w:p w:rsidR="00173E6C" w:rsidRPr="00E7453E" w:rsidRDefault="00173E6C" w:rsidP="00E7453E">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E7453E">
              <w:rPr>
                <w:rFonts w:asciiTheme="majorBidi" w:hAnsiTheme="majorBidi" w:cstheme="majorBidi"/>
                <w:color w:val="000000" w:themeColor="text1"/>
                <w:sz w:val="24"/>
                <w:szCs w:val="24"/>
              </w:rPr>
              <w:t>Gaza Strip</w:t>
            </w:r>
          </w:p>
        </w:tc>
      </w:tr>
    </w:tbl>
    <w:p w:rsidR="00173E6C" w:rsidRPr="00E7453E" w:rsidRDefault="00173E6C" w:rsidP="00E7453E">
      <w:pPr>
        <w:shd w:val="clear" w:color="auto" w:fill="FFFFFF" w:themeFill="background1"/>
        <w:bidi w:val="0"/>
        <w:spacing w:after="0" w:line="240" w:lineRule="auto"/>
        <w:jc w:val="both"/>
        <w:rPr>
          <w:rFonts w:asciiTheme="majorBidi" w:hAnsiTheme="majorBidi" w:cstheme="majorBidi"/>
          <w:color w:val="000000" w:themeColor="text1"/>
          <w:sz w:val="16"/>
          <w:szCs w:val="16"/>
        </w:rPr>
      </w:pPr>
    </w:p>
    <w:p w:rsidR="00861A1F" w:rsidRPr="00E7453E" w:rsidRDefault="00861A1F" w:rsidP="00E7453E">
      <w:pPr>
        <w:shd w:val="clear" w:color="auto" w:fill="FFFFFF" w:themeFill="background1"/>
        <w:bidi w:val="0"/>
        <w:spacing w:after="0" w:line="240" w:lineRule="auto"/>
        <w:jc w:val="both"/>
        <w:rPr>
          <w:rFonts w:asciiTheme="majorBidi" w:hAnsiTheme="majorBidi" w:cstheme="majorBidi"/>
          <w:b/>
          <w:bCs/>
          <w:color w:val="000000" w:themeColor="text1"/>
          <w:sz w:val="28"/>
          <w:szCs w:val="28"/>
        </w:rPr>
      </w:pPr>
      <w:r w:rsidRPr="00E7453E">
        <w:rPr>
          <w:rFonts w:asciiTheme="majorBidi" w:hAnsiTheme="majorBidi" w:cstheme="majorBidi"/>
          <w:b/>
          <w:bCs/>
          <w:color w:val="000000" w:themeColor="text1"/>
          <w:sz w:val="28"/>
          <w:szCs w:val="28"/>
        </w:rPr>
        <w:t xml:space="preserve">Half of the individuals </w:t>
      </w:r>
      <w:r w:rsidR="008A4F53" w:rsidRPr="00E7453E">
        <w:rPr>
          <w:rFonts w:asciiTheme="majorBidi" w:hAnsiTheme="majorBidi" w:cstheme="majorBidi"/>
          <w:b/>
          <w:bCs/>
          <w:color w:val="000000" w:themeColor="text1"/>
          <w:sz w:val="28"/>
          <w:szCs w:val="28"/>
        </w:rPr>
        <w:t xml:space="preserve">aged </w:t>
      </w:r>
      <w:r w:rsidRPr="00E7453E">
        <w:rPr>
          <w:rFonts w:asciiTheme="majorBidi" w:hAnsiTheme="majorBidi" w:cstheme="majorBidi"/>
          <w:b/>
          <w:bCs/>
          <w:color w:val="000000" w:themeColor="text1"/>
          <w:sz w:val="28"/>
          <w:szCs w:val="28"/>
        </w:rPr>
        <w:t xml:space="preserve">18 years and </w:t>
      </w:r>
      <w:r w:rsidR="008A4F53" w:rsidRPr="00E7453E">
        <w:rPr>
          <w:rFonts w:asciiTheme="majorBidi" w:hAnsiTheme="majorBidi" w:cstheme="majorBidi"/>
          <w:b/>
          <w:bCs/>
          <w:color w:val="000000" w:themeColor="text1"/>
          <w:sz w:val="28"/>
          <w:szCs w:val="28"/>
        </w:rPr>
        <w:t xml:space="preserve">above </w:t>
      </w:r>
      <w:r w:rsidRPr="00E7453E">
        <w:rPr>
          <w:rFonts w:asciiTheme="majorBidi" w:hAnsiTheme="majorBidi" w:cstheme="majorBidi"/>
          <w:b/>
          <w:bCs/>
          <w:color w:val="000000" w:themeColor="text1"/>
          <w:sz w:val="28"/>
          <w:szCs w:val="28"/>
        </w:rPr>
        <w:t xml:space="preserve">in </w:t>
      </w:r>
      <w:r w:rsidR="008A4F53" w:rsidRPr="00E7453E">
        <w:rPr>
          <w:rFonts w:asciiTheme="majorBidi" w:hAnsiTheme="majorBidi" w:cstheme="majorBidi"/>
          <w:b/>
          <w:bCs/>
          <w:color w:val="000000" w:themeColor="text1"/>
          <w:sz w:val="28"/>
          <w:szCs w:val="28"/>
        </w:rPr>
        <w:t xml:space="preserve">Tulkarm Governorate </w:t>
      </w:r>
      <w:r w:rsidRPr="00E7453E">
        <w:rPr>
          <w:rFonts w:asciiTheme="majorBidi" w:hAnsiTheme="majorBidi" w:cstheme="majorBidi"/>
          <w:b/>
          <w:bCs/>
          <w:color w:val="000000" w:themeColor="text1"/>
          <w:sz w:val="28"/>
          <w:szCs w:val="28"/>
        </w:rPr>
        <w:t>are smokers</w:t>
      </w:r>
    </w:p>
    <w:p w:rsidR="00173E6C" w:rsidRPr="00E7453E" w:rsidRDefault="00861A1F" w:rsidP="00E7453E">
      <w:pPr>
        <w:shd w:val="clear" w:color="auto" w:fill="FFFFFF" w:themeFill="background1"/>
        <w:bidi w:val="0"/>
        <w:spacing w:after="0" w:line="240" w:lineRule="auto"/>
        <w:jc w:val="both"/>
        <w:rPr>
          <w:rFonts w:asciiTheme="majorBidi" w:hAnsiTheme="majorBidi" w:cstheme="majorBidi"/>
          <w:color w:val="000000" w:themeColor="text1"/>
          <w:sz w:val="26"/>
          <w:szCs w:val="26"/>
        </w:rPr>
      </w:pPr>
      <w:r w:rsidRPr="00E7453E">
        <w:rPr>
          <w:rFonts w:asciiTheme="majorBidi" w:hAnsiTheme="majorBidi" w:cstheme="majorBidi"/>
          <w:color w:val="000000" w:themeColor="text1"/>
          <w:sz w:val="26"/>
          <w:szCs w:val="26"/>
        </w:rPr>
        <w:t xml:space="preserve">The results of the survey indicated that Tulkarm </w:t>
      </w:r>
      <w:r w:rsidR="008A4F53" w:rsidRPr="00E7453E">
        <w:rPr>
          <w:rFonts w:asciiTheme="majorBidi" w:hAnsiTheme="majorBidi" w:cstheme="majorBidi"/>
          <w:color w:val="000000" w:themeColor="text1"/>
          <w:sz w:val="26"/>
          <w:szCs w:val="26"/>
        </w:rPr>
        <w:t xml:space="preserve">Governorate </w:t>
      </w:r>
      <w:r w:rsidRPr="00E7453E">
        <w:rPr>
          <w:rFonts w:asciiTheme="majorBidi" w:hAnsiTheme="majorBidi" w:cstheme="majorBidi"/>
          <w:color w:val="000000" w:themeColor="text1"/>
          <w:sz w:val="26"/>
          <w:szCs w:val="26"/>
        </w:rPr>
        <w:t xml:space="preserve">in the West Bank recorded the highest percentage of smokers for the year 2021, which amounted to about 49% of all individuals aged 18 years and </w:t>
      </w:r>
      <w:r w:rsidR="005E5CD5" w:rsidRPr="00E7453E">
        <w:rPr>
          <w:rFonts w:asciiTheme="majorBidi" w:hAnsiTheme="majorBidi" w:cstheme="majorBidi"/>
          <w:color w:val="000000" w:themeColor="text1"/>
          <w:sz w:val="26"/>
          <w:szCs w:val="26"/>
        </w:rPr>
        <w:t xml:space="preserve">above </w:t>
      </w:r>
      <w:r w:rsidRPr="00E7453E">
        <w:rPr>
          <w:rFonts w:asciiTheme="majorBidi" w:hAnsiTheme="majorBidi" w:cstheme="majorBidi"/>
          <w:color w:val="000000" w:themeColor="text1"/>
          <w:sz w:val="26"/>
          <w:szCs w:val="26"/>
        </w:rPr>
        <w:t>in the governorate</w:t>
      </w:r>
      <w:r w:rsidR="005E5CD5" w:rsidRPr="00E7453E">
        <w:rPr>
          <w:rFonts w:asciiTheme="majorBidi" w:hAnsiTheme="majorBidi" w:cstheme="majorBidi"/>
          <w:color w:val="000000" w:themeColor="text1"/>
          <w:sz w:val="26"/>
          <w:szCs w:val="26"/>
        </w:rPr>
        <w:t xml:space="preserve">. </w:t>
      </w:r>
      <w:r w:rsidR="006842C5" w:rsidRPr="00E7453E">
        <w:rPr>
          <w:rFonts w:asciiTheme="majorBidi" w:hAnsiTheme="majorBidi" w:cstheme="majorBidi"/>
          <w:color w:val="000000" w:themeColor="text1"/>
          <w:sz w:val="26"/>
          <w:szCs w:val="26"/>
        </w:rPr>
        <w:t xml:space="preserve">While </w:t>
      </w:r>
      <w:r w:rsidRPr="00E7453E">
        <w:rPr>
          <w:rFonts w:asciiTheme="majorBidi" w:hAnsiTheme="majorBidi" w:cstheme="majorBidi"/>
          <w:color w:val="000000" w:themeColor="text1"/>
          <w:sz w:val="26"/>
          <w:szCs w:val="26"/>
        </w:rPr>
        <w:t xml:space="preserve">Salfit </w:t>
      </w:r>
      <w:r w:rsidR="005E5CD5" w:rsidRPr="00E7453E">
        <w:rPr>
          <w:rFonts w:asciiTheme="majorBidi" w:hAnsiTheme="majorBidi" w:cstheme="majorBidi"/>
          <w:color w:val="000000" w:themeColor="text1"/>
          <w:sz w:val="26"/>
          <w:szCs w:val="26"/>
        </w:rPr>
        <w:t xml:space="preserve">Governorate recorded the lowest </w:t>
      </w:r>
      <w:r w:rsidR="00CC5660" w:rsidRPr="00E7453E">
        <w:rPr>
          <w:rFonts w:asciiTheme="majorBidi" w:hAnsiTheme="majorBidi" w:cstheme="majorBidi"/>
          <w:color w:val="000000" w:themeColor="text1"/>
          <w:sz w:val="26"/>
          <w:szCs w:val="26"/>
        </w:rPr>
        <w:t>percentage</w:t>
      </w:r>
      <w:r w:rsidR="005E5CD5" w:rsidRPr="00E7453E">
        <w:rPr>
          <w:rFonts w:asciiTheme="majorBidi" w:hAnsiTheme="majorBidi" w:cstheme="majorBidi"/>
          <w:color w:val="000000" w:themeColor="text1"/>
          <w:sz w:val="26"/>
          <w:szCs w:val="26"/>
        </w:rPr>
        <w:t xml:space="preserve"> of smokers</w:t>
      </w:r>
      <w:r w:rsidRPr="00E7453E">
        <w:rPr>
          <w:rFonts w:asciiTheme="majorBidi" w:hAnsiTheme="majorBidi" w:cstheme="majorBidi"/>
          <w:color w:val="000000" w:themeColor="text1"/>
          <w:sz w:val="26"/>
          <w:szCs w:val="26"/>
        </w:rPr>
        <w:t xml:space="preserve"> in the West Bank, </w:t>
      </w:r>
      <w:r w:rsidR="00CC5660" w:rsidRPr="00E7453E">
        <w:rPr>
          <w:rFonts w:asciiTheme="majorBidi" w:hAnsiTheme="majorBidi" w:cstheme="majorBidi"/>
          <w:color w:val="000000" w:themeColor="text1"/>
          <w:sz w:val="26"/>
          <w:szCs w:val="26"/>
        </w:rPr>
        <w:t xml:space="preserve">where </w:t>
      </w:r>
      <w:r w:rsidRPr="00E7453E">
        <w:rPr>
          <w:rFonts w:asciiTheme="majorBidi" w:hAnsiTheme="majorBidi" w:cstheme="majorBidi"/>
          <w:color w:val="000000" w:themeColor="text1"/>
          <w:sz w:val="26"/>
          <w:szCs w:val="26"/>
        </w:rPr>
        <w:t>the percentage of smokers reached about 30% of all individuals</w:t>
      </w:r>
      <w:r w:rsidR="00CC5660" w:rsidRPr="00E7453E">
        <w:rPr>
          <w:rFonts w:asciiTheme="majorBidi" w:hAnsiTheme="majorBidi" w:cstheme="majorBidi"/>
          <w:color w:val="000000" w:themeColor="text1"/>
          <w:sz w:val="26"/>
          <w:szCs w:val="26"/>
        </w:rPr>
        <w:t xml:space="preserve"> aged</w:t>
      </w:r>
      <w:r w:rsidRPr="00E7453E">
        <w:rPr>
          <w:rFonts w:asciiTheme="majorBidi" w:hAnsiTheme="majorBidi" w:cstheme="majorBidi"/>
          <w:color w:val="000000" w:themeColor="text1"/>
          <w:sz w:val="26"/>
          <w:szCs w:val="26"/>
        </w:rPr>
        <w:t xml:space="preserve"> 18 years and </w:t>
      </w:r>
      <w:r w:rsidR="00CC5660" w:rsidRPr="00E7453E">
        <w:rPr>
          <w:rFonts w:asciiTheme="majorBidi" w:hAnsiTheme="majorBidi" w:cstheme="majorBidi"/>
          <w:color w:val="000000" w:themeColor="text1"/>
          <w:sz w:val="26"/>
          <w:szCs w:val="26"/>
        </w:rPr>
        <w:t xml:space="preserve">above </w:t>
      </w:r>
      <w:r w:rsidRPr="00E7453E">
        <w:rPr>
          <w:rFonts w:asciiTheme="majorBidi" w:hAnsiTheme="majorBidi" w:cstheme="majorBidi"/>
          <w:color w:val="000000" w:themeColor="text1"/>
          <w:sz w:val="26"/>
          <w:szCs w:val="26"/>
        </w:rPr>
        <w:t xml:space="preserve">in the governorate. In Gaza Strip, Rafah governorate recorded the highest percentage of smokers among </w:t>
      </w:r>
      <w:r w:rsidR="00CC5660" w:rsidRPr="00E7453E">
        <w:rPr>
          <w:rFonts w:asciiTheme="majorBidi" w:hAnsiTheme="majorBidi" w:cstheme="majorBidi"/>
          <w:color w:val="000000" w:themeColor="text1"/>
          <w:sz w:val="26"/>
          <w:szCs w:val="26"/>
        </w:rPr>
        <w:t xml:space="preserve">all </w:t>
      </w:r>
      <w:r w:rsidRPr="00E7453E">
        <w:rPr>
          <w:rFonts w:asciiTheme="majorBidi" w:hAnsiTheme="majorBidi" w:cstheme="majorBidi"/>
          <w:color w:val="000000" w:themeColor="text1"/>
          <w:sz w:val="26"/>
          <w:szCs w:val="26"/>
        </w:rPr>
        <w:t xml:space="preserve">governorates of Gaza Strip, reaching about 20% of all individuals aged 18 and </w:t>
      </w:r>
      <w:r w:rsidR="00CC5660" w:rsidRPr="00E7453E">
        <w:rPr>
          <w:rFonts w:asciiTheme="majorBidi" w:hAnsiTheme="majorBidi" w:cstheme="majorBidi"/>
          <w:color w:val="000000" w:themeColor="text1"/>
          <w:sz w:val="26"/>
          <w:szCs w:val="26"/>
        </w:rPr>
        <w:t xml:space="preserve">above </w:t>
      </w:r>
      <w:r w:rsidRPr="00E7453E">
        <w:rPr>
          <w:rFonts w:asciiTheme="majorBidi" w:hAnsiTheme="majorBidi" w:cstheme="majorBidi"/>
          <w:color w:val="000000" w:themeColor="text1"/>
          <w:sz w:val="26"/>
          <w:szCs w:val="26"/>
        </w:rPr>
        <w:t>in the governorate.</w:t>
      </w:r>
      <w:r w:rsidR="006842C5" w:rsidRPr="00E7453E">
        <w:rPr>
          <w:rFonts w:asciiTheme="majorBidi" w:hAnsiTheme="majorBidi" w:cstheme="majorBidi"/>
          <w:color w:val="000000" w:themeColor="text1"/>
          <w:sz w:val="26"/>
          <w:szCs w:val="26"/>
        </w:rPr>
        <w:t xml:space="preserve"> </w:t>
      </w:r>
      <w:r w:rsidR="0031454C" w:rsidRPr="00E7453E">
        <w:rPr>
          <w:rFonts w:asciiTheme="majorBidi" w:hAnsiTheme="majorBidi" w:cstheme="majorBidi"/>
          <w:color w:val="000000" w:themeColor="text1"/>
          <w:sz w:val="26"/>
          <w:szCs w:val="26"/>
        </w:rPr>
        <w:t xml:space="preserve">Khan </w:t>
      </w:r>
      <w:proofErr w:type="spellStart"/>
      <w:r w:rsidR="0031454C" w:rsidRPr="00E7453E">
        <w:rPr>
          <w:rFonts w:asciiTheme="majorBidi" w:hAnsiTheme="majorBidi" w:cstheme="majorBidi"/>
          <w:color w:val="000000" w:themeColor="text1"/>
          <w:sz w:val="26"/>
          <w:szCs w:val="26"/>
        </w:rPr>
        <w:t>Younis</w:t>
      </w:r>
      <w:proofErr w:type="spellEnd"/>
      <w:r w:rsidR="0031454C" w:rsidRPr="00E7453E">
        <w:rPr>
          <w:rFonts w:asciiTheme="majorBidi" w:hAnsiTheme="majorBidi" w:cstheme="majorBidi"/>
          <w:color w:val="000000" w:themeColor="text1"/>
          <w:sz w:val="26"/>
          <w:szCs w:val="26"/>
        </w:rPr>
        <w:t xml:space="preserve"> Governorate recorded the lowest percentage of smokers in Gaza Strip, where the percentage reached about 16% of all individuals aged 18 years and above in the governorate. </w:t>
      </w:r>
    </w:p>
    <w:p w:rsidR="00C66E17" w:rsidRDefault="00C66E17" w:rsidP="00E7453E">
      <w:pPr>
        <w:shd w:val="clear" w:color="auto" w:fill="FFFFFF" w:themeFill="background1"/>
        <w:spacing w:after="0" w:line="240" w:lineRule="auto"/>
        <w:jc w:val="right"/>
        <w:rPr>
          <w:rFonts w:asciiTheme="majorBidi" w:hAnsiTheme="majorBidi" w:cstheme="majorBidi"/>
          <w:b/>
          <w:bCs/>
          <w:color w:val="000000" w:themeColor="text1"/>
          <w:sz w:val="28"/>
          <w:szCs w:val="28"/>
        </w:rPr>
      </w:pPr>
    </w:p>
    <w:p w:rsidR="00C66E17" w:rsidRDefault="00C66E17" w:rsidP="00E7453E">
      <w:pPr>
        <w:shd w:val="clear" w:color="auto" w:fill="FFFFFF" w:themeFill="background1"/>
        <w:spacing w:after="0" w:line="240" w:lineRule="auto"/>
        <w:jc w:val="right"/>
        <w:rPr>
          <w:rFonts w:asciiTheme="majorBidi" w:hAnsiTheme="majorBidi" w:cstheme="majorBidi"/>
          <w:b/>
          <w:bCs/>
          <w:color w:val="000000" w:themeColor="text1"/>
          <w:sz w:val="28"/>
          <w:szCs w:val="28"/>
        </w:rPr>
      </w:pPr>
    </w:p>
    <w:p w:rsidR="00C66E17" w:rsidRDefault="00C66E17" w:rsidP="00E7453E">
      <w:pPr>
        <w:shd w:val="clear" w:color="auto" w:fill="FFFFFF" w:themeFill="background1"/>
        <w:spacing w:after="0" w:line="240" w:lineRule="auto"/>
        <w:jc w:val="right"/>
        <w:rPr>
          <w:rFonts w:asciiTheme="majorBidi" w:hAnsiTheme="majorBidi" w:cstheme="majorBidi"/>
          <w:b/>
          <w:bCs/>
          <w:color w:val="000000" w:themeColor="text1"/>
          <w:sz w:val="28"/>
          <w:szCs w:val="28"/>
        </w:rPr>
      </w:pPr>
    </w:p>
    <w:p w:rsidR="00861A1F" w:rsidRDefault="00861A1F" w:rsidP="00E7453E">
      <w:pPr>
        <w:shd w:val="clear" w:color="auto" w:fill="FFFFFF" w:themeFill="background1"/>
        <w:spacing w:after="0" w:line="240" w:lineRule="auto"/>
        <w:jc w:val="right"/>
        <w:rPr>
          <w:rFonts w:asciiTheme="majorBidi" w:hAnsiTheme="majorBidi" w:cstheme="majorBidi"/>
          <w:b/>
          <w:bCs/>
          <w:color w:val="000000" w:themeColor="text1"/>
          <w:sz w:val="28"/>
          <w:szCs w:val="28"/>
          <w:rtl/>
        </w:rPr>
      </w:pPr>
      <w:r w:rsidRPr="00E7453E">
        <w:rPr>
          <w:rFonts w:asciiTheme="majorBidi" w:hAnsiTheme="majorBidi" w:cstheme="majorBidi"/>
          <w:b/>
          <w:bCs/>
          <w:color w:val="000000" w:themeColor="text1"/>
          <w:sz w:val="28"/>
          <w:szCs w:val="28"/>
        </w:rPr>
        <w:lastRenderedPageBreak/>
        <w:t>About two-thirds of males in the West Bank are smokers</w:t>
      </w:r>
    </w:p>
    <w:p w:rsidR="00861A1F" w:rsidRPr="00E7453E" w:rsidRDefault="00861A1F" w:rsidP="00E7453E">
      <w:pPr>
        <w:shd w:val="clear" w:color="auto" w:fill="FFFFFF" w:themeFill="background1"/>
        <w:bidi w:val="0"/>
        <w:spacing w:after="0" w:line="240" w:lineRule="auto"/>
        <w:jc w:val="both"/>
        <w:rPr>
          <w:rFonts w:asciiTheme="majorBidi" w:hAnsiTheme="majorBidi" w:cstheme="majorBidi"/>
          <w:b/>
          <w:bCs/>
          <w:color w:val="000000" w:themeColor="text1"/>
          <w:sz w:val="26"/>
          <w:szCs w:val="26"/>
        </w:rPr>
      </w:pPr>
      <w:r w:rsidRPr="00E7453E">
        <w:rPr>
          <w:rFonts w:asciiTheme="majorBidi" w:hAnsiTheme="majorBidi" w:cstheme="majorBidi"/>
          <w:color w:val="000000" w:themeColor="text1"/>
          <w:sz w:val="26"/>
          <w:szCs w:val="26"/>
        </w:rPr>
        <w:t xml:space="preserve">The prevalence of smoking among males aged 18 years and </w:t>
      </w:r>
      <w:r w:rsidR="00CC5660" w:rsidRPr="00E7453E">
        <w:rPr>
          <w:rFonts w:asciiTheme="majorBidi" w:hAnsiTheme="majorBidi" w:cstheme="majorBidi"/>
          <w:color w:val="000000" w:themeColor="text1"/>
          <w:sz w:val="26"/>
          <w:szCs w:val="26"/>
        </w:rPr>
        <w:t xml:space="preserve">above </w:t>
      </w:r>
      <w:r w:rsidRPr="00E7453E">
        <w:rPr>
          <w:rFonts w:asciiTheme="majorBidi" w:hAnsiTheme="majorBidi" w:cstheme="majorBidi"/>
          <w:color w:val="000000" w:themeColor="text1"/>
          <w:sz w:val="26"/>
          <w:szCs w:val="26"/>
        </w:rPr>
        <w:t>in Palestine was about 54% compared to 8% among females</w:t>
      </w:r>
      <w:r w:rsidR="00CC5660" w:rsidRPr="00E7453E">
        <w:rPr>
          <w:rFonts w:asciiTheme="majorBidi" w:hAnsiTheme="majorBidi" w:cstheme="majorBidi"/>
          <w:color w:val="000000" w:themeColor="text1"/>
          <w:sz w:val="26"/>
          <w:szCs w:val="26"/>
        </w:rPr>
        <w:t>. Also,</w:t>
      </w:r>
      <w:r w:rsidRPr="00E7453E">
        <w:rPr>
          <w:rFonts w:asciiTheme="majorBidi" w:hAnsiTheme="majorBidi" w:cstheme="majorBidi"/>
          <w:color w:val="000000" w:themeColor="text1"/>
          <w:sz w:val="26"/>
          <w:szCs w:val="26"/>
        </w:rPr>
        <w:t xml:space="preserve"> the percentage of male smokers constituted about 67% of all males </w:t>
      </w:r>
      <w:r w:rsidR="00A809EB" w:rsidRPr="00E7453E">
        <w:rPr>
          <w:rFonts w:asciiTheme="majorBidi" w:hAnsiTheme="majorBidi" w:cstheme="majorBidi"/>
          <w:color w:val="000000" w:themeColor="text1"/>
          <w:sz w:val="26"/>
          <w:szCs w:val="26"/>
        </w:rPr>
        <w:t>aged</w:t>
      </w:r>
      <w:r w:rsidR="008875E4" w:rsidRPr="00E7453E">
        <w:rPr>
          <w:rFonts w:asciiTheme="majorBidi" w:hAnsiTheme="majorBidi" w:cstheme="majorBidi"/>
          <w:color w:val="000000" w:themeColor="text1"/>
          <w:sz w:val="26"/>
          <w:szCs w:val="26"/>
        </w:rPr>
        <w:t xml:space="preserve"> </w:t>
      </w:r>
      <w:r w:rsidRPr="00E7453E">
        <w:rPr>
          <w:rFonts w:asciiTheme="majorBidi" w:hAnsiTheme="majorBidi" w:cstheme="majorBidi"/>
          <w:color w:val="000000" w:themeColor="text1"/>
          <w:sz w:val="26"/>
          <w:szCs w:val="26"/>
        </w:rPr>
        <w:t xml:space="preserve">18 years and </w:t>
      </w:r>
      <w:r w:rsidR="00A809EB" w:rsidRPr="00E7453E">
        <w:rPr>
          <w:rFonts w:asciiTheme="majorBidi" w:hAnsiTheme="majorBidi" w:cstheme="majorBidi"/>
          <w:color w:val="000000" w:themeColor="text1"/>
          <w:sz w:val="26"/>
          <w:szCs w:val="26"/>
        </w:rPr>
        <w:t xml:space="preserve">above </w:t>
      </w:r>
      <w:r w:rsidRPr="00E7453E">
        <w:rPr>
          <w:rFonts w:asciiTheme="majorBidi" w:hAnsiTheme="majorBidi" w:cstheme="majorBidi"/>
          <w:color w:val="000000" w:themeColor="text1"/>
          <w:sz w:val="26"/>
          <w:szCs w:val="26"/>
        </w:rPr>
        <w:t xml:space="preserve">in the West Bank, compared to 33% in Gaza Strip. </w:t>
      </w:r>
      <w:r w:rsidR="00A809EB" w:rsidRPr="00E7453E">
        <w:rPr>
          <w:rFonts w:asciiTheme="majorBidi" w:hAnsiTheme="majorBidi" w:cstheme="majorBidi"/>
          <w:color w:val="000000" w:themeColor="text1"/>
          <w:sz w:val="26"/>
          <w:szCs w:val="26"/>
        </w:rPr>
        <w:t xml:space="preserve">In addition, this percentage reached about 12% of all females </w:t>
      </w:r>
      <w:r w:rsidRPr="00E7453E">
        <w:rPr>
          <w:rFonts w:asciiTheme="majorBidi" w:hAnsiTheme="majorBidi" w:cstheme="majorBidi"/>
          <w:color w:val="000000" w:themeColor="text1"/>
          <w:sz w:val="26"/>
          <w:szCs w:val="26"/>
        </w:rPr>
        <w:t>in the West Bank, compared to only 1% of all females in Gaza Strip in the same age group</w:t>
      </w:r>
      <w:r w:rsidRPr="00E7453E">
        <w:rPr>
          <w:rFonts w:asciiTheme="majorBidi" w:hAnsiTheme="majorBidi" w:cstheme="majorBidi"/>
          <w:b/>
          <w:bCs/>
          <w:color w:val="000000" w:themeColor="text1"/>
          <w:sz w:val="26"/>
          <w:szCs w:val="26"/>
          <w:rtl/>
        </w:rPr>
        <w:t>.</w:t>
      </w:r>
    </w:p>
    <w:p w:rsidR="00861A1F" w:rsidRPr="00E7453E" w:rsidRDefault="00861A1F" w:rsidP="00E7453E">
      <w:pPr>
        <w:shd w:val="clear" w:color="auto" w:fill="FFFFFF" w:themeFill="background1"/>
        <w:spacing w:after="0" w:line="240" w:lineRule="auto"/>
        <w:jc w:val="right"/>
        <w:rPr>
          <w:rFonts w:asciiTheme="majorBidi" w:hAnsiTheme="majorBidi" w:cstheme="majorBidi"/>
          <w:b/>
          <w:bCs/>
          <w:color w:val="000000" w:themeColor="text1"/>
          <w:sz w:val="16"/>
          <w:szCs w:val="16"/>
          <w:rtl/>
        </w:rPr>
      </w:pPr>
    </w:p>
    <w:p w:rsidR="00861A1F" w:rsidRPr="00E7453E" w:rsidRDefault="00861A1F" w:rsidP="00E7453E">
      <w:pPr>
        <w:shd w:val="clear" w:color="auto" w:fill="FFFFFF" w:themeFill="background1"/>
        <w:spacing w:after="0" w:line="240" w:lineRule="auto"/>
        <w:jc w:val="right"/>
        <w:rPr>
          <w:rFonts w:asciiTheme="majorBidi" w:hAnsiTheme="majorBidi" w:cstheme="majorBidi"/>
          <w:b/>
          <w:bCs/>
          <w:color w:val="000000" w:themeColor="text1"/>
          <w:sz w:val="28"/>
          <w:szCs w:val="28"/>
        </w:rPr>
      </w:pPr>
      <w:r w:rsidRPr="00E7453E">
        <w:rPr>
          <w:rFonts w:asciiTheme="majorBidi" w:hAnsiTheme="majorBidi" w:cstheme="majorBidi"/>
          <w:b/>
          <w:bCs/>
          <w:color w:val="000000" w:themeColor="text1"/>
          <w:sz w:val="28"/>
          <w:szCs w:val="28"/>
        </w:rPr>
        <w:t>More than a third of smokers are young adults</w:t>
      </w:r>
    </w:p>
    <w:p w:rsidR="00173E6C" w:rsidRDefault="00861A1F" w:rsidP="00E7453E">
      <w:pPr>
        <w:shd w:val="clear" w:color="auto" w:fill="FFFFFF" w:themeFill="background1"/>
        <w:bidi w:val="0"/>
        <w:spacing w:after="0" w:line="240" w:lineRule="auto"/>
        <w:jc w:val="both"/>
        <w:rPr>
          <w:rFonts w:asciiTheme="majorBidi" w:hAnsiTheme="majorBidi" w:cstheme="majorBidi"/>
          <w:color w:val="000000" w:themeColor="text1"/>
          <w:sz w:val="26"/>
          <w:szCs w:val="26"/>
        </w:rPr>
      </w:pPr>
      <w:r w:rsidRPr="00E7453E">
        <w:rPr>
          <w:rFonts w:asciiTheme="majorBidi" w:hAnsiTheme="majorBidi" w:cstheme="majorBidi"/>
          <w:color w:val="000000" w:themeColor="text1"/>
          <w:sz w:val="26"/>
          <w:szCs w:val="26"/>
        </w:rPr>
        <w:t>Individuals in the age group 18-29 years constitute 40% of the total number of individuals currently smoking, with clear variations in the prevalence rates of smoking according to different age groups in the West Bank and Gaza Strip. The results indicated that smoking is more prevalent among young people in the age group 18-29 year</w:t>
      </w:r>
      <w:r w:rsidR="002F677A" w:rsidRPr="00E7453E">
        <w:rPr>
          <w:rFonts w:asciiTheme="majorBidi" w:hAnsiTheme="majorBidi" w:cstheme="majorBidi"/>
          <w:color w:val="000000" w:themeColor="text1"/>
          <w:sz w:val="26"/>
          <w:szCs w:val="26"/>
        </w:rPr>
        <w:t>s</w:t>
      </w:r>
      <w:r w:rsidRPr="00E7453E">
        <w:rPr>
          <w:rFonts w:asciiTheme="majorBidi" w:hAnsiTheme="majorBidi" w:cstheme="majorBidi"/>
          <w:color w:val="000000" w:themeColor="text1"/>
          <w:sz w:val="26"/>
          <w:szCs w:val="26"/>
        </w:rPr>
        <w:t xml:space="preserve"> in the West Bank by 43% of all individuals in this age group</w:t>
      </w:r>
      <w:r w:rsidR="002F677A" w:rsidRPr="00E7453E">
        <w:rPr>
          <w:rFonts w:asciiTheme="majorBidi" w:hAnsiTheme="majorBidi" w:cstheme="majorBidi"/>
          <w:color w:val="000000" w:themeColor="text1"/>
          <w:sz w:val="26"/>
          <w:szCs w:val="26"/>
        </w:rPr>
        <w:t xml:space="preserve">. Results also showed </w:t>
      </w:r>
      <w:r w:rsidRPr="00E7453E">
        <w:rPr>
          <w:rFonts w:asciiTheme="majorBidi" w:hAnsiTheme="majorBidi" w:cstheme="majorBidi"/>
          <w:color w:val="000000" w:themeColor="text1"/>
          <w:sz w:val="26"/>
          <w:szCs w:val="26"/>
        </w:rPr>
        <w:t xml:space="preserve">that smoking is more prevalent in Gaza Strip in the age group 40-49 years, reaching 23% of all individuals in the same age group. While smoking was less prevalent among the elderly (60 years and </w:t>
      </w:r>
      <w:r w:rsidR="00B74135" w:rsidRPr="00E7453E">
        <w:rPr>
          <w:rFonts w:asciiTheme="majorBidi" w:hAnsiTheme="majorBidi" w:cstheme="majorBidi"/>
          <w:color w:val="000000" w:themeColor="text1"/>
          <w:sz w:val="26"/>
          <w:szCs w:val="26"/>
        </w:rPr>
        <w:t>above</w:t>
      </w:r>
      <w:r w:rsidRPr="00E7453E">
        <w:rPr>
          <w:rFonts w:asciiTheme="majorBidi" w:hAnsiTheme="majorBidi" w:cstheme="majorBidi"/>
          <w:color w:val="000000" w:themeColor="text1"/>
          <w:sz w:val="26"/>
          <w:szCs w:val="26"/>
        </w:rPr>
        <w:t xml:space="preserve">), the percentages </w:t>
      </w:r>
      <w:r w:rsidR="00B74135" w:rsidRPr="00E7453E">
        <w:rPr>
          <w:rFonts w:asciiTheme="majorBidi" w:hAnsiTheme="majorBidi" w:cstheme="majorBidi"/>
          <w:color w:val="000000" w:themeColor="text1"/>
          <w:sz w:val="26"/>
          <w:szCs w:val="26"/>
        </w:rPr>
        <w:t xml:space="preserve">in </w:t>
      </w:r>
      <w:r w:rsidRPr="00E7453E">
        <w:rPr>
          <w:rFonts w:asciiTheme="majorBidi" w:hAnsiTheme="majorBidi" w:cstheme="majorBidi"/>
          <w:color w:val="000000" w:themeColor="text1"/>
          <w:sz w:val="26"/>
          <w:szCs w:val="26"/>
        </w:rPr>
        <w:t>the West Bank and Gaza Strip were about 26% and 12%, respectively.</w:t>
      </w:r>
    </w:p>
    <w:p w:rsidR="00E7453E" w:rsidRPr="00E7453E" w:rsidRDefault="00E7453E" w:rsidP="00E7453E">
      <w:pPr>
        <w:shd w:val="clear" w:color="auto" w:fill="FFFFFF" w:themeFill="background1"/>
        <w:bidi w:val="0"/>
        <w:spacing w:after="0" w:line="240" w:lineRule="auto"/>
        <w:jc w:val="both"/>
        <w:rPr>
          <w:rFonts w:asciiTheme="majorBidi" w:hAnsiTheme="majorBidi" w:cstheme="majorBidi"/>
          <w:color w:val="000000" w:themeColor="text1"/>
          <w:sz w:val="16"/>
          <w:szCs w:val="16"/>
        </w:rPr>
      </w:pPr>
    </w:p>
    <w:p w:rsidR="00861A1F" w:rsidRDefault="00861A1F" w:rsidP="00E7453E">
      <w:pPr>
        <w:spacing w:after="0" w:line="240" w:lineRule="auto"/>
        <w:jc w:val="center"/>
        <w:rPr>
          <w:rFonts w:asciiTheme="majorBidi" w:eastAsia="Times New Roman" w:hAnsiTheme="majorBidi" w:cstheme="majorBidi"/>
          <w:b/>
          <w:bCs/>
          <w:sz w:val="28"/>
          <w:szCs w:val="28"/>
          <w:lang w:eastAsia="ar-SA"/>
        </w:rPr>
      </w:pPr>
      <w:r w:rsidRPr="00E7453E">
        <w:rPr>
          <w:rFonts w:asciiTheme="majorBidi" w:eastAsia="Times New Roman" w:hAnsiTheme="majorBidi" w:cstheme="majorBidi"/>
          <w:b/>
          <w:bCs/>
          <w:sz w:val="28"/>
          <w:szCs w:val="28"/>
          <w:lang w:eastAsia="ar-SA"/>
        </w:rPr>
        <w:t xml:space="preserve">Percentage of smokers 18 years and </w:t>
      </w:r>
      <w:r w:rsidR="0096675B" w:rsidRPr="00E7453E">
        <w:rPr>
          <w:rFonts w:asciiTheme="majorBidi" w:eastAsia="Times New Roman" w:hAnsiTheme="majorBidi" w:cstheme="majorBidi"/>
          <w:b/>
          <w:bCs/>
          <w:sz w:val="28"/>
          <w:szCs w:val="28"/>
          <w:lang w:eastAsia="ar-SA"/>
        </w:rPr>
        <w:t xml:space="preserve">above </w:t>
      </w:r>
      <w:r w:rsidRPr="00E7453E">
        <w:rPr>
          <w:rFonts w:asciiTheme="majorBidi" w:eastAsia="Times New Roman" w:hAnsiTheme="majorBidi" w:cstheme="majorBidi"/>
          <w:b/>
          <w:bCs/>
          <w:sz w:val="28"/>
          <w:szCs w:val="28"/>
          <w:lang w:eastAsia="ar-SA"/>
        </w:rPr>
        <w:t>by region and age groups, 2021</w:t>
      </w:r>
    </w:p>
    <w:p w:rsidR="00E7453E" w:rsidRPr="00E7453E" w:rsidRDefault="00E7453E" w:rsidP="00E7453E">
      <w:pPr>
        <w:spacing w:after="0" w:line="240" w:lineRule="auto"/>
        <w:jc w:val="center"/>
        <w:rPr>
          <w:rFonts w:asciiTheme="majorBidi" w:eastAsia="Times New Roman" w:hAnsiTheme="majorBidi" w:cstheme="majorBidi"/>
          <w:b/>
          <w:bCs/>
          <w:sz w:val="10"/>
          <w:szCs w:val="10"/>
          <w:rtl/>
          <w:lang w:eastAsia="ar-SA"/>
        </w:rPr>
      </w:pPr>
    </w:p>
    <w:tbl>
      <w:tblPr>
        <w:tblStyle w:val="TableGrid"/>
        <w:bidiVisual/>
        <w:tblW w:w="0" w:type="auto"/>
        <w:jc w:val="center"/>
        <w:tblLook w:val="04A0" w:firstRow="1" w:lastRow="0" w:firstColumn="1" w:lastColumn="0" w:noHBand="0" w:noVBand="1"/>
      </w:tblPr>
      <w:tblGrid>
        <w:gridCol w:w="8281"/>
      </w:tblGrid>
      <w:tr w:rsidR="00861A1F" w:rsidRPr="00861A1F" w:rsidTr="00C66E17">
        <w:trPr>
          <w:trHeight w:val="2787"/>
          <w:jc w:val="center"/>
        </w:trPr>
        <w:tc>
          <w:tcPr>
            <w:tcW w:w="8281" w:type="dxa"/>
          </w:tcPr>
          <w:p w:rsidR="00AD2FC6" w:rsidRPr="00E7453E" w:rsidRDefault="00AD2FC6" w:rsidP="00E7453E">
            <w:pPr>
              <w:jc w:val="center"/>
              <w:rPr>
                <w:rFonts w:ascii="Simplified Arabic" w:hAnsi="Simplified Arabic" w:cs="Simplified Arabic"/>
                <w:sz w:val="16"/>
                <w:szCs w:val="16"/>
                <w:rtl/>
                <w:lang w:eastAsia="ar-SA"/>
              </w:rPr>
            </w:pPr>
          </w:p>
          <w:p w:rsidR="00861A1F" w:rsidRPr="00861A1F" w:rsidRDefault="00AD2FC6" w:rsidP="00E7453E">
            <w:pPr>
              <w:jc w:val="center"/>
              <w:rPr>
                <w:rFonts w:ascii="Simplified Arabic" w:hAnsi="Simplified Arabic" w:cs="Simplified Arabic"/>
                <w:sz w:val="24"/>
                <w:szCs w:val="24"/>
                <w:rtl/>
                <w:lang w:eastAsia="ar-SA"/>
              </w:rPr>
            </w:pPr>
            <w:r>
              <w:rPr>
                <w:rFonts w:ascii="Simplified Arabic" w:hAnsi="Simplified Arabic" w:cs="Simplified Arabic"/>
                <w:b/>
                <w:bCs/>
                <w:noProof/>
                <w:sz w:val="24"/>
                <w:szCs w:val="24"/>
                <w:rtl/>
              </w:rPr>
              <w:drawing>
                <wp:inline distT="0" distB="0" distL="0" distR="0" wp14:anchorId="42998E5B" wp14:editId="17F71E70">
                  <wp:extent cx="4895850" cy="14763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rsidR="00173E6C" w:rsidRPr="00E7453E" w:rsidRDefault="00173E6C" w:rsidP="00E7453E">
      <w:pPr>
        <w:shd w:val="clear" w:color="auto" w:fill="FFFFFF" w:themeFill="background1"/>
        <w:bidi w:val="0"/>
        <w:spacing w:after="0" w:line="240" w:lineRule="auto"/>
        <w:jc w:val="both"/>
        <w:rPr>
          <w:rFonts w:asciiTheme="majorBidi" w:hAnsiTheme="majorBidi" w:cstheme="majorBidi"/>
          <w:b/>
          <w:bCs/>
          <w:color w:val="000000" w:themeColor="text1"/>
          <w:sz w:val="16"/>
          <w:szCs w:val="16"/>
        </w:rPr>
      </w:pPr>
    </w:p>
    <w:p w:rsidR="00AD2FC6" w:rsidRPr="00E7453E" w:rsidRDefault="00AD2FC6" w:rsidP="00E7453E">
      <w:pPr>
        <w:shd w:val="clear" w:color="auto" w:fill="FFFFFF" w:themeFill="background1"/>
        <w:bidi w:val="0"/>
        <w:spacing w:after="0" w:line="240" w:lineRule="auto"/>
        <w:jc w:val="both"/>
        <w:rPr>
          <w:rFonts w:asciiTheme="majorBidi" w:hAnsiTheme="majorBidi" w:cstheme="majorBidi"/>
          <w:b/>
          <w:bCs/>
          <w:color w:val="000000" w:themeColor="text1"/>
          <w:sz w:val="28"/>
          <w:szCs w:val="28"/>
        </w:rPr>
      </w:pPr>
      <w:r w:rsidRPr="00E7453E">
        <w:rPr>
          <w:rFonts w:asciiTheme="majorBidi" w:hAnsiTheme="majorBidi" w:cstheme="majorBidi"/>
          <w:b/>
          <w:bCs/>
          <w:color w:val="000000" w:themeColor="text1"/>
          <w:sz w:val="28"/>
          <w:szCs w:val="28"/>
        </w:rPr>
        <w:t xml:space="preserve">Cigarettes are the most common type of tobacco among male smokers and </w:t>
      </w:r>
      <w:r w:rsidR="00B74135" w:rsidRPr="00E7453E">
        <w:rPr>
          <w:rFonts w:asciiTheme="majorBidi" w:hAnsiTheme="majorBidi" w:cstheme="majorBidi"/>
          <w:b/>
          <w:bCs/>
          <w:color w:val="000000" w:themeColor="text1"/>
          <w:sz w:val="28"/>
          <w:szCs w:val="28"/>
        </w:rPr>
        <w:t>water-pipes are</w:t>
      </w:r>
      <w:r w:rsidRPr="00E7453E">
        <w:rPr>
          <w:rFonts w:asciiTheme="majorBidi" w:hAnsiTheme="majorBidi" w:cstheme="majorBidi"/>
          <w:b/>
          <w:bCs/>
          <w:color w:val="000000" w:themeColor="text1"/>
          <w:sz w:val="28"/>
          <w:szCs w:val="28"/>
        </w:rPr>
        <w:t xml:space="preserve"> among females</w:t>
      </w:r>
    </w:p>
    <w:p w:rsidR="0067098E" w:rsidRPr="00E7453E" w:rsidRDefault="00AD2FC6" w:rsidP="00E7453E">
      <w:pPr>
        <w:shd w:val="clear" w:color="auto" w:fill="FFFFFF" w:themeFill="background1"/>
        <w:bidi w:val="0"/>
        <w:spacing w:after="0" w:line="240" w:lineRule="auto"/>
        <w:jc w:val="both"/>
        <w:rPr>
          <w:rFonts w:asciiTheme="majorBidi" w:hAnsiTheme="majorBidi" w:cstheme="majorBidi"/>
          <w:b/>
          <w:bCs/>
          <w:color w:val="000000" w:themeColor="text1"/>
          <w:sz w:val="26"/>
          <w:szCs w:val="26"/>
        </w:rPr>
      </w:pPr>
      <w:r w:rsidRPr="00E7453E">
        <w:rPr>
          <w:rFonts w:asciiTheme="majorBidi" w:hAnsiTheme="majorBidi" w:cstheme="majorBidi"/>
          <w:color w:val="000000" w:themeColor="text1"/>
          <w:sz w:val="26"/>
          <w:szCs w:val="26"/>
        </w:rPr>
        <w:t xml:space="preserve">74% of the total current smokers </w:t>
      </w:r>
      <w:r w:rsidR="00B74135" w:rsidRPr="00E7453E">
        <w:rPr>
          <w:rFonts w:asciiTheme="majorBidi" w:hAnsiTheme="majorBidi" w:cstheme="majorBidi"/>
          <w:color w:val="000000" w:themeColor="text1"/>
          <w:sz w:val="26"/>
          <w:szCs w:val="26"/>
        </w:rPr>
        <w:t xml:space="preserve">aged </w:t>
      </w:r>
      <w:r w:rsidRPr="00E7453E">
        <w:rPr>
          <w:rFonts w:asciiTheme="majorBidi" w:hAnsiTheme="majorBidi" w:cstheme="majorBidi"/>
          <w:color w:val="000000" w:themeColor="text1"/>
          <w:sz w:val="26"/>
          <w:szCs w:val="26"/>
        </w:rPr>
        <w:t xml:space="preserve">18 years and </w:t>
      </w:r>
      <w:r w:rsidR="00B74135" w:rsidRPr="00E7453E">
        <w:rPr>
          <w:rFonts w:asciiTheme="majorBidi" w:hAnsiTheme="majorBidi" w:cstheme="majorBidi"/>
          <w:color w:val="000000" w:themeColor="text1"/>
          <w:sz w:val="26"/>
          <w:szCs w:val="26"/>
        </w:rPr>
        <w:t xml:space="preserve">above only </w:t>
      </w:r>
      <w:r w:rsidRPr="00E7453E">
        <w:rPr>
          <w:rFonts w:asciiTheme="majorBidi" w:hAnsiTheme="majorBidi" w:cstheme="majorBidi"/>
          <w:color w:val="000000" w:themeColor="text1"/>
          <w:sz w:val="26"/>
          <w:szCs w:val="26"/>
        </w:rPr>
        <w:t xml:space="preserve">smoke cigarettes (manufactured or hand-rolled) without using other types of tobacco, while the percentage of </w:t>
      </w:r>
      <w:r w:rsidR="00D37E44" w:rsidRPr="00E7453E">
        <w:rPr>
          <w:rFonts w:asciiTheme="majorBidi" w:hAnsiTheme="majorBidi" w:cstheme="majorBidi"/>
          <w:color w:val="000000" w:themeColor="text1"/>
          <w:sz w:val="26"/>
          <w:szCs w:val="26"/>
        </w:rPr>
        <w:t xml:space="preserve">cigarettes </w:t>
      </w:r>
      <w:r w:rsidRPr="00E7453E">
        <w:rPr>
          <w:rFonts w:asciiTheme="majorBidi" w:hAnsiTheme="majorBidi" w:cstheme="majorBidi"/>
          <w:color w:val="000000" w:themeColor="text1"/>
          <w:sz w:val="26"/>
          <w:szCs w:val="26"/>
        </w:rPr>
        <w:t xml:space="preserve">smokers </w:t>
      </w:r>
      <w:r w:rsidR="00D37E44" w:rsidRPr="00E7453E">
        <w:rPr>
          <w:rFonts w:asciiTheme="majorBidi" w:hAnsiTheme="majorBidi" w:cstheme="majorBidi"/>
          <w:color w:val="000000" w:themeColor="text1"/>
          <w:sz w:val="26"/>
          <w:szCs w:val="26"/>
        </w:rPr>
        <w:t>beside</w:t>
      </w:r>
      <w:r w:rsidRPr="00E7453E">
        <w:rPr>
          <w:rFonts w:asciiTheme="majorBidi" w:hAnsiTheme="majorBidi" w:cstheme="majorBidi"/>
          <w:color w:val="000000" w:themeColor="text1"/>
          <w:sz w:val="26"/>
          <w:szCs w:val="26"/>
        </w:rPr>
        <w:t xml:space="preserve"> other tobacco products </w:t>
      </w:r>
      <w:r w:rsidR="00D37E44" w:rsidRPr="00E7453E">
        <w:rPr>
          <w:rFonts w:asciiTheme="majorBidi" w:hAnsiTheme="majorBidi" w:cstheme="majorBidi"/>
          <w:color w:val="000000" w:themeColor="text1"/>
          <w:sz w:val="26"/>
          <w:szCs w:val="26"/>
        </w:rPr>
        <w:t>reached</w:t>
      </w:r>
      <w:r w:rsidRPr="00E7453E">
        <w:rPr>
          <w:rFonts w:asciiTheme="majorBidi" w:hAnsiTheme="majorBidi" w:cstheme="majorBidi"/>
          <w:color w:val="000000" w:themeColor="text1"/>
          <w:sz w:val="26"/>
          <w:szCs w:val="26"/>
        </w:rPr>
        <w:t xml:space="preserve"> 79% of the total current smokers. Cigarette smoking is also prevalent at higher </w:t>
      </w:r>
      <w:r w:rsidR="005D0B76" w:rsidRPr="00E7453E">
        <w:rPr>
          <w:rFonts w:asciiTheme="majorBidi" w:hAnsiTheme="majorBidi" w:cstheme="majorBidi"/>
          <w:color w:val="000000" w:themeColor="text1"/>
          <w:sz w:val="26"/>
          <w:szCs w:val="26"/>
        </w:rPr>
        <w:t xml:space="preserve">percentages </w:t>
      </w:r>
      <w:r w:rsidRPr="00E7453E">
        <w:rPr>
          <w:rFonts w:asciiTheme="majorBidi" w:hAnsiTheme="majorBidi" w:cstheme="majorBidi"/>
          <w:color w:val="000000" w:themeColor="text1"/>
          <w:sz w:val="26"/>
          <w:szCs w:val="26"/>
        </w:rPr>
        <w:t xml:space="preserve">among males compared to females, as </w:t>
      </w:r>
      <w:r w:rsidR="005D0B76" w:rsidRPr="00E7453E">
        <w:rPr>
          <w:rFonts w:asciiTheme="majorBidi" w:hAnsiTheme="majorBidi" w:cstheme="majorBidi"/>
          <w:color w:val="000000" w:themeColor="text1"/>
          <w:sz w:val="26"/>
          <w:szCs w:val="26"/>
        </w:rPr>
        <w:t>it reached</w:t>
      </w:r>
      <w:r w:rsidRPr="00E7453E">
        <w:rPr>
          <w:rFonts w:asciiTheme="majorBidi" w:hAnsiTheme="majorBidi" w:cstheme="majorBidi"/>
          <w:color w:val="000000" w:themeColor="text1"/>
          <w:sz w:val="26"/>
          <w:szCs w:val="26"/>
        </w:rPr>
        <w:t xml:space="preserve"> 85% among male smokers compared to 32% among female smokers.</w:t>
      </w:r>
    </w:p>
    <w:p w:rsidR="00E31702" w:rsidRDefault="00E31702" w:rsidP="00E7453E">
      <w:pPr>
        <w:shd w:val="clear" w:color="auto" w:fill="FFFFFF" w:themeFill="background1"/>
        <w:bidi w:val="0"/>
        <w:spacing w:after="0" w:line="240" w:lineRule="auto"/>
        <w:jc w:val="both"/>
        <w:rPr>
          <w:rFonts w:asciiTheme="majorBidi" w:hAnsiTheme="majorBidi" w:cstheme="majorBidi"/>
          <w:b/>
          <w:bCs/>
          <w:color w:val="000000" w:themeColor="text1"/>
          <w:sz w:val="16"/>
          <w:szCs w:val="16"/>
        </w:rPr>
      </w:pPr>
    </w:p>
    <w:p w:rsidR="0067098E" w:rsidRPr="00E7453E" w:rsidRDefault="0067098E" w:rsidP="00E7453E">
      <w:pPr>
        <w:shd w:val="clear" w:color="auto" w:fill="FFFFFF" w:themeFill="background1"/>
        <w:bidi w:val="0"/>
        <w:spacing w:after="0" w:line="240" w:lineRule="auto"/>
        <w:jc w:val="center"/>
        <w:rPr>
          <w:rFonts w:asciiTheme="majorBidi" w:hAnsiTheme="majorBidi" w:cstheme="majorBidi"/>
          <w:b/>
          <w:bCs/>
          <w:color w:val="000000" w:themeColor="text1"/>
          <w:sz w:val="28"/>
          <w:szCs w:val="28"/>
        </w:rPr>
      </w:pPr>
      <w:r w:rsidRPr="00E7453E">
        <w:rPr>
          <w:rFonts w:asciiTheme="majorBidi" w:hAnsiTheme="majorBidi" w:cstheme="majorBidi"/>
          <w:b/>
          <w:bCs/>
          <w:color w:val="000000" w:themeColor="text1"/>
          <w:sz w:val="28"/>
          <w:szCs w:val="28"/>
        </w:rPr>
        <w:t xml:space="preserve">Percentage of individuals </w:t>
      </w:r>
      <w:r w:rsidR="005D0B76" w:rsidRPr="00E7453E">
        <w:rPr>
          <w:rFonts w:asciiTheme="majorBidi" w:hAnsiTheme="majorBidi" w:cstheme="majorBidi"/>
          <w:b/>
          <w:bCs/>
          <w:color w:val="000000" w:themeColor="text1"/>
          <w:sz w:val="28"/>
          <w:szCs w:val="28"/>
        </w:rPr>
        <w:t xml:space="preserve">aged </w:t>
      </w:r>
      <w:r w:rsidRPr="00E7453E">
        <w:rPr>
          <w:rFonts w:asciiTheme="majorBidi" w:hAnsiTheme="majorBidi" w:cstheme="majorBidi"/>
          <w:b/>
          <w:bCs/>
          <w:color w:val="000000" w:themeColor="text1"/>
          <w:sz w:val="28"/>
          <w:szCs w:val="28"/>
        </w:rPr>
        <w:t xml:space="preserve">18 years and </w:t>
      </w:r>
      <w:r w:rsidR="005D0B76" w:rsidRPr="00E7453E">
        <w:rPr>
          <w:rFonts w:asciiTheme="majorBidi" w:hAnsiTheme="majorBidi" w:cstheme="majorBidi"/>
          <w:b/>
          <w:bCs/>
          <w:color w:val="000000" w:themeColor="text1"/>
          <w:sz w:val="28"/>
          <w:szCs w:val="28"/>
        </w:rPr>
        <w:t xml:space="preserve">above </w:t>
      </w:r>
      <w:r w:rsidRPr="00E7453E">
        <w:rPr>
          <w:rFonts w:asciiTheme="majorBidi" w:hAnsiTheme="majorBidi" w:cstheme="majorBidi"/>
          <w:b/>
          <w:bCs/>
          <w:color w:val="000000" w:themeColor="text1"/>
          <w:sz w:val="28"/>
          <w:szCs w:val="28"/>
        </w:rPr>
        <w:t>who currently smoke by type of tobacco used, 2021</w:t>
      </w:r>
    </w:p>
    <w:tbl>
      <w:tblPr>
        <w:tblStyle w:val="TableGrid"/>
        <w:tblW w:w="0" w:type="auto"/>
        <w:jc w:val="center"/>
        <w:tblLook w:val="04A0" w:firstRow="1" w:lastRow="0" w:firstColumn="1" w:lastColumn="0" w:noHBand="0" w:noVBand="1"/>
      </w:tblPr>
      <w:tblGrid>
        <w:gridCol w:w="8526"/>
      </w:tblGrid>
      <w:tr w:rsidR="0067098E" w:rsidRPr="00173E6C" w:rsidTr="00C66E17">
        <w:trPr>
          <w:trHeight w:val="2449"/>
          <w:jc w:val="center"/>
        </w:trPr>
        <w:tc>
          <w:tcPr>
            <w:tcW w:w="8296" w:type="dxa"/>
          </w:tcPr>
          <w:p w:rsidR="0067098E" w:rsidRPr="00173E6C" w:rsidRDefault="0067098E" w:rsidP="00E7453E">
            <w:pPr>
              <w:shd w:val="clear" w:color="auto" w:fill="FFFFFF" w:themeFill="background1"/>
              <w:bidi w:val="0"/>
              <w:jc w:val="center"/>
              <w:rPr>
                <w:rFonts w:asciiTheme="majorBidi" w:hAnsiTheme="majorBidi" w:cstheme="majorBidi"/>
                <w:b/>
                <w:bCs/>
                <w:color w:val="000000" w:themeColor="text1"/>
                <w:sz w:val="24"/>
                <w:szCs w:val="24"/>
              </w:rPr>
            </w:pPr>
            <w:r w:rsidRPr="0067098E">
              <w:rPr>
                <w:rFonts w:ascii="Simplified Arabic" w:hAnsi="Simplified Arabic" w:cs="Simplified Arabic"/>
                <w:b/>
                <w:bCs/>
                <w:noProof/>
                <w:rtl/>
              </w:rPr>
              <w:drawing>
                <wp:inline distT="0" distB="0" distL="0" distR="0" wp14:anchorId="5D86A706" wp14:editId="11C28279">
                  <wp:extent cx="5274310" cy="1485900"/>
                  <wp:effectExtent l="0" t="0" r="254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67098E" w:rsidRPr="00D122BE" w:rsidRDefault="0067098E" w:rsidP="00E7453E">
      <w:pPr>
        <w:shd w:val="clear" w:color="auto" w:fill="FFFFFF" w:themeFill="background1"/>
        <w:bidi w:val="0"/>
        <w:spacing w:after="0" w:line="240" w:lineRule="auto"/>
        <w:rPr>
          <w:rFonts w:asciiTheme="majorBidi" w:hAnsiTheme="majorBidi" w:cstheme="majorBidi"/>
          <w:b/>
          <w:bCs/>
          <w:color w:val="000000" w:themeColor="text1"/>
          <w:sz w:val="20"/>
          <w:szCs w:val="20"/>
        </w:rPr>
      </w:pPr>
      <w:bookmarkStart w:id="0" w:name="_GoBack"/>
      <w:r w:rsidRPr="00D122BE">
        <w:rPr>
          <w:rFonts w:asciiTheme="majorBidi" w:hAnsiTheme="majorBidi" w:cstheme="majorBidi"/>
          <w:b/>
          <w:bCs/>
          <w:color w:val="000000" w:themeColor="text1"/>
          <w:sz w:val="20"/>
          <w:szCs w:val="20"/>
        </w:rPr>
        <w:t>*: Other types such as pipes and cigars.</w:t>
      </w:r>
    </w:p>
    <w:bookmarkEnd w:id="0"/>
    <w:p w:rsidR="00F572D5" w:rsidRPr="00E7453E" w:rsidRDefault="00F572D5" w:rsidP="00E7453E">
      <w:pPr>
        <w:shd w:val="clear" w:color="auto" w:fill="FFFFFF" w:themeFill="background1"/>
        <w:bidi w:val="0"/>
        <w:spacing w:after="0" w:line="240" w:lineRule="auto"/>
        <w:rPr>
          <w:rFonts w:asciiTheme="majorBidi" w:hAnsiTheme="majorBidi" w:cstheme="majorBidi"/>
          <w:color w:val="000000" w:themeColor="text1"/>
          <w:sz w:val="16"/>
          <w:szCs w:val="16"/>
        </w:rPr>
      </w:pPr>
    </w:p>
    <w:p w:rsidR="00F572D5" w:rsidRPr="00E7453E" w:rsidRDefault="00E73723" w:rsidP="00E7453E">
      <w:pPr>
        <w:shd w:val="clear" w:color="auto" w:fill="FFFFFF" w:themeFill="background1"/>
        <w:bidi w:val="0"/>
        <w:spacing w:after="0" w:line="240" w:lineRule="auto"/>
        <w:jc w:val="both"/>
        <w:rPr>
          <w:rFonts w:asciiTheme="majorBidi" w:hAnsiTheme="majorBidi" w:cstheme="majorBidi"/>
          <w:color w:val="000000" w:themeColor="text1"/>
          <w:sz w:val="26"/>
          <w:szCs w:val="26"/>
        </w:rPr>
      </w:pPr>
      <w:r w:rsidRPr="00E7453E">
        <w:rPr>
          <w:rFonts w:asciiTheme="majorBidi" w:hAnsiTheme="majorBidi" w:cstheme="majorBidi"/>
          <w:color w:val="000000" w:themeColor="text1"/>
          <w:sz w:val="26"/>
          <w:szCs w:val="26"/>
        </w:rPr>
        <w:lastRenderedPageBreak/>
        <w:t>Water</w:t>
      </w:r>
      <w:r w:rsidR="005D0B76" w:rsidRPr="00E7453E">
        <w:rPr>
          <w:rFonts w:asciiTheme="majorBidi" w:hAnsiTheme="majorBidi" w:cstheme="majorBidi"/>
          <w:color w:val="000000" w:themeColor="text1"/>
          <w:sz w:val="26"/>
          <w:szCs w:val="26"/>
        </w:rPr>
        <w:t>-</w:t>
      </w:r>
      <w:r w:rsidRPr="00E7453E">
        <w:rPr>
          <w:rFonts w:asciiTheme="majorBidi" w:hAnsiTheme="majorBidi" w:cstheme="majorBidi"/>
          <w:color w:val="000000" w:themeColor="text1"/>
          <w:sz w:val="26"/>
          <w:szCs w:val="26"/>
        </w:rPr>
        <w:t>pipe</w:t>
      </w:r>
      <w:r w:rsidR="005D0B76" w:rsidRPr="00E7453E">
        <w:rPr>
          <w:rFonts w:asciiTheme="majorBidi" w:hAnsiTheme="majorBidi" w:cstheme="majorBidi"/>
          <w:color w:val="000000" w:themeColor="text1"/>
          <w:sz w:val="26"/>
          <w:szCs w:val="26"/>
        </w:rPr>
        <w:t>s</w:t>
      </w:r>
      <w:r w:rsidRPr="00E7453E">
        <w:rPr>
          <w:rFonts w:asciiTheme="majorBidi" w:hAnsiTheme="majorBidi" w:cstheme="majorBidi"/>
          <w:color w:val="000000" w:themeColor="text1"/>
          <w:sz w:val="26"/>
          <w:szCs w:val="26"/>
        </w:rPr>
        <w:t xml:space="preserve"> </w:t>
      </w:r>
      <w:r w:rsidR="005D0B76" w:rsidRPr="00E7453E">
        <w:rPr>
          <w:rFonts w:asciiTheme="majorBidi" w:hAnsiTheme="majorBidi" w:cstheme="majorBidi"/>
          <w:color w:val="000000" w:themeColor="text1"/>
          <w:sz w:val="26"/>
          <w:szCs w:val="26"/>
        </w:rPr>
        <w:t xml:space="preserve">are </w:t>
      </w:r>
      <w:r w:rsidR="0067098E" w:rsidRPr="00E7453E">
        <w:rPr>
          <w:rFonts w:asciiTheme="majorBidi" w:hAnsiTheme="majorBidi" w:cstheme="majorBidi"/>
          <w:color w:val="000000" w:themeColor="text1"/>
          <w:sz w:val="26"/>
          <w:szCs w:val="26"/>
        </w:rPr>
        <w:t>also wide spread among smokers, as the percentage of water</w:t>
      </w:r>
      <w:r w:rsidR="007B72B7" w:rsidRPr="00E7453E">
        <w:rPr>
          <w:rFonts w:asciiTheme="majorBidi" w:hAnsiTheme="majorBidi" w:cstheme="majorBidi"/>
          <w:color w:val="000000" w:themeColor="text1"/>
          <w:sz w:val="26"/>
          <w:szCs w:val="26"/>
        </w:rPr>
        <w:t>-</w:t>
      </w:r>
      <w:r w:rsidR="0067098E" w:rsidRPr="00E7453E">
        <w:rPr>
          <w:rFonts w:asciiTheme="majorBidi" w:hAnsiTheme="majorBidi" w:cstheme="majorBidi"/>
          <w:color w:val="000000" w:themeColor="text1"/>
          <w:sz w:val="26"/>
          <w:szCs w:val="26"/>
        </w:rPr>
        <w:t xml:space="preserve">pipe smokers in addition to </w:t>
      </w:r>
      <w:r w:rsidR="006842C5" w:rsidRPr="00E7453E">
        <w:rPr>
          <w:rFonts w:asciiTheme="majorBidi" w:hAnsiTheme="majorBidi" w:cstheme="majorBidi"/>
          <w:color w:val="000000" w:themeColor="text1"/>
          <w:sz w:val="26"/>
          <w:szCs w:val="26"/>
        </w:rPr>
        <w:t>other</w:t>
      </w:r>
      <w:r w:rsidR="0067098E" w:rsidRPr="00E7453E">
        <w:rPr>
          <w:rFonts w:asciiTheme="majorBidi" w:hAnsiTheme="majorBidi" w:cstheme="majorBidi"/>
          <w:color w:val="000000" w:themeColor="text1"/>
          <w:sz w:val="26"/>
          <w:szCs w:val="26"/>
        </w:rPr>
        <w:t xml:space="preserve"> tobacco product reached about 25% of the total number of smokers, while the percentage of water</w:t>
      </w:r>
      <w:r w:rsidR="007B72B7" w:rsidRPr="00E7453E">
        <w:rPr>
          <w:rFonts w:asciiTheme="majorBidi" w:hAnsiTheme="majorBidi" w:cstheme="majorBidi"/>
          <w:color w:val="000000" w:themeColor="text1"/>
          <w:sz w:val="26"/>
          <w:szCs w:val="26"/>
        </w:rPr>
        <w:t>-</w:t>
      </w:r>
      <w:r w:rsidR="0067098E" w:rsidRPr="00E7453E">
        <w:rPr>
          <w:rFonts w:asciiTheme="majorBidi" w:hAnsiTheme="majorBidi" w:cstheme="majorBidi"/>
          <w:color w:val="000000" w:themeColor="text1"/>
          <w:sz w:val="26"/>
          <w:szCs w:val="26"/>
        </w:rPr>
        <w:t xml:space="preserve">pipe </w:t>
      </w:r>
      <w:r w:rsidR="00DC3D1A" w:rsidRPr="00E7453E">
        <w:rPr>
          <w:rFonts w:asciiTheme="majorBidi" w:hAnsiTheme="majorBidi" w:cstheme="majorBidi"/>
          <w:color w:val="000000" w:themeColor="text1"/>
          <w:sz w:val="26"/>
          <w:szCs w:val="26"/>
        </w:rPr>
        <w:t xml:space="preserve">only </w:t>
      </w:r>
      <w:r w:rsidR="0067098E" w:rsidRPr="00E7453E">
        <w:rPr>
          <w:rFonts w:asciiTheme="majorBidi" w:hAnsiTheme="majorBidi" w:cstheme="majorBidi"/>
          <w:color w:val="000000" w:themeColor="text1"/>
          <w:sz w:val="26"/>
          <w:szCs w:val="26"/>
        </w:rPr>
        <w:t xml:space="preserve">smoking </w:t>
      </w:r>
      <w:r w:rsidR="00323766" w:rsidRPr="00E7453E">
        <w:rPr>
          <w:rFonts w:asciiTheme="majorBidi" w:hAnsiTheme="majorBidi" w:cstheme="majorBidi"/>
          <w:color w:val="000000" w:themeColor="text1"/>
          <w:sz w:val="26"/>
          <w:szCs w:val="26"/>
        </w:rPr>
        <w:t xml:space="preserve">without the use of other types of tobacco </w:t>
      </w:r>
      <w:r w:rsidR="0067098E" w:rsidRPr="00E7453E">
        <w:rPr>
          <w:rFonts w:asciiTheme="majorBidi" w:hAnsiTheme="majorBidi" w:cstheme="majorBidi"/>
          <w:color w:val="000000" w:themeColor="text1"/>
          <w:sz w:val="26"/>
          <w:szCs w:val="26"/>
        </w:rPr>
        <w:t xml:space="preserve">reached </w:t>
      </w:r>
      <w:r w:rsidR="00323766" w:rsidRPr="00E7453E">
        <w:rPr>
          <w:rFonts w:asciiTheme="majorBidi" w:hAnsiTheme="majorBidi" w:cstheme="majorBidi"/>
          <w:color w:val="000000" w:themeColor="text1"/>
          <w:sz w:val="26"/>
          <w:szCs w:val="26"/>
        </w:rPr>
        <w:t xml:space="preserve">about </w:t>
      </w:r>
      <w:r w:rsidR="0067098E" w:rsidRPr="00E7453E">
        <w:rPr>
          <w:rFonts w:asciiTheme="majorBidi" w:hAnsiTheme="majorBidi" w:cstheme="majorBidi"/>
          <w:color w:val="000000" w:themeColor="text1"/>
          <w:sz w:val="26"/>
          <w:szCs w:val="26"/>
        </w:rPr>
        <w:t xml:space="preserve">21% of the total </w:t>
      </w:r>
      <w:r w:rsidRPr="00E7453E">
        <w:rPr>
          <w:rFonts w:asciiTheme="majorBidi" w:hAnsiTheme="majorBidi" w:cstheme="majorBidi"/>
          <w:color w:val="000000" w:themeColor="text1"/>
          <w:sz w:val="26"/>
          <w:szCs w:val="26"/>
        </w:rPr>
        <w:t xml:space="preserve">current </w:t>
      </w:r>
      <w:r w:rsidR="0067098E" w:rsidRPr="00E7453E">
        <w:rPr>
          <w:rFonts w:asciiTheme="majorBidi" w:hAnsiTheme="majorBidi" w:cstheme="majorBidi"/>
          <w:color w:val="000000" w:themeColor="text1"/>
          <w:sz w:val="26"/>
          <w:szCs w:val="26"/>
        </w:rPr>
        <w:t>smokers</w:t>
      </w:r>
      <w:r w:rsidRPr="00E7453E">
        <w:rPr>
          <w:rFonts w:asciiTheme="majorBidi" w:hAnsiTheme="majorBidi" w:cstheme="majorBidi"/>
          <w:color w:val="000000" w:themeColor="text1"/>
          <w:sz w:val="26"/>
          <w:szCs w:val="26"/>
        </w:rPr>
        <w:t>.</w:t>
      </w:r>
      <w:r w:rsidR="0067098E" w:rsidRPr="00E7453E">
        <w:rPr>
          <w:rFonts w:asciiTheme="majorBidi" w:hAnsiTheme="majorBidi" w:cstheme="majorBidi"/>
          <w:color w:val="000000" w:themeColor="text1"/>
          <w:sz w:val="26"/>
          <w:szCs w:val="26"/>
        </w:rPr>
        <w:t xml:space="preserve"> </w:t>
      </w:r>
      <w:r w:rsidRPr="00E7453E">
        <w:rPr>
          <w:rFonts w:asciiTheme="majorBidi" w:hAnsiTheme="majorBidi" w:cstheme="majorBidi"/>
          <w:color w:val="000000" w:themeColor="text1"/>
          <w:sz w:val="26"/>
          <w:szCs w:val="26"/>
        </w:rPr>
        <w:t>The</w:t>
      </w:r>
      <w:r w:rsidR="0067098E" w:rsidRPr="00E7453E">
        <w:rPr>
          <w:rFonts w:asciiTheme="majorBidi" w:hAnsiTheme="majorBidi" w:cstheme="majorBidi"/>
          <w:color w:val="000000" w:themeColor="text1"/>
          <w:sz w:val="26"/>
          <w:szCs w:val="26"/>
        </w:rPr>
        <w:t xml:space="preserve"> percentage reached about 67% </w:t>
      </w:r>
      <w:r w:rsidR="007B72B7" w:rsidRPr="00E7453E">
        <w:rPr>
          <w:rFonts w:asciiTheme="majorBidi" w:hAnsiTheme="majorBidi" w:cstheme="majorBidi"/>
          <w:color w:val="000000" w:themeColor="text1"/>
          <w:sz w:val="26"/>
          <w:szCs w:val="26"/>
        </w:rPr>
        <w:t xml:space="preserve">among females </w:t>
      </w:r>
      <w:r w:rsidR="0067098E" w:rsidRPr="00E7453E">
        <w:rPr>
          <w:rFonts w:asciiTheme="majorBidi" w:hAnsiTheme="majorBidi" w:cstheme="majorBidi"/>
          <w:color w:val="000000" w:themeColor="text1"/>
          <w:sz w:val="26"/>
          <w:szCs w:val="26"/>
        </w:rPr>
        <w:t xml:space="preserve">of the total female smokers, and 14% </w:t>
      </w:r>
      <w:r w:rsidR="007B72B7" w:rsidRPr="00E7453E">
        <w:rPr>
          <w:rFonts w:asciiTheme="majorBidi" w:hAnsiTheme="majorBidi" w:cstheme="majorBidi"/>
          <w:color w:val="000000" w:themeColor="text1"/>
          <w:sz w:val="26"/>
          <w:szCs w:val="26"/>
        </w:rPr>
        <w:t xml:space="preserve">among males </w:t>
      </w:r>
      <w:r w:rsidR="0067098E" w:rsidRPr="00E7453E">
        <w:rPr>
          <w:rFonts w:asciiTheme="majorBidi" w:hAnsiTheme="majorBidi" w:cstheme="majorBidi"/>
          <w:color w:val="000000" w:themeColor="text1"/>
          <w:sz w:val="26"/>
          <w:szCs w:val="26"/>
        </w:rPr>
        <w:t xml:space="preserve">of the total male smokers. </w:t>
      </w:r>
      <w:r w:rsidR="00F572D5" w:rsidRPr="00E7453E">
        <w:rPr>
          <w:rFonts w:asciiTheme="majorBidi" w:hAnsiTheme="majorBidi" w:cstheme="majorBidi"/>
          <w:color w:val="000000" w:themeColor="text1"/>
          <w:sz w:val="26"/>
          <w:szCs w:val="26"/>
        </w:rPr>
        <w:t>According to</w:t>
      </w:r>
      <w:r w:rsidR="0067098E" w:rsidRPr="00E7453E">
        <w:rPr>
          <w:rFonts w:asciiTheme="majorBidi" w:hAnsiTheme="majorBidi" w:cstheme="majorBidi"/>
          <w:color w:val="000000" w:themeColor="text1"/>
          <w:sz w:val="26"/>
          <w:szCs w:val="26"/>
        </w:rPr>
        <w:t xml:space="preserve"> age, the youth </w:t>
      </w:r>
      <w:r w:rsidR="00530C42" w:rsidRPr="00E7453E">
        <w:rPr>
          <w:rFonts w:asciiTheme="majorBidi" w:hAnsiTheme="majorBidi" w:cstheme="majorBidi"/>
          <w:color w:val="000000" w:themeColor="text1"/>
          <w:sz w:val="26"/>
          <w:szCs w:val="26"/>
        </w:rPr>
        <w:t xml:space="preserve">aged </w:t>
      </w:r>
      <w:r w:rsidR="0067098E" w:rsidRPr="00E7453E">
        <w:rPr>
          <w:rFonts w:asciiTheme="majorBidi" w:hAnsiTheme="majorBidi" w:cstheme="majorBidi"/>
          <w:color w:val="000000" w:themeColor="text1"/>
          <w:sz w:val="26"/>
          <w:szCs w:val="26"/>
        </w:rPr>
        <w:t xml:space="preserve">(18-29 years) </w:t>
      </w:r>
      <w:r w:rsidR="00BC5532" w:rsidRPr="00E7453E">
        <w:rPr>
          <w:rFonts w:asciiTheme="majorBidi" w:hAnsiTheme="majorBidi" w:cstheme="majorBidi"/>
          <w:color w:val="000000" w:themeColor="text1"/>
          <w:sz w:val="26"/>
          <w:szCs w:val="26"/>
        </w:rPr>
        <w:t xml:space="preserve">were </w:t>
      </w:r>
      <w:r w:rsidR="0067098E" w:rsidRPr="00E7453E">
        <w:rPr>
          <w:rFonts w:asciiTheme="majorBidi" w:hAnsiTheme="majorBidi" w:cstheme="majorBidi"/>
          <w:color w:val="000000" w:themeColor="text1"/>
          <w:sz w:val="26"/>
          <w:szCs w:val="26"/>
        </w:rPr>
        <w:t>the most likely to use water</w:t>
      </w:r>
      <w:r w:rsidR="00530C42" w:rsidRPr="00E7453E">
        <w:rPr>
          <w:rFonts w:asciiTheme="majorBidi" w:hAnsiTheme="majorBidi" w:cstheme="majorBidi"/>
          <w:color w:val="000000" w:themeColor="text1"/>
          <w:sz w:val="26"/>
          <w:szCs w:val="26"/>
        </w:rPr>
        <w:t>-</w:t>
      </w:r>
      <w:r w:rsidR="0067098E" w:rsidRPr="00E7453E">
        <w:rPr>
          <w:rFonts w:asciiTheme="majorBidi" w:hAnsiTheme="majorBidi" w:cstheme="majorBidi"/>
          <w:color w:val="000000" w:themeColor="text1"/>
          <w:sz w:val="26"/>
          <w:szCs w:val="26"/>
        </w:rPr>
        <w:t xml:space="preserve">pipe, </w:t>
      </w:r>
      <w:r w:rsidR="00530C42" w:rsidRPr="00E7453E">
        <w:rPr>
          <w:rFonts w:asciiTheme="majorBidi" w:hAnsiTheme="majorBidi" w:cstheme="majorBidi"/>
          <w:color w:val="000000" w:themeColor="text1"/>
          <w:sz w:val="26"/>
          <w:szCs w:val="26"/>
        </w:rPr>
        <w:t>with a percentage of</w:t>
      </w:r>
      <w:r w:rsidR="0067098E" w:rsidRPr="00E7453E">
        <w:rPr>
          <w:rFonts w:asciiTheme="majorBidi" w:hAnsiTheme="majorBidi" w:cstheme="majorBidi"/>
          <w:color w:val="000000" w:themeColor="text1"/>
          <w:sz w:val="26"/>
          <w:szCs w:val="26"/>
        </w:rPr>
        <w:t xml:space="preserve"> 49% of all water</w:t>
      </w:r>
      <w:r w:rsidR="00530C42" w:rsidRPr="00E7453E">
        <w:rPr>
          <w:rFonts w:asciiTheme="majorBidi" w:hAnsiTheme="majorBidi" w:cstheme="majorBidi"/>
          <w:color w:val="000000" w:themeColor="text1"/>
          <w:sz w:val="26"/>
          <w:szCs w:val="26"/>
        </w:rPr>
        <w:t>-</w:t>
      </w:r>
      <w:r w:rsidR="0067098E" w:rsidRPr="00E7453E">
        <w:rPr>
          <w:rFonts w:asciiTheme="majorBidi" w:hAnsiTheme="majorBidi" w:cstheme="majorBidi"/>
          <w:color w:val="000000" w:themeColor="text1"/>
          <w:sz w:val="26"/>
          <w:szCs w:val="26"/>
        </w:rPr>
        <w:t xml:space="preserve">pipe </w:t>
      </w:r>
      <w:r w:rsidR="00530C42" w:rsidRPr="00E7453E">
        <w:rPr>
          <w:rFonts w:asciiTheme="majorBidi" w:hAnsiTheme="majorBidi" w:cstheme="majorBidi"/>
          <w:color w:val="000000" w:themeColor="text1"/>
          <w:sz w:val="26"/>
          <w:szCs w:val="26"/>
        </w:rPr>
        <w:t xml:space="preserve">only </w:t>
      </w:r>
      <w:r w:rsidR="0067098E" w:rsidRPr="00E7453E">
        <w:rPr>
          <w:rFonts w:asciiTheme="majorBidi" w:hAnsiTheme="majorBidi" w:cstheme="majorBidi"/>
          <w:color w:val="000000" w:themeColor="text1"/>
          <w:sz w:val="26"/>
          <w:szCs w:val="26"/>
        </w:rPr>
        <w:t>smokers.</w:t>
      </w:r>
    </w:p>
    <w:p w:rsidR="00F572D5" w:rsidRPr="00E7453E" w:rsidRDefault="00F572D5" w:rsidP="00E7453E">
      <w:pPr>
        <w:shd w:val="clear" w:color="auto" w:fill="FFFFFF" w:themeFill="background1"/>
        <w:bidi w:val="0"/>
        <w:spacing w:after="0" w:line="240" w:lineRule="auto"/>
        <w:jc w:val="both"/>
        <w:rPr>
          <w:rFonts w:asciiTheme="majorBidi" w:hAnsiTheme="majorBidi" w:cstheme="majorBidi"/>
          <w:color w:val="000000" w:themeColor="text1"/>
          <w:sz w:val="16"/>
          <w:szCs w:val="16"/>
        </w:rPr>
      </w:pPr>
    </w:p>
    <w:p w:rsidR="00F572D5" w:rsidRPr="00E7453E" w:rsidRDefault="00F572D5" w:rsidP="00E7453E">
      <w:pPr>
        <w:tabs>
          <w:tab w:val="num" w:pos="1215"/>
        </w:tabs>
        <w:spacing w:after="0" w:line="240" w:lineRule="auto"/>
        <w:jc w:val="center"/>
        <w:rPr>
          <w:rFonts w:asciiTheme="majorBidi" w:hAnsiTheme="majorBidi" w:cstheme="majorBidi"/>
          <w:b/>
          <w:bCs/>
          <w:sz w:val="28"/>
          <w:szCs w:val="28"/>
        </w:rPr>
      </w:pPr>
      <w:r w:rsidRPr="00E7453E">
        <w:rPr>
          <w:rFonts w:asciiTheme="majorBidi" w:hAnsiTheme="majorBidi" w:cstheme="majorBidi"/>
          <w:b/>
          <w:bCs/>
          <w:sz w:val="28"/>
          <w:szCs w:val="28"/>
        </w:rPr>
        <w:t xml:space="preserve">Percentage distribution of individuals </w:t>
      </w:r>
      <w:r w:rsidR="00530C42" w:rsidRPr="00E7453E">
        <w:rPr>
          <w:rFonts w:asciiTheme="majorBidi" w:hAnsiTheme="majorBidi" w:cstheme="majorBidi"/>
          <w:b/>
          <w:bCs/>
          <w:sz w:val="28"/>
          <w:szCs w:val="28"/>
        </w:rPr>
        <w:t xml:space="preserve">aged </w:t>
      </w:r>
      <w:r w:rsidRPr="00E7453E">
        <w:rPr>
          <w:rFonts w:asciiTheme="majorBidi" w:hAnsiTheme="majorBidi" w:cstheme="majorBidi"/>
          <w:b/>
          <w:bCs/>
          <w:sz w:val="28"/>
          <w:szCs w:val="28"/>
        </w:rPr>
        <w:t xml:space="preserve">18 years and </w:t>
      </w:r>
      <w:r w:rsidR="00530C42" w:rsidRPr="00E7453E">
        <w:rPr>
          <w:rFonts w:asciiTheme="majorBidi" w:hAnsiTheme="majorBidi" w:cstheme="majorBidi"/>
          <w:b/>
          <w:bCs/>
          <w:sz w:val="28"/>
          <w:szCs w:val="28"/>
        </w:rPr>
        <w:t xml:space="preserve">above </w:t>
      </w:r>
      <w:r w:rsidRPr="00E7453E">
        <w:rPr>
          <w:rFonts w:asciiTheme="majorBidi" w:hAnsiTheme="majorBidi" w:cstheme="majorBidi"/>
          <w:b/>
          <w:bCs/>
          <w:sz w:val="28"/>
          <w:szCs w:val="28"/>
        </w:rPr>
        <w:t xml:space="preserve">who </w:t>
      </w:r>
      <w:r w:rsidR="00530C42" w:rsidRPr="00E7453E">
        <w:rPr>
          <w:rFonts w:asciiTheme="majorBidi" w:hAnsiTheme="majorBidi" w:cstheme="majorBidi"/>
          <w:b/>
          <w:bCs/>
          <w:sz w:val="28"/>
          <w:szCs w:val="28"/>
        </w:rPr>
        <w:t xml:space="preserve">only </w:t>
      </w:r>
      <w:r w:rsidRPr="00E7453E">
        <w:rPr>
          <w:rFonts w:asciiTheme="majorBidi" w:hAnsiTheme="majorBidi" w:cstheme="majorBidi"/>
          <w:b/>
          <w:bCs/>
          <w:sz w:val="28"/>
          <w:szCs w:val="28"/>
        </w:rPr>
        <w:t xml:space="preserve">smoke </w:t>
      </w:r>
      <w:r w:rsidR="00D37E44" w:rsidRPr="00E7453E">
        <w:rPr>
          <w:rFonts w:asciiTheme="majorBidi" w:hAnsiTheme="majorBidi" w:cstheme="majorBidi"/>
          <w:b/>
          <w:bCs/>
          <w:sz w:val="28"/>
          <w:szCs w:val="28"/>
        </w:rPr>
        <w:t>w</w:t>
      </w:r>
      <w:r w:rsidRPr="00E7453E">
        <w:rPr>
          <w:rFonts w:asciiTheme="majorBidi" w:hAnsiTheme="majorBidi" w:cstheme="majorBidi"/>
          <w:b/>
          <w:bCs/>
          <w:sz w:val="28"/>
          <w:szCs w:val="28"/>
        </w:rPr>
        <w:t>ater</w:t>
      </w:r>
      <w:r w:rsidR="00530C42" w:rsidRPr="00E7453E">
        <w:rPr>
          <w:rFonts w:asciiTheme="majorBidi" w:hAnsiTheme="majorBidi" w:cstheme="majorBidi"/>
          <w:b/>
          <w:bCs/>
          <w:sz w:val="28"/>
          <w:szCs w:val="28"/>
        </w:rPr>
        <w:t>-</w:t>
      </w:r>
      <w:r w:rsidRPr="00E7453E">
        <w:rPr>
          <w:rFonts w:asciiTheme="majorBidi" w:hAnsiTheme="majorBidi" w:cstheme="majorBidi"/>
          <w:b/>
          <w:bCs/>
          <w:sz w:val="28"/>
          <w:szCs w:val="28"/>
        </w:rPr>
        <w:t>pipe, by age groups, 2021</w:t>
      </w:r>
    </w:p>
    <w:p w:rsidR="00F572D5" w:rsidRPr="00F572D5" w:rsidRDefault="00F572D5" w:rsidP="00E7453E">
      <w:pPr>
        <w:tabs>
          <w:tab w:val="num" w:pos="1215"/>
        </w:tabs>
        <w:spacing w:after="0" w:line="240" w:lineRule="auto"/>
        <w:jc w:val="center"/>
        <w:rPr>
          <w:rFonts w:ascii="Simplified Arabic" w:hAnsi="Simplified Arabic" w:cs="Simplified Arabic"/>
          <w:sz w:val="10"/>
          <w:szCs w:val="10"/>
          <w:rtl/>
        </w:rPr>
      </w:pPr>
    </w:p>
    <w:tbl>
      <w:tblPr>
        <w:tblStyle w:val="TableGrid"/>
        <w:bidiVisual/>
        <w:tblW w:w="0" w:type="auto"/>
        <w:jc w:val="center"/>
        <w:tblLook w:val="04A0" w:firstRow="1" w:lastRow="0" w:firstColumn="1" w:lastColumn="0" w:noHBand="0" w:noVBand="1"/>
      </w:tblPr>
      <w:tblGrid>
        <w:gridCol w:w="7941"/>
      </w:tblGrid>
      <w:tr w:rsidR="00F572D5" w:rsidTr="00207C5B">
        <w:trPr>
          <w:trHeight w:val="2213"/>
          <w:jc w:val="center"/>
        </w:trPr>
        <w:tc>
          <w:tcPr>
            <w:tcW w:w="7941" w:type="dxa"/>
          </w:tcPr>
          <w:p w:rsidR="00F572D5" w:rsidRDefault="00F572D5" w:rsidP="00E7453E">
            <w:pPr>
              <w:tabs>
                <w:tab w:val="num" w:pos="1215"/>
              </w:tabs>
              <w:jc w:val="both"/>
              <w:rPr>
                <w:rFonts w:ascii="Simplified Arabic" w:hAnsi="Simplified Arabic" w:cs="Simplified Arabic"/>
                <w:rtl/>
              </w:rPr>
            </w:pPr>
            <w:r>
              <w:rPr>
                <w:rFonts w:ascii="Simplified Arabic" w:hAnsi="Simplified Arabic" w:cs="Simplified Arabic" w:hint="cs"/>
                <w:noProof/>
                <w:rtl/>
              </w:rPr>
              <w:drawing>
                <wp:inline distT="0" distB="0" distL="0" distR="0" wp14:anchorId="6105BB7C" wp14:editId="33F673C4">
                  <wp:extent cx="4895850" cy="1600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572D5" w:rsidRPr="00D43F9C" w:rsidRDefault="00F572D5" w:rsidP="00E7453E">
            <w:pPr>
              <w:tabs>
                <w:tab w:val="num" w:pos="1215"/>
              </w:tabs>
              <w:jc w:val="both"/>
              <w:rPr>
                <w:rFonts w:ascii="Simplified Arabic" w:hAnsi="Simplified Arabic" w:cs="Simplified Arabic"/>
                <w:sz w:val="10"/>
                <w:szCs w:val="10"/>
                <w:rtl/>
              </w:rPr>
            </w:pPr>
          </w:p>
        </w:tc>
      </w:tr>
    </w:tbl>
    <w:p w:rsidR="00F572D5" w:rsidRPr="00C66E17" w:rsidRDefault="00F572D5" w:rsidP="00E7453E">
      <w:pPr>
        <w:tabs>
          <w:tab w:val="num" w:pos="1215"/>
        </w:tabs>
        <w:bidi w:val="0"/>
        <w:spacing w:after="0" w:line="240" w:lineRule="auto"/>
        <w:rPr>
          <w:rFonts w:ascii="Simplified Arabic" w:hAnsi="Simplified Arabic" w:cs="Simplified Arabic"/>
          <w:b/>
          <w:bCs/>
          <w:sz w:val="16"/>
          <w:szCs w:val="16"/>
        </w:rPr>
      </w:pPr>
      <w:r w:rsidRPr="00C66E17">
        <w:rPr>
          <w:rFonts w:ascii="Simplified Arabic" w:hAnsi="Simplified Arabic" w:cs="Simplified Arabic" w:hint="cs"/>
          <w:b/>
          <w:bCs/>
          <w:sz w:val="16"/>
          <w:szCs w:val="16"/>
          <w:rtl/>
        </w:rPr>
        <w:t xml:space="preserve"> </w:t>
      </w:r>
    </w:p>
    <w:p w:rsidR="00F572D5" w:rsidRPr="00E7453E" w:rsidRDefault="00F572D5" w:rsidP="00E7453E">
      <w:pPr>
        <w:bidi w:val="0"/>
        <w:spacing w:after="0" w:line="240" w:lineRule="auto"/>
        <w:rPr>
          <w:rFonts w:asciiTheme="majorBidi" w:hAnsiTheme="majorBidi" w:cstheme="majorBidi"/>
          <w:b/>
          <w:bCs/>
          <w:sz w:val="28"/>
          <w:szCs w:val="28"/>
        </w:rPr>
      </w:pPr>
      <w:r w:rsidRPr="00E7453E">
        <w:rPr>
          <w:rFonts w:asciiTheme="majorBidi" w:hAnsiTheme="majorBidi" w:cstheme="majorBidi"/>
          <w:b/>
          <w:bCs/>
          <w:sz w:val="28"/>
          <w:szCs w:val="28"/>
        </w:rPr>
        <w:t>Electronic Cigarettes</w:t>
      </w:r>
    </w:p>
    <w:p w:rsidR="00F572D5" w:rsidRPr="00E7453E" w:rsidRDefault="00F572D5" w:rsidP="00E7453E">
      <w:pPr>
        <w:bidi w:val="0"/>
        <w:spacing w:after="0" w:line="240" w:lineRule="auto"/>
        <w:rPr>
          <w:rFonts w:asciiTheme="majorBidi" w:hAnsiTheme="majorBidi" w:cstheme="majorBidi"/>
          <w:sz w:val="26"/>
          <w:szCs w:val="26"/>
        </w:rPr>
      </w:pPr>
      <w:r w:rsidRPr="00E7453E">
        <w:rPr>
          <w:rFonts w:asciiTheme="majorBidi" w:hAnsiTheme="majorBidi" w:cstheme="majorBidi"/>
          <w:sz w:val="26"/>
          <w:szCs w:val="26"/>
        </w:rPr>
        <w:t xml:space="preserve">About 3% of all individuals </w:t>
      </w:r>
      <w:r w:rsidR="003F7DBB" w:rsidRPr="00E7453E">
        <w:rPr>
          <w:rFonts w:asciiTheme="majorBidi" w:hAnsiTheme="majorBidi" w:cstheme="majorBidi"/>
          <w:sz w:val="26"/>
          <w:szCs w:val="26"/>
        </w:rPr>
        <w:t xml:space="preserve">aged </w:t>
      </w:r>
      <w:r w:rsidRPr="00E7453E">
        <w:rPr>
          <w:rFonts w:asciiTheme="majorBidi" w:hAnsiTheme="majorBidi" w:cstheme="majorBidi"/>
          <w:sz w:val="26"/>
          <w:szCs w:val="26"/>
        </w:rPr>
        <w:t xml:space="preserve">18 years and </w:t>
      </w:r>
      <w:r w:rsidR="003F7DBB" w:rsidRPr="00E7453E">
        <w:rPr>
          <w:rFonts w:asciiTheme="majorBidi" w:hAnsiTheme="majorBidi" w:cstheme="majorBidi"/>
          <w:sz w:val="26"/>
          <w:szCs w:val="26"/>
        </w:rPr>
        <w:t xml:space="preserve">above </w:t>
      </w:r>
      <w:r w:rsidRPr="00E7453E">
        <w:rPr>
          <w:rFonts w:asciiTheme="majorBidi" w:hAnsiTheme="majorBidi" w:cstheme="majorBidi"/>
          <w:sz w:val="26"/>
          <w:szCs w:val="26"/>
        </w:rPr>
        <w:t>use electronic cigarettes; 4% in the West Bank compared to 1% in Gaza Strip</w:t>
      </w:r>
      <w:r w:rsidRPr="00E7453E">
        <w:rPr>
          <w:rFonts w:asciiTheme="majorBidi" w:hAnsiTheme="majorBidi" w:cstheme="majorBidi"/>
          <w:sz w:val="26"/>
          <w:szCs w:val="26"/>
          <w:rtl/>
        </w:rPr>
        <w:t>.</w:t>
      </w:r>
    </w:p>
    <w:p w:rsidR="000B4E74" w:rsidRPr="00E7453E" w:rsidRDefault="000B4E74" w:rsidP="00E7453E">
      <w:pPr>
        <w:bidi w:val="0"/>
        <w:spacing w:after="0" w:line="240" w:lineRule="auto"/>
        <w:rPr>
          <w:rFonts w:asciiTheme="majorBidi" w:hAnsiTheme="majorBidi" w:cstheme="majorBidi"/>
          <w:sz w:val="16"/>
          <w:szCs w:val="16"/>
        </w:rPr>
      </w:pPr>
    </w:p>
    <w:p w:rsidR="00F572D5" w:rsidRPr="00E7453E" w:rsidRDefault="00F572D5" w:rsidP="00E7453E">
      <w:pPr>
        <w:bidi w:val="0"/>
        <w:spacing w:after="0" w:line="240" w:lineRule="auto"/>
        <w:rPr>
          <w:rFonts w:asciiTheme="majorBidi" w:hAnsiTheme="majorBidi" w:cstheme="majorBidi"/>
          <w:b/>
          <w:bCs/>
          <w:sz w:val="28"/>
          <w:szCs w:val="28"/>
        </w:rPr>
      </w:pPr>
      <w:r w:rsidRPr="00E7453E">
        <w:rPr>
          <w:rFonts w:asciiTheme="majorBidi" w:hAnsiTheme="majorBidi" w:cstheme="majorBidi"/>
          <w:b/>
          <w:bCs/>
          <w:sz w:val="28"/>
          <w:szCs w:val="28"/>
        </w:rPr>
        <w:t>Two out of 10 current smokers have tried to quit</w:t>
      </w:r>
    </w:p>
    <w:p w:rsidR="00F572D5" w:rsidRPr="00E7453E" w:rsidRDefault="00F572D5" w:rsidP="00E7453E">
      <w:pPr>
        <w:bidi w:val="0"/>
        <w:spacing w:after="0" w:line="240" w:lineRule="auto"/>
        <w:jc w:val="both"/>
        <w:rPr>
          <w:rFonts w:asciiTheme="majorBidi" w:hAnsiTheme="majorBidi" w:cstheme="majorBidi"/>
          <w:sz w:val="26"/>
          <w:szCs w:val="26"/>
        </w:rPr>
      </w:pPr>
      <w:r w:rsidRPr="00E7453E">
        <w:rPr>
          <w:rFonts w:asciiTheme="majorBidi" w:hAnsiTheme="majorBidi" w:cstheme="majorBidi"/>
          <w:sz w:val="26"/>
          <w:szCs w:val="26"/>
        </w:rPr>
        <w:t>About 5% of individuals</w:t>
      </w:r>
      <w:r w:rsidR="003F7DBB" w:rsidRPr="00E7453E">
        <w:rPr>
          <w:rFonts w:asciiTheme="majorBidi" w:hAnsiTheme="majorBidi" w:cstheme="majorBidi"/>
          <w:sz w:val="26"/>
          <w:szCs w:val="26"/>
        </w:rPr>
        <w:t xml:space="preserve"> aged</w:t>
      </w:r>
      <w:r w:rsidRPr="00E7453E">
        <w:rPr>
          <w:rFonts w:asciiTheme="majorBidi" w:hAnsiTheme="majorBidi" w:cstheme="majorBidi"/>
          <w:sz w:val="26"/>
          <w:szCs w:val="26"/>
        </w:rPr>
        <w:t xml:space="preserve"> 18 years and </w:t>
      </w:r>
      <w:r w:rsidR="003F7DBB" w:rsidRPr="00E7453E">
        <w:rPr>
          <w:rFonts w:asciiTheme="majorBidi" w:hAnsiTheme="majorBidi" w:cstheme="majorBidi"/>
          <w:sz w:val="26"/>
          <w:szCs w:val="26"/>
        </w:rPr>
        <w:t xml:space="preserve">above </w:t>
      </w:r>
      <w:r w:rsidRPr="00E7453E">
        <w:rPr>
          <w:rFonts w:asciiTheme="majorBidi" w:hAnsiTheme="majorBidi" w:cstheme="majorBidi"/>
          <w:sz w:val="26"/>
          <w:szCs w:val="26"/>
        </w:rPr>
        <w:t xml:space="preserve">reported that they are former smokers and have now </w:t>
      </w:r>
      <w:r w:rsidR="003F7DBB" w:rsidRPr="00E7453E">
        <w:rPr>
          <w:rFonts w:asciiTheme="majorBidi" w:hAnsiTheme="majorBidi" w:cstheme="majorBidi"/>
          <w:sz w:val="26"/>
          <w:szCs w:val="26"/>
        </w:rPr>
        <w:t xml:space="preserve">completely </w:t>
      </w:r>
      <w:r w:rsidRPr="00E7453E">
        <w:rPr>
          <w:rFonts w:asciiTheme="majorBidi" w:hAnsiTheme="majorBidi" w:cstheme="majorBidi"/>
          <w:sz w:val="26"/>
          <w:szCs w:val="26"/>
        </w:rPr>
        <w:t xml:space="preserve">quit smoking. The average age </w:t>
      </w:r>
      <w:r w:rsidR="00417A6B" w:rsidRPr="00E7453E">
        <w:rPr>
          <w:rFonts w:asciiTheme="majorBidi" w:hAnsiTheme="majorBidi" w:cstheme="majorBidi"/>
          <w:sz w:val="26"/>
          <w:szCs w:val="26"/>
        </w:rPr>
        <w:t xml:space="preserve">when </w:t>
      </w:r>
      <w:r w:rsidRPr="00E7453E">
        <w:rPr>
          <w:rFonts w:asciiTheme="majorBidi" w:hAnsiTheme="majorBidi" w:cstheme="majorBidi"/>
          <w:sz w:val="26"/>
          <w:szCs w:val="26"/>
        </w:rPr>
        <w:t>quitting smoking was 36 years</w:t>
      </w:r>
      <w:r w:rsidR="00417A6B" w:rsidRPr="00E7453E">
        <w:rPr>
          <w:rFonts w:asciiTheme="majorBidi" w:hAnsiTheme="majorBidi" w:cstheme="majorBidi"/>
          <w:sz w:val="26"/>
          <w:szCs w:val="26"/>
        </w:rPr>
        <w:t xml:space="preserve"> old</w:t>
      </w:r>
      <w:r w:rsidRPr="00E7453E">
        <w:rPr>
          <w:rFonts w:asciiTheme="majorBidi" w:hAnsiTheme="majorBidi" w:cstheme="majorBidi"/>
          <w:sz w:val="26"/>
          <w:szCs w:val="26"/>
        </w:rPr>
        <w:t xml:space="preserve">. While 21% of current smokers reported </w:t>
      </w:r>
      <w:r w:rsidR="00970922" w:rsidRPr="00E7453E">
        <w:rPr>
          <w:rFonts w:asciiTheme="majorBidi" w:hAnsiTheme="majorBidi" w:cstheme="majorBidi"/>
          <w:sz w:val="26"/>
          <w:szCs w:val="26"/>
        </w:rPr>
        <w:t>that,</w:t>
      </w:r>
      <w:r w:rsidRPr="00E7453E">
        <w:rPr>
          <w:rFonts w:asciiTheme="majorBidi" w:hAnsiTheme="majorBidi" w:cstheme="majorBidi"/>
          <w:sz w:val="26"/>
          <w:szCs w:val="26"/>
        </w:rPr>
        <w:t xml:space="preserve"> they </w:t>
      </w:r>
      <w:r w:rsidR="00417A6B" w:rsidRPr="00E7453E">
        <w:rPr>
          <w:rFonts w:asciiTheme="majorBidi" w:hAnsiTheme="majorBidi" w:cstheme="majorBidi"/>
          <w:sz w:val="26"/>
          <w:szCs w:val="26"/>
        </w:rPr>
        <w:t xml:space="preserve">have </w:t>
      </w:r>
      <w:r w:rsidRPr="00E7453E">
        <w:rPr>
          <w:rFonts w:asciiTheme="majorBidi" w:hAnsiTheme="majorBidi" w:cstheme="majorBidi"/>
          <w:sz w:val="26"/>
          <w:szCs w:val="26"/>
        </w:rPr>
        <w:t xml:space="preserve">tried to quit smoking within the past 12 months </w:t>
      </w:r>
      <w:r w:rsidR="00417A6B" w:rsidRPr="00E7453E">
        <w:rPr>
          <w:rFonts w:asciiTheme="majorBidi" w:hAnsiTheme="majorBidi" w:cstheme="majorBidi"/>
          <w:sz w:val="26"/>
          <w:szCs w:val="26"/>
        </w:rPr>
        <w:t xml:space="preserve">preceding </w:t>
      </w:r>
      <w:r w:rsidRPr="00E7453E">
        <w:rPr>
          <w:rFonts w:asciiTheme="majorBidi" w:hAnsiTheme="majorBidi" w:cstheme="majorBidi"/>
          <w:sz w:val="26"/>
          <w:szCs w:val="26"/>
        </w:rPr>
        <w:t>of the survey. This percentage varied widely between the West Bank and Gaza Strip, reaching about 18% and 31%, respectively. In a related context, about 15% of manufactured cigarette smokers reported that they considered quitting after noticing the warning messages about the dangers of smoking on cigarette packages</w:t>
      </w:r>
      <w:r w:rsidRPr="00E7453E">
        <w:rPr>
          <w:rFonts w:asciiTheme="majorBidi" w:hAnsiTheme="majorBidi" w:cstheme="majorBidi"/>
          <w:sz w:val="26"/>
          <w:szCs w:val="26"/>
          <w:rtl/>
        </w:rPr>
        <w:t>.</w:t>
      </w:r>
    </w:p>
    <w:p w:rsidR="00F572D5" w:rsidRPr="00E7453E" w:rsidRDefault="00F572D5" w:rsidP="00E7453E">
      <w:pPr>
        <w:bidi w:val="0"/>
        <w:spacing w:after="0" w:line="240" w:lineRule="auto"/>
        <w:rPr>
          <w:rFonts w:asciiTheme="majorBidi" w:hAnsiTheme="majorBidi" w:cstheme="majorBidi"/>
          <w:b/>
          <w:bCs/>
          <w:sz w:val="28"/>
          <w:szCs w:val="28"/>
        </w:rPr>
      </w:pPr>
      <w:r w:rsidRPr="00E7453E">
        <w:rPr>
          <w:rFonts w:asciiTheme="majorBidi" w:hAnsiTheme="majorBidi" w:cstheme="majorBidi"/>
          <w:b/>
          <w:bCs/>
          <w:sz w:val="28"/>
          <w:szCs w:val="28"/>
        </w:rPr>
        <w:t xml:space="preserve">Nearly two-thirds of people are exposed to secondhand </w:t>
      </w:r>
      <w:r w:rsidR="00A633A9" w:rsidRPr="00E7453E">
        <w:rPr>
          <w:rFonts w:asciiTheme="majorBidi" w:hAnsiTheme="majorBidi" w:cstheme="majorBidi"/>
          <w:b/>
          <w:bCs/>
          <w:sz w:val="28"/>
          <w:szCs w:val="28"/>
        </w:rPr>
        <w:t xml:space="preserve">smoking </w:t>
      </w:r>
      <w:r w:rsidRPr="00E7453E">
        <w:rPr>
          <w:rFonts w:asciiTheme="majorBidi" w:hAnsiTheme="majorBidi" w:cstheme="majorBidi"/>
          <w:b/>
          <w:bCs/>
          <w:sz w:val="28"/>
          <w:szCs w:val="28"/>
        </w:rPr>
        <w:t>indoors</w:t>
      </w:r>
    </w:p>
    <w:p w:rsidR="00F572D5" w:rsidRPr="00E7453E" w:rsidRDefault="00DB15DB" w:rsidP="00E7453E">
      <w:pPr>
        <w:bidi w:val="0"/>
        <w:spacing w:after="0" w:line="240" w:lineRule="auto"/>
        <w:jc w:val="both"/>
        <w:rPr>
          <w:rFonts w:asciiTheme="majorBidi" w:hAnsiTheme="majorBidi" w:cstheme="majorBidi"/>
          <w:color w:val="000000" w:themeColor="text1"/>
          <w:sz w:val="26"/>
          <w:szCs w:val="26"/>
        </w:rPr>
      </w:pPr>
      <w:r w:rsidRPr="00E7453E">
        <w:rPr>
          <w:rFonts w:asciiTheme="majorBidi" w:hAnsiTheme="majorBidi" w:cstheme="majorBidi"/>
          <w:sz w:val="26"/>
          <w:szCs w:val="26"/>
        </w:rPr>
        <w:t xml:space="preserve">64% of individuals </w:t>
      </w:r>
      <w:r w:rsidR="00A633A9" w:rsidRPr="00E7453E">
        <w:rPr>
          <w:rFonts w:asciiTheme="majorBidi" w:hAnsiTheme="majorBidi" w:cstheme="majorBidi"/>
          <w:sz w:val="26"/>
          <w:szCs w:val="26"/>
        </w:rPr>
        <w:t xml:space="preserve">aged </w:t>
      </w:r>
      <w:r w:rsidRPr="00E7453E">
        <w:rPr>
          <w:rFonts w:asciiTheme="majorBidi" w:hAnsiTheme="majorBidi" w:cstheme="majorBidi"/>
          <w:sz w:val="26"/>
          <w:szCs w:val="26"/>
        </w:rPr>
        <w:t xml:space="preserve">18 years and </w:t>
      </w:r>
      <w:r w:rsidR="00A633A9" w:rsidRPr="00E7453E">
        <w:rPr>
          <w:rFonts w:asciiTheme="majorBidi" w:hAnsiTheme="majorBidi" w:cstheme="majorBidi"/>
          <w:sz w:val="26"/>
          <w:szCs w:val="26"/>
        </w:rPr>
        <w:t xml:space="preserve">above </w:t>
      </w:r>
      <w:r w:rsidRPr="00E7453E">
        <w:rPr>
          <w:rFonts w:asciiTheme="majorBidi" w:hAnsiTheme="majorBidi" w:cstheme="majorBidi"/>
          <w:sz w:val="26"/>
          <w:szCs w:val="26"/>
        </w:rPr>
        <w:t xml:space="preserve">reported that they were exposed to tobacco </w:t>
      </w:r>
      <w:r w:rsidR="00A633A9" w:rsidRPr="00E7453E">
        <w:rPr>
          <w:rFonts w:asciiTheme="majorBidi" w:hAnsiTheme="majorBidi" w:cstheme="majorBidi"/>
          <w:sz w:val="26"/>
          <w:szCs w:val="26"/>
        </w:rPr>
        <w:t xml:space="preserve">smoking </w:t>
      </w:r>
      <w:r w:rsidRPr="00E7453E">
        <w:rPr>
          <w:rFonts w:asciiTheme="majorBidi" w:hAnsiTheme="majorBidi" w:cstheme="majorBidi"/>
          <w:sz w:val="26"/>
          <w:szCs w:val="26"/>
        </w:rPr>
        <w:t xml:space="preserve">at home during the 30 days preceding the survey, while about 66% of individuals indicated that they were exposed to tobacco </w:t>
      </w:r>
      <w:r w:rsidR="00A633A9" w:rsidRPr="00E7453E">
        <w:rPr>
          <w:rFonts w:asciiTheme="majorBidi" w:hAnsiTheme="majorBidi" w:cstheme="majorBidi"/>
          <w:sz w:val="26"/>
          <w:szCs w:val="26"/>
        </w:rPr>
        <w:t xml:space="preserve">smoking </w:t>
      </w:r>
      <w:r w:rsidRPr="00E7453E">
        <w:rPr>
          <w:rFonts w:asciiTheme="majorBidi" w:hAnsiTheme="majorBidi" w:cstheme="majorBidi"/>
          <w:sz w:val="26"/>
          <w:szCs w:val="26"/>
        </w:rPr>
        <w:t>while using public transportation</w:t>
      </w:r>
      <w:r w:rsidR="00A633A9" w:rsidRPr="00E7453E">
        <w:rPr>
          <w:rFonts w:asciiTheme="majorBidi" w:hAnsiTheme="majorBidi" w:cstheme="majorBidi"/>
          <w:sz w:val="26"/>
          <w:szCs w:val="26"/>
        </w:rPr>
        <w:t xml:space="preserve">. Regarding </w:t>
      </w:r>
      <w:r w:rsidRPr="00E7453E">
        <w:rPr>
          <w:rFonts w:asciiTheme="majorBidi" w:hAnsiTheme="majorBidi" w:cstheme="majorBidi"/>
          <w:sz w:val="26"/>
          <w:szCs w:val="26"/>
        </w:rPr>
        <w:t xml:space="preserve">exposure to secondhand </w:t>
      </w:r>
      <w:r w:rsidR="00A633A9" w:rsidRPr="00E7453E">
        <w:rPr>
          <w:rFonts w:asciiTheme="majorBidi" w:hAnsiTheme="majorBidi" w:cstheme="majorBidi"/>
          <w:sz w:val="26"/>
          <w:szCs w:val="26"/>
        </w:rPr>
        <w:t xml:space="preserve">smoking </w:t>
      </w:r>
      <w:r w:rsidRPr="00E7453E">
        <w:rPr>
          <w:rFonts w:asciiTheme="majorBidi" w:hAnsiTheme="majorBidi" w:cstheme="majorBidi"/>
          <w:sz w:val="26"/>
          <w:szCs w:val="26"/>
        </w:rPr>
        <w:t>in the workplace, the results of the survey show</w:t>
      </w:r>
      <w:r w:rsidR="0065225B" w:rsidRPr="00E7453E">
        <w:rPr>
          <w:rFonts w:asciiTheme="majorBidi" w:hAnsiTheme="majorBidi" w:cstheme="majorBidi"/>
          <w:sz w:val="26"/>
          <w:szCs w:val="26"/>
        </w:rPr>
        <w:t>ed that 58</w:t>
      </w:r>
      <w:r w:rsidRPr="00E7453E">
        <w:rPr>
          <w:rFonts w:asciiTheme="majorBidi" w:hAnsiTheme="majorBidi" w:cstheme="majorBidi"/>
          <w:sz w:val="26"/>
          <w:szCs w:val="26"/>
        </w:rPr>
        <w:t xml:space="preserve">% of individuals aged 18 years and </w:t>
      </w:r>
      <w:r w:rsidR="00F07758" w:rsidRPr="00E7453E">
        <w:rPr>
          <w:rFonts w:asciiTheme="majorBidi" w:hAnsiTheme="majorBidi" w:cstheme="majorBidi"/>
          <w:sz w:val="26"/>
          <w:szCs w:val="26"/>
        </w:rPr>
        <w:t xml:space="preserve">above </w:t>
      </w:r>
      <w:r w:rsidRPr="00E7453E">
        <w:rPr>
          <w:rFonts w:asciiTheme="majorBidi" w:hAnsiTheme="majorBidi" w:cstheme="majorBidi"/>
          <w:sz w:val="26"/>
          <w:szCs w:val="26"/>
        </w:rPr>
        <w:t>who are currently employed have been exposed to tobacco smoke in their workplace during the thirty days preceding the survey.</w:t>
      </w:r>
    </w:p>
    <w:p w:rsidR="00177A33" w:rsidRPr="00E7453E" w:rsidRDefault="00177A33" w:rsidP="00E7453E">
      <w:pPr>
        <w:bidi w:val="0"/>
        <w:spacing w:after="0" w:line="240" w:lineRule="auto"/>
        <w:jc w:val="both"/>
        <w:rPr>
          <w:rFonts w:asciiTheme="majorBidi" w:hAnsiTheme="majorBidi" w:cstheme="majorBidi"/>
          <w:b/>
          <w:bCs/>
          <w:color w:val="000000" w:themeColor="text1"/>
          <w:sz w:val="16"/>
          <w:szCs w:val="16"/>
        </w:rPr>
      </w:pPr>
    </w:p>
    <w:p w:rsidR="00C66E17" w:rsidRDefault="00C66E17" w:rsidP="00E7453E">
      <w:pPr>
        <w:bidi w:val="0"/>
        <w:spacing w:after="0" w:line="240" w:lineRule="auto"/>
        <w:jc w:val="center"/>
        <w:rPr>
          <w:rFonts w:asciiTheme="majorBidi" w:hAnsiTheme="majorBidi" w:cstheme="majorBidi"/>
          <w:b/>
          <w:bCs/>
          <w:color w:val="000000" w:themeColor="text1"/>
          <w:sz w:val="28"/>
          <w:szCs w:val="28"/>
        </w:rPr>
      </w:pPr>
    </w:p>
    <w:p w:rsidR="00C66E17" w:rsidRDefault="00C66E17" w:rsidP="00C66E17">
      <w:pPr>
        <w:bidi w:val="0"/>
        <w:spacing w:after="0" w:line="240" w:lineRule="auto"/>
        <w:jc w:val="center"/>
        <w:rPr>
          <w:rFonts w:asciiTheme="majorBidi" w:hAnsiTheme="majorBidi" w:cstheme="majorBidi"/>
          <w:b/>
          <w:bCs/>
          <w:color w:val="000000" w:themeColor="text1"/>
          <w:sz w:val="28"/>
          <w:szCs w:val="28"/>
        </w:rPr>
      </w:pPr>
    </w:p>
    <w:p w:rsidR="00C66E17" w:rsidRDefault="00C66E17" w:rsidP="00C66E17">
      <w:pPr>
        <w:bidi w:val="0"/>
        <w:spacing w:after="0" w:line="240" w:lineRule="auto"/>
        <w:jc w:val="center"/>
        <w:rPr>
          <w:rFonts w:asciiTheme="majorBidi" w:hAnsiTheme="majorBidi" w:cstheme="majorBidi"/>
          <w:b/>
          <w:bCs/>
          <w:color w:val="000000" w:themeColor="text1"/>
          <w:sz w:val="28"/>
          <w:szCs w:val="28"/>
        </w:rPr>
      </w:pPr>
    </w:p>
    <w:p w:rsidR="00C66E17" w:rsidRDefault="00C66E17" w:rsidP="00C66E17">
      <w:pPr>
        <w:bidi w:val="0"/>
        <w:spacing w:after="0" w:line="240" w:lineRule="auto"/>
        <w:jc w:val="center"/>
        <w:rPr>
          <w:rFonts w:asciiTheme="majorBidi" w:hAnsiTheme="majorBidi" w:cstheme="majorBidi"/>
          <w:b/>
          <w:bCs/>
          <w:color w:val="000000" w:themeColor="text1"/>
          <w:sz w:val="28"/>
          <w:szCs w:val="28"/>
        </w:rPr>
      </w:pPr>
    </w:p>
    <w:p w:rsidR="00C66E17" w:rsidRDefault="00C66E17" w:rsidP="00C66E17">
      <w:pPr>
        <w:bidi w:val="0"/>
        <w:spacing w:after="0" w:line="240" w:lineRule="auto"/>
        <w:jc w:val="center"/>
        <w:rPr>
          <w:rFonts w:asciiTheme="majorBidi" w:hAnsiTheme="majorBidi" w:cstheme="majorBidi"/>
          <w:b/>
          <w:bCs/>
          <w:color w:val="000000" w:themeColor="text1"/>
          <w:sz w:val="28"/>
          <w:szCs w:val="28"/>
        </w:rPr>
      </w:pPr>
    </w:p>
    <w:p w:rsidR="00C66E17" w:rsidRDefault="00C66E17" w:rsidP="00C66E17">
      <w:pPr>
        <w:bidi w:val="0"/>
        <w:spacing w:after="0" w:line="240" w:lineRule="auto"/>
        <w:jc w:val="center"/>
        <w:rPr>
          <w:rFonts w:asciiTheme="majorBidi" w:hAnsiTheme="majorBidi" w:cstheme="majorBidi"/>
          <w:b/>
          <w:bCs/>
          <w:color w:val="000000" w:themeColor="text1"/>
          <w:sz w:val="28"/>
          <w:szCs w:val="28"/>
        </w:rPr>
      </w:pPr>
    </w:p>
    <w:p w:rsidR="00C66E17" w:rsidRDefault="00C66E17" w:rsidP="00C66E17">
      <w:pPr>
        <w:bidi w:val="0"/>
        <w:spacing w:after="0" w:line="240" w:lineRule="auto"/>
        <w:jc w:val="center"/>
        <w:rPr>
          <w:rFonts w:asciiTheme="majorBidi" w:hAnsiTheme="majorBidi" w:cstheme="majorBidi"/>
          <w:b/>
          <w:bCs/>
          <w:color w:val="000000" w:themeColor="text1"/>
          <w:sz w:val="28"/>
          <w:szCs w:val="28"/>
        </w:rPr>
      </w:pPr>
    </w:p>
    <w:p w:rsidR="00C66E17" w:rsidRDefault="00C66E17" w:rsidP="00C66E17">
      <w:pPr>
        <w:bidi w:val="0"/>
        <w:spacing w:after="0" w:line="240" w:lineRule="auto"/>
        <w:jc w:val="center"/>
        <w:rPr>
          <w:rFonts w:asciiTheme="majorBidi" w:hAnsiTheme="majorBidi" w:cstheme="majorBidi"/>
          <w:b/>
          <w:bCs/>
          <w:color w:val="000000" w:themeColor="text1"/>
          <w:sz w:val="28"/>
          <w:szCs w:val="28"/>
        </w:rPr>
      </w:pPr>
    </w:p>
    <w:p w:rsidR="0008751F" w:rsidRDefault="0008751F" w:rsidP="00C66E17">
      <w:pPr>
        <w:bidi w:val="0"/>
        <w:spacing w:after="0" w:line="240" w:lineRule="auto"/>
        <w:jc w:val="center"/>
        <w:rPr>
          <w:rFonts w:asciiTheme="majorBidi" w:hAnsiTheme="majorBidi" w:cstheme="majorBidi"/>
          <w:b/>
          <w:bCs/>
          <w:color w:val="000000" w:themeColor="text1"/>
          <w:sz w:val="28"/>
          <w:szCs w:val="28"/>
        </w:rPr>
      </w:pPr>
      <w:r w:rsidRPr="00E7453E">
        <w:rPr>
          <w:rFonts w:asciiTheme="majorBidi" w:hAnsiTheme="majorBidi" w:cstheme="majorBidi"/>
          <w:b/>
          <w:bCs/>
          <w:color w:val="000000" w:themeColor="text1"/>
          <w:sz w:val="28"/>
          <w:szCs w:val="28"/>
        </w:rPr>
        <w:t xml:space="preserve">Percentage of individuals </w:t>
      </w:r>
      <w:r w:rsidR="00F07758" w:rsidRPr="00E7453E">
        <w:rPr>
          <w:rFonts w:asciiTheme="majorBidi" w:hAnsiTheme="majorBidi" w:cstheme="majorBidi"/>
          <w:b/>
          <w:bCs/>
          <w:color w:val="000000" w:themeColor="text1"/>
          <w:sz w:val="28"/>
          <w:szCs w:val="28"/>
        </w:rPr>
        <w:t xml:space="preserve">aged </w:t>
      </w:r>
      <w:r w:rsidRPr="00E7453E">
        <w:rPr>
          <w:rFonts w:asciiTheme="majorBidi" w:hAnsiTheme="majorBidi" w:cstheme="majorBidi"/>
          <w:b/>
          <w:bCs/>
          <w:color w:val="000000" w:themeColor="text1"/>
          <w:sz w:val="28"/>
          <w:szCs w:val="28"/>
        </w:rPr>
        <w:t xml:space="preserve">18 years and </w:t>
      </w:r>
      <w:r w:rsidR="00F07758" w:rsidRPr="00E7453E">
        <w:rPr>
          <w:rFonts w:asciiTheme="majorBidi" w:hAnsiTheme="majorBidi" w:cstheme="majorBidi"/>
          <w:b/>
          <w:bCs/>
          <w:color w:val="000000" w:themeColor="text1"/>
          <w:sz w:val="28"/>
          <w:szCs w:val="28"/>
        </w:rPr>
        <w:t xml:space="preserve">above </w:t>
      </w:r>
      <w:r w:rsidRPr="00E7453E">
        <w:rPr>
          <w:rFonts w:asciiTheme="majorBidi" w:hAnsiTheme="majorBidi" w:cstheme="majorBidi"/>
          <w:b/>
          <w:bCs/>
          <w:color w:val="000000" w:themeColor="text1"/>
          <w:sz w:val="28"/>
          <w:szCs w:val="28"/>
        </w:rPr>
        <w:t xml:space="preserve">exposed to secondhand </w:t>
      </w:r>
      <w:r w:rsidR="00F07758" w:rsidRPr="00E7453E">
        <w:rPr>
          <w:rFonts w:asciiTheme="majorBidi" w:hAnsiTheme="majorBidi" w:cstheme="majorBidi"/>
          <w:b/>
          <w:bCs/>
          <w:color w:val="000000" w:themeColor="text1"/>
          <w:sz w:val="28"/>
          <w:szCs w:val="28"/>
        </w:rPr>
        <w:t xml:space="preserve">smoking </w:t>
      </w:r>
      <w:r w:rsidRPr="00E7453E">
        <w:rPr>
          <w:rFonts w:asciiTheme="majorBidi" w:hAnsiTheme="majorBidi" w:cstheme="majorBidi"/>
          <w:b/>
          <w:bCs/>
          <w:color w:val="000000" w:themeColor="text1"/>
          <w:sz w:val="28"/>
          <w:szCs w:val="28"/>
        </w:rPr>
        <w:t>by place of exposure and region, 2021</w:t>
      </w:r>
    </w:p>
    <w:p w:rsidR="00E7453E" w:rsidRPr="00E7453E" w:rsidRDefault="00E7453E" w:rsidP="00E7453E">
      <w:pPr>
        <w:bidi w:val="0"/>
        <w:spacing w:after="0" w:line="240" w:lineRule="auto"/>
        <w:jc w:val="center"/>
        <w:rPr>
          <w:rFonts w:asciiTheme="majorBidi" w:hAnsiTheme="majorBidi" w:cstheme="majorBidi"/>
          <w:b/>
          <w:bCs/>
          <w:color w:val="000000" w:themeColor="text1"/>
          <w:sz w:val="16"/>
          <w:szCs w:val="16"/>
        </w:rPr>
      </w:pPr>
    </w:p>
    <w:tbl>
      <w:tblPr>
        <w:tblStyle w:val="TableGrid"/>
        <w:tblpPr w:leftFromText="180" w:rightFromText="180" w:vertAnchor="text" w:horzAnchor="margin" w:tblpXSpec="center" w:tblpY="55"/>
        <w:bidiVisual/>
        <w:tblW w:w="0" w:type="auto"/>
        <w:tblLook w:val="04A0" w:firstRow="1" w:lastRow="0" w:firstColumn="1" w:lastColumn="0" w:noHBand="0" w:noVBand="1"/>
      </w:tblPr>
      <w:tblGrid>
        <w:gridCol w:w="8296"/>
      </w:tblGrid>
      <w:tr w:rsidR="0008751F" w:rsidRPr="0008751F" w:rsidTr="00E7453E">
        <w:trPr>
          <w:trHeight w:val="3392"/>
        </w:trPr>
        <w:tc>
          <w:tcPr>
            <w:tcW w:w="8296" w:type="dxa"/>
          </w:tcPr>
          <w:p w:rsidR="0008751F" w:rsidRPr="0008751F" w:rsidRDefault="0008751F" w:rsidP="00E7453E">
            <w:pPr>
              <w:tabs>
                <w:tab w:val="num" w:pos="1215"/>
              </w:tabs>
              <w:jc w:val="center"/>
              <w:rPr>
                <w:rFonts w:ascii="Simplified Arabic" w:hAnsi="Simplified Arabic" w:cs="Simplified Arabic"/>
                <w:sz w:val="24"/>
                <w:szCs w:val="24"/>
                <w:rtl/>
                <w:lang w:eastAsia="ar-SA"/>
              </w:rPr>
            </w:pPr>
            <w:r w:rsidRPr="0008751F">
              <w:rPr>
                <w:rFonts w:ascii="Simplified Arabic" w:hAnsi="Simplified Arabic" w:cs="Simplified Arabic"/>
                <w:noProof/>
                <w:sz w:val="24"/>
                <w:szCs w:val="24"/>
                <w:rtl/>
              </w:rPr>
              <w:drawing>
                <wp:inline distT="0" distB="0" distL="0" distR="0" wp14:anchorId="71869FCC" wp14:editId="54AD42CE">
                  <wp:extent cx="4676775" cy="20383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177A33" w:rsidRPr="000B4E74" w:rsidRDefault="00177A33" w:rsidP="00E7453E">
      <w:pPr>
        <w:bidi w:val="0"/>
        <w:spacing w:after="0" w:line="240" w:lineRule="auto"/>
        <w:rPr>
          <w:rFonts w:asciiTheme="majorBidi" w:hAnsiTheme="majorBidi" w:cstheme="majorBidi"/>
          <w:b/>
          <w:bCs/>
          <w:color w:val="000000" w:themeColor="text1"/>
          <w:sz w:val="28"/>
          <w:szCs w:val="28"/>
        </w:rPr>
      </w:pPr>
    </w:p>
    <w:p w:rsidR="00E7453E" w:rsidRDefault="00E7453E" w:rsidP="00E7453E">
      <w:pPr>
        <w:bidi w:val="0"/>
        <w:spacing w:after="0" w:line="240" w:lineRule="auto"/>
        <w:rPr>
          <w:rFonts w:asciiTheme="majorBidi" w:hAnsiTheme="majorBidi" w:cstheme="majorBidi"/>
          <w:b/>
          <w:bCs/>
          <w:color w:val="000000" w:themeColor="text1"/>
          <w:sz w:val="24"/>
          <w:szCs w:val="24"/>
        </w:rPr>
      </w:pPr>
    </w:p>
    <w:p w:rsidR="00E7453E" w:rsidRDefault="00E7453E" w:rsidP="00E7453E">
      <w:pPr>
        <w:bidi w:val="0"/>
        <w:spacing w:after="0" w:line="240" w:lineRule="auto"/>
        <w:rPr>
          <w:rFonts w:asciiTheme="majorBidi" w:hAnsiTheme="majorBidi" w:cstheme="majorBidi"/>
          <w:b/>
          <w:bCs/>
          <w:color w:val="000000" w:themeColor="text1"/>
          <w:sz w:val="24"/>
          <w:szCs w:val="24"/>
        </w:rPr>
      </w:pPr>
    </w:p>
    <w:p w:rsidR="00E7453E" w:rsidRDefault="00E7453E" w:rsidP="00E7453E">
      <w:pPr>
        <w:bidi w:val="0"/>
        <w:spacing w:after="0" w:line="240" w:lineRule="auto"/>
        <w:rPr>
          <w:rFonts w:asciiTheme="majorBidi" w:hAnsiTheme="majorBidi" w:cstheme="majorBidi"/>
          <w:b/>
          <w:bCs/>
          <w:color w:val="000000" w:themeColor="text1"/>
          <w:sz w:val="24"/>
          <w:szCs w:val="24"/>
        </w:rPr>
      </w:pPr>
    </w:p>
    <w:p w:rsidR="00E7453E" w:rsidRDefault="00E7453E" w:rsidP="00E7453E">
      <w:pPr>
        <w:bidi w:val="0"/>
        <w:spacing w:after="0" w:line="240" w:lineRule="auto"/>
        <w:rPr>
          <w:rFonts w:asciiTheme="majorBidi" w:hAnsiTheme="majorBidi" w:cstheme="majorBidi"/>
          <w:b/>
          <w:bCs/>
          <w:color w:val="000000" w:themeColor="text1"/>
          <w:sz w:val="24"/>
          <w:szCs w:val="24"/>
        </w:rPr>
      </w:pPr>
    </w:p>
    <w:p w:rsidR="00E7453E" w:rsidRDefault="00E7453E" w:rsidP="00E7453E">
      <w:pPr>
        <w:bidi w:val="0"/>
        <w:spacing w:after="0" w:line="240" w:lineRule="auto"/>
        <w:rPr>
          <w:rFonts w:asciiTheme="majorBidi" w:hAnsiTheme="majorBidi" w:cstheme="majorBidi"/>
          <w:b/>
          <w:bCs/>
          <w:color w:val="000000" w:themeColor="text1"/>
          <w:sz w:val="24"/>
          <w:szCs w:val="24"/>
        </w:rPr>
      </w:pPr>
    </w:p>
    <w:p w:rsidR="00E7453E" w:rsidRDefault="00E7453E" w:rsidP="00E7453E">
      <w:pPr>
        <w:bidi w:val="0"/>
        <w:spacing w:after="0" w:line="240" w:lineRule="auto"/>
        <w:rPr>
          <w:rFonts w:asciiTheme="majorBidi" w:hAnsiTheme="majorBidi" w:cstheme="majorBidi"/>
          <w:b/>
          <w:bCs/>
          <w:color w:val="000000" w:themeColor="text1"/>
          <w:sz w:val="24"/>
          <w:szCs w:val="24"/>
        </w:rPr>
      </w:pPr>
    </w:p>
    <w:p w:rsidR="00E7453E" w:rsidRDefault="00E7453E" w:rsidP="00E7453E">
      <w:pPr>
        <w:bidi w:val="0"/>
        <w:spacing w:after="0" w:line="240" w:lineRule="auto"/>
        <w:rPr>
          <w:rFonts w:asciiTheme="majorBidi" w:hAnsiTheme="majorBidi" w:cstheme="majorBidi"/>
          <w:b/>
          <w:bCs/>
          <w:color w:val="000000" w:themeColor="text1"/>
          <w:sz w:val="24"/>
          <w:szCs w:val="24"/>
        </w:rPr>
      </w:pPr>
    </w:p>
    <w:p w:rsidR="00E7453E" w:rsidRDefault="00E7453E" w:rsidP="00E7453E">
      <w:pPr>
        <w:bidi w:val="0"/>
        <w:spacing w:after="0" w:line="240" w:lineRule="auto"/>
        <w:rPr>
          <w:rFonts w:asciiTheme="majorBidi" w:hAnsiTheme="majorBidi" w:cstheme="majorBidi"/>
          <w:b/>
          <w:bCs/>
          <w:color w:val="000000" w:themeColor="text1"/>
          <w:sz w:val="24"/>
          <w:szCs w:val="24"/>
        </w:rPr>
      </w:pPr>
    </w:p>
    <w:p w:rsidR="00E7453E" w:rsidRDefault="00E7453E" w:rsidP="00E7453E">
      <w:pPr>
        <w:bidi w:val="0"/>
        <w:spacing w:after="0" w:line="240" w:lineRule="auto"/>
        <w:rPr>
          <w:rFonts w:asciiTheme="majorBidi" w:hAnsiTheme="majorBidi" w:cstheme="majorBidi"/>
          <w:b/>
          <w:bCs/>
          <w:color w:val="000000" w:themeColor="text1"/>
          <w:sz w:val="24"/>
          <w:szCs w:val="24"/>
        </w:rPr>
      </w:pPr>
    </w:p>
    <w:p w:rsidR="00E7453E" w:rsidRDefault="00E7453E" w:rsidP="00E7453E">
      <w:pPr>
        <w:bidi w:val="0"/>
        <w:spacing w:after="0" w:line="240" w:lineRule="auto"/>
        <w:rPr>
          <w:rFonts w:asciiTheme="majorBidi" w:hAnsiTheme="majorBidi" w:cstheme="majorBidi"/>
          <w:b/>
          <w:bCs/>
          <w:color w:val="000000" w:themeColor="text1"/>
          <w:sz w:val="24"/>
          <w:szCs w:val="24"/>
        </w:rPr>
      </w:pPr>
    </w:p>
    <w:p w:rsidR="00E7453E" w:rsidRDefault="00E7453E" w:rsidP="00E7453E">
      <w:pPr>
        <w:bidi w:val="0"/>
        <w:spacing w:after="0" w:line="240" w:lineRule="auto"/>
        <w:rPr>
          <w:rFonts w:asciiTheme="majorBidi" w:hAnsiTheme="majorBidi" w:cstheme="majorBidi"/>
          <w:b/>
          <w:bCs/>
          <w:color w:val="000000" w:themeColor="text1"/>
          <w:sz w:val="24"/>
          <w:szCs w:val="24"/>
        </w:rPr>
      </w:pPr>
    </w:p>
    <w:p w:rsidR="00E7453E" w:rsidRPr="00E7453E" w:rsidRDefault="00E7453E" w:rsidP="00E7453E">
      <w:pPr>
        <w:bidi w:val="0"/>
        <w:spacing w:after="0" w:line="240" w:lineRule="auto"/>
        <w:rPr>
          <w:rFonts w:asciiTheme="majorBidi" w:hAnsiTheme="majorBidi" w:cstheme="majorBidi"/>
          <w:b/>
          <w:bCs/>
          <w:color w:val="000000" w:themeColor="text1"/>
          <w:sz w:val="16"/>
          <w:szCs w:val="16"/>
        </w:rPr>
      </w:pPr>
    </w:p>
    <w:p w:rsidR="00E7453E" w:rsidRPr="00E7453E" w:rsidRDefault="00E7453E" w:rsidP="00E7453E">
      <w:pPr>
        <w:bidi w:val="0"/>
        <w:spacing w:after="0" w:line="240" w:lineRule="auto"/>
        <w:rPr>
          <w:rFonts w:asciiTheme="majorBidi" w:hAnsiTheme="majorBidi" w:cstheme="majorBidi"/>
          <w:b/>
          <w:bCs/>
          <w:color w:val="000000" w:themeColor="text1"/>
          <w:sz w:val="16"/>
          <w:szCs w:val="16"/>
        </w:rPr>
      </w:pPr>
    </w:p>
    <w:p w:rsidR="00E7453E" w:rsidRPr="00E7453E" w:rsidRDefault="00177A33" w:rsidP="00E7453E">
      <w:pPr>
        <w:bidi w:val="0"/>
        <w:spacing w:after="0" w:line="240" w:lineRule="auto"/>
        <w:rPr>
          <w:rFonts w:asciiTheme="majorBidi" w:hAnsiTheme="majorBidi" w:cstheme="majorBidi"/>
          <w:b/>
          <w:bCs/>
          <w:color w:val="000000" w:themeColor="text1"/>
          <w:sz w:val="28"/>
          <w:szCs w:val="28"/>
        </w:rPr>
      </w:pPr>
      <w:r w:rsidRPr="00E7453E">
        <w:rPr>
          <w:rFonts w:asciiTheme="majorBidi" w:hAnsiTheme="majorBidi" w:cstheme="majorBidi"/>
          <w:b/>
          <w:bCs/>
          <w:color w:val="000000" w:themeColor="text1"/>
          <w:sz w:val="28"/>
          <w:szCs w:val="28"/>
        </w:rPr>
        <w:t>Social media is the most widely reported about the dangers of smoking</w:t>
      </w:r>
    </w:p>
    <w:p w:rsidR="00177A33" w:rsidRDefault="00177A33" w:rsidP="00E7453E">
      <w:pPr>
        <w:bidi w:val="0"/>
        <w:spacing w:after="0" w:line="240" w:lineRule="auto"/>
        <w:jc w:val="both"/>
        <w:rPr>
          <w:rFonts w:asciiTheme="majorBidi" w:hAnsiTheme="majorBidi" w:cstheme="majorBidi"/>
          <w:color w:val="000000" w:themeColor="text1"/>
          <w:sz w:val="24"/>
          <w:szCs w:val="24"/>
        </w:rPr>
      </w:pPr>
      <w:r w:rsidRPr="00177A33">
        <w:rPr>
          <w:rFonts w:asciiTheme="majorBidi" w:hAnsiTheme="majorBidi" w:cstheme="majorBidi"/>
          <w:color w:val="000000" w:themeColor="text1"/>
          <w:sz w:val="24"/>
          <w:szCs w:val="24"/>
        </w:rPr>
        <w:t xml:space="preserve">About 30% of </w:t>
      </w:r>
      <w:r w:rsidRPr="00E7453E">
        <w:rPr>
          <w:rFonts w:asciiTheme="majorBidi" w:hAnsiTheme="majorBidi" w:cstheme="majorBidi"/>
          <w:color w:val="000000" w:themeColor="text1"/>
          <w:sz w:val="26"/>
          <w:szCs w:val="26"/>
        </w:rPr>
        <w:t xml:space="preserve">individuals </w:t>
      </w:r>
      <w:r w:rsidR="00F07758" w:rsidRPr="00E7453E">
        <w:rPr>
          <w:rFonts w:asciiTheme="majorBidi" w:hAnsiTheme="majorBidi" w:cstheme="majorBidi"/>
          <w:color w:val="000000" w:themeColor="text1"/>
          <w:sz w:val="26"/>
          <w:szCs w:val="26"/>
        </w:rPr>
        <w:t xml:space="preserve">aged </w:t>
      </w:r>
      <w:r w:rsidRPr="00E7453E">
        <w:rPr>
          <w:rFonts w:asciiTheme="majorBidi" w:hAnsiTheme="majorBidi" w:cstheme="majorBidi"/>
          <w:color w:val="000000" w:themeColor="text1"/>
          <w:sz w:val="26"/>
          <w:szCs w:val="26"/>
        </w:rPr>
        <w:t xml:space="preserve">18 years and </w:t>
      </w:r>
      <w:r w:rsidR="00F07758" w:rsidRPr="00E7453E">
        <w:rPr>
          <w:rFonts w:asciiTheme="majorBidi" w:hAnsiTheme="majorBidi" w:cstheme="majorBidi"/>
          <w:color w:val="000000" w:themeColor="text1"/>
          <w:sz w:val="26"/>
          <w:szCs w:val="26"/>
        </w:rPr>
        <w:t xml:space="preserve">above </w:t>
      </w:r>
      <w:r w:rsidRPr="00E7453E">
        <w:rPr>
          <w:rFonts w:asciiTheme="majorBidi" w:hAnsiTheme="majorBidi" w:cstheme="majorBidi"/>
          <w:color w:val="000000" w:themeColor="text1"/>
          <w:sz w:val="26"/>
          <w:szCs w:val="26"/>
        </w:rPr>
        <w:t xml:space="preserve">noticed warning information about the dangers of smoking or tips to stop smoking through social media </w:t>
      </w:r>
      <w:r w:rsidR="00921993" w:rsidRPr="00E7453E">
        <w:rPr>
          <w:rFonts w:asciiTheme="majorBidi" w:hAnsiTheme="majorBidi" w:cstheme="majorBidi"/>
          <w:color w:val="000000" w:themeColor="text1"/>
          <w:sz w:val="26"/>
          <w:szCs w:val="26"/>
        </w:rPr>
        <w:t xml:space="preserve">networks </w:t>
      </w:r>
      <w:r w:rsidRPr="00E7453E">
        <w:rPr>
          <w:rFonts w:asciiTheme="majorBidi" w:hAnsiTheme="majorBidi" w:cstheme="majorBidi"/>
          <w:color w:val="000000" w:themeColor="text1"/>
          <w:sz w:val="26"/>
          <w:szCs w:val="26"/>
        </w:rPr>
        <w:t>during the thirty days preceding the survey</w:t>
      </w:r>
      <w:r w:rsidR="00970922" w:rsidRPr="00E7453E">
        <w:rPr>
          <w:rFonts w:asciiTheme="majorBidi" w:hAnsiTheme="majorBidi" w:cstheme="majorBidi"/>
          <w:color w:val="000000" w:themeColor="text1"/>
          <w:sz w:val="26"/>
          <w:szCs w:val="26"/>
        </w:rPr>
        <w:t>. Mean</w:t>
      </w:r>
      <w:r w:rsidRPr="00E7453E">
        <w:rPr>
          <w:rFonts w:asciiTheme="majorBidi" w:hAnsiTheme="majorBidi" w:cstheme="majorBidi"/>
          <w:color w:val="000000" w:themeColor="text1"/>
          <w:sz w:val="26"/>
          <w:szCs w:val="26"/>
        </w:rPr>
        <w:t>while</w:t>
      </w:r>
      <w:r w:rsidR="00970922" w:rsidRPr="00E7453E">
        <w:rPr>
          <w:rFonts w:asciiTheme="majorBidi" w:hAnsiTheme="majorBidi" w:cstheme="majorBidi"/>
          <w:color w:val="000000" w:themeColor="text1"/>
          <w:sz w:val="26"/>
          <w:szCs w:val="26"/>
        </w:rPr>
        <w:t>,</w:t>
      </w:r>
      <w:r w:rsidRPr="00E7453E">
        <w:rPr>
          <w:rFonts w:asciiTheme="majorBidi" w:hAnsiTheme="majorBidi" w:cstheme="majorBidi"/>
          <w:color w:val="000000" w:themeColor="text1"/>
          <w:sz w:val="26"/>
          <w:szCs w:val="26"/>
        </w:rPr>
        <w:t xml:space="preserve"> 18% of individuals </w:t>
      </w:r>
      <w:r w:rsidR="00921993" w:rsidRPr="00E7453E">
        <w:rPr>
          <w:rFonts w:asciiTheme="majorBidi" w:hAnsiTheme="majorBidi" w:cstheme="majorBidi"/>
          <w:color w:val="000000" w:themeColor="text1"/>
          <w:sz w:val="26"/>
          <w:szCs w:val="26"/>
        </w:rPr>
        <w:t xml:space="preserve">watched </w:t>
      </w:r>
      <w:r w:rsidRPr="00E7453E">
        <w:rPr>
          <w:rFonts w:asciiTheme="majorBidi" w:hAnsiTheme="majorBidi" w:cstheme="majorBidi"/>
          <w:color w:val="000000" w:themeColor="text1"/>
          <w:sz w:val="26"/>
          <w:szCs w:val="26"/>
        </w:rPr>
        <w:t>this information through television, street advertisements and posters, and at lower rates through the radio, newspapers and magazines; 16% and 10%, respectively</w:t>
      </w:r>
      <w:r w:rsidRPr="00177A33">
        <w:rPr>
          <w:rFonts w:asciiTheme="majorBidi" w:hAnsiTheme="majorBidi" w:cstheme="majorBidi"/>
          <w:color w:val="000000" w:themeColor="text1"/>
          <w:sz w:val="24"/>
          <w:szCs w:val="24"/>
        </w:rPr>
        <w:t>.</w:t>
      </w:r>
    </w:p>
    <w:p w:rsidR="00027F4B" w:rsidRDefault="00027F4B" w:rsidP="00E7453E">
      <w:pPr>
        <w:bidi w:val="0"/>
        <w:spacing w:after="0" w:line="240" w:lineRule="auto"/>
        <w:jc w:val="both"/>
        <w:rPr>
          <w:rFonts w:asciiTheme="majorBidi" w:hAnsiTheme="majorBidi" w:cstheme="majorBidi"/>
          <w:color w:val="000000" w:themeColor="text1"/>
          <w:sz w:val="24"/>
          <w:szCs w:val="24"/>
        </w:rPr>
      </w:pPr>
    </w:p>
    <w:p w:rsidR="00027F4B" w:rsidRDefault="00027F4B" w:rsidP="00E7453E">
      <w:pPr>
        <w:bidi w:val="0"/>
        <w:spacing w:after="0" w:line="240" w:lineRule="auto"/>
        <w:jc w:val="both"/>
        <w:rPr>
          <w:rFonts w:asciiTheme="majorBidi" w:hAnsiTheme="majorBidi" w:cstheme="majorBidi"/>
          <w:color w:val="000000" w:themeColor="text1"/>
          <w:sz w:val="24"/>
          <w:szCs w:val="24"/>
        </w:rPr>
      </w:pPr>
    </w:p>
    <w:p w:rsidR="00E7453E" w:rsidRDefault="00E7453E" w:rsidP="00E7453E">
      <w:pPr>
        <w:bidi w:val="0"/>
        <w:spacing w:after="0" w:line="240" w:lineRule="auto"/>
        <w:jc w:val="both"/>
        <w:rPr>
          <w:rFonts w:asciiTheme="majorBidi" w:hAnsiTheme="majorBidi" w:cstheme="majorBidi"/>
          <w:color w:val="000000" w:themeColor="text1"/>
          <w:sz w:val="24"/>
          <w:szCs w:val="24"/>
        </w:rPr>
      </w:pPr>
    </w:p>
    <w:p w:rsidR="00027F4B" w:rsidRDefault="00027F4B" w:rsidP="00E7453E">
      <w:pPr>
        <w:bidi w:val="0"/>
        <w:spacing w:after="0" w:line="240" w:lineRule="auto"/>
        <w:jc w:val="both"/>
        <w:rPr>
          <w:rFonts w:asciiTheme="majorBidi" w:hAnsiTheme="majorBidi" w:cstheme="majorBidi"/>
          <w:color w:val="000000" w:themeColor="text1"/>
          <w:sz w:val="24"/>
          <w:szCs w:val="24"/>
        </w:rPr>
      </w:pPr>
    </w:p>
    <w:sectPr w:rsidR="00027F4B" w:rsidSect="00C66E17">
      <w:footerReference w:type="default" r:id="rId11"/>
      <w:pgSz w:w="11906" w:h="16838"/>
      <w:pgMar w:top="1134" w:right="1134" w:bottom="1440" w:left="1134" w:header="0" w:footer="262"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F7C" w:rsidRDefault="00EF5F7C" w:rsidP="00E31702">
      <w:pPr>
        <w:spacing w:after="0" w:line="240" w:lineRule="auto"/>
      </w:pPr>
      <w:r>
        <w:separator/>
      </w:r>
    </w:p>
  </w:endnote>
  <w:endnote w:type="continuationSeparator" w:id="0">
    <w:p w:rsidR="00EF5F7C" w:rsidRDefault="00EF5F7C" w:rsidP="00E31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9485026"/>
      <w:docPartObj>
        <w:docPartGallery w:val="Page Numbers (Bottom of Page)"/>
        <w:docPartUnique/>
      </w:docPartObj>
    </w:sdtPr>
    <w:sdtEndPr/>
    <w:sdtContent>
      <w:p w:rsidR="00EF70F1" w:rsidRDefault="00EF70F1">
        <w:pPr>
          <w:pStyle w:val="Footer"/>
          <w:jc w:val="center"/>
        </w:pPr>
        <w:r>
          <w:fldChar w:fldCharType="begin"/>
        </w:r>
        <w:r>
          <w:instrText xml:space="preserve"> PAGE   \* MERGEFORMAT </w:instrText>
        </w:r>
        <w:r>
          <w:fldChar w:fldCharType="separate"/>
        </w:r>
        <w:r w:rsidR="00D122BE">
          <w:rPr>
            <w:noProof/>
            <w:rtl/>
          </w:rPr>
          <w:t>4</w:t>
        </w:r>
        <w:r>
          <w:rPr>
            <w:noProof/>
          </w:rPr>
          <w:fldChar w:fldCharType="end"/>
        </w:r>
      </w:p>
    </w:sdtContent>
  </w:sdt>
  <w:p w:rsidR="00EF70F1" w:rsidRDefault="00EF7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F7C" w:rsidRDefault="00EF5F7C" w:rsidP="00E31702">
      <w:pPr>
        <w:spacing w:after="0" w:line="240" w:lineRule="auto"/>
      </w:pPr>
      <w:r>
        <w:separator/>
      </w:r>
    </w:p>
  </w:footnote>
  <w:footnote w:type="continuationSeparator" w:id="0">
    <w:p w:rsidR="00EF5F7C" w:rsidRDefault="00EF5F7C" w:rsidP="00E317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C8"/>
    <w:rsid w:val="00027F4B"/>
    <w:rsid w:val="00077B4A"/>
    <w:rsid w:val="00085163"/>
    <w:rsid w:val="0008751F"/>
    <w:rsid w:val="000964B0"/>
    <w:rsid w:val="000A3734"/>
    <w:rsid w:val="000B4E74"/>
    <w:rsid w:val="001362F8"/>
    <w:rsid w:val="00147015"/>
    <w:rsid w:val="00173E6C"/>
    <w:rsid w:val="00177A33"/>
    <w:rsid w:val="00274BE0"/>
    <w:rsid w:val="00285C9E"/>
    <w:rsid w:val="002F677A"/>
    <w:rsid w:val="0031454C"/>
    <w:rsid w:val="00323766"/>
    <w:rsid w:val="003E35F1"/>
    <w:rsid w:val="003F7DBB"/>
    <w:rsid w:val="00417A6B"/>
    <w:rsid w:val="00524B6E"/>
    <w:rsid w:val="00530C42"/>
    <w:rsid w:val="005D0B76"/>
    <w:rsid w:val="005E5CD5"/>
    <w:rsid w:val="0062319A"/>
    <w:rsid w:val="00630761"/>
    <w:rsid w:val="0065225B"/>
    <w:rsid w:val="00656A23"/>
    <w:rsid w:val="006619AA"/>
    <w:rsid w:val="00663B49"/>
    <w:rsid w:val="0067098E"/>
    <w:rsid w:val="00680868"/>
    <w:rsid w:val="006842C5"/>
    <w:rsid w:val="006C7CF4"/>
    <w:rsid w:val="00723D8E"/>
    <w:rsid w:val="007412F9"/>
    <w:rsid w:val="00756377"/>
    <w:rsid w:val="007A7C16"/>
    <w:rsid w:val="007B72B7"/>
    <w:rsid w:val="008417C8"/>
    <w:rsid w:val="008545BF"/>
    <w:rsid w:val="00861A1F"/>
    <w:rsid w:val="008620D0"/>
    <w:rsid w:val="008875E4"/>
    <w:rsid w:val="008A4F53"/>
    <w:rsid w:val="008E30A6"/>
    <w:rsid w:val="00921993"/>
    <w:rsid w:val="009241EE"/>
    <w:rsid w:val="0096675B"/>
    <w:rsid w:val="00970922"/>
    <w:rsid w:val="009B3F4B"/>
    <w:rsid w:val="00A633A9"/>
    <w:rsid w:val="00A809EB"/>
    <w:rsid w:val="00AD2FC6"/>
    <w:rsid w:val="00B056DB"/>
    <w:rsid w:val="00B46852"/>
    <w:rsid w:val="00B74135"/>
    <w:rsid w:val="00BA27D5"/>
    <w:rsid w:val="00BC5532"/>
    <w:rsid w:val="00BD780B"/>
    <w:rsid w:val="00C66E17"/>
    <w:rsid w:val="00C93BC4"/>
    <w:rsid w:val="00CC5660"/>
    <w:rsid w:val="00CD5467"/>
    <w:rsid w:val="00CF2892"/>
    <w:rsid w:val="00D122BE"/>
    <w:rsid w:val="00D37E44"/>
    <w:rsid w:val="00D5330D"/>
    <w:rsid w:val="00DB15DB"/>
    <w:rsid w:val="00DB3FEB"/>
    <w:rsid w:val="00DC3D1A"/>
    <w:rsid w:val="00E31702"/>
    <w:rsid w:val="00E32ECE"/>
    <w:rsid w:val="00E73723"/>
    <w:rsid w:val="00E7453E"/>
    <w:rsid w:val="00EF5F7C"/>
    <w:rsid w:val="00EF70F1"/>
    <w:rsid w:val="00F07758"/>
    <w:rsid w:val="00F572D5"/>
    <w:rsid w:val="00FC1809"/>
    <w:rsid w:val="00FC505F"/>
    <w:rsid w:val="00FE2C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57942F-FFE9-44AE-8608-9FF72EF8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Accent41">
    <w:name w:val="Light Shading - Accent 41"/>
    <w:basedOn w:val="TableNormal"/>
    <w:next w:val="LightShading-Accent4"/>
    <w:uiPriority w:val="60"/>
    <w:rsid w:val="00BA27D5"/>
    <w:pPr>
      <w:spacing w:after="0" w:line="240" w:lineRule="auto"/>
    </w:pPr>
    <w:rPr>
      <w:rFonts w:ascii="Times New Roman" w:eastAsia="Times New Roman" w:hAnsi="Times New Roman"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4">
    <w:name w:val="Light Shading Accent 4"/>
    <w:basedOn w:val="TableNormal"/>
    <w:uiPriority w:val="60"/>
    <w:semiHidden/>
    <w:unhideWhenUsed/>
    <w:rsid w:val="00BA27D5"/>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ableGrid">
    <w:name w:val="Table Grid"/>
    <w:basedOn w:val="TableNormal"/>
    <w:uiPriority w:val="59"/>
    <w:rsid w:val="00861A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37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734"/>
    <w:rPr>
      <w:rFonts w:ascii="Segoe UI" w:hAnsi="Segoe UI" w:cs="Segoe UI"/>
      <w:sz w:val="18"/>
      <w:szCs w:val="18"/>
    </w:rPr>
  </w:style>
  <w:style w:type="character" w:styleId="Hyperlink">
    <w:name w:val="Hyperlink"/>
    <w:basedOn w:val="DefaultParagraphFont"/>
    <w:uiPriority w:val="99"/>
    <w:unhideWhenUsed/>
    <w:rsid w:val="00027F4B"/>
    <w:rPr>
      <w:color w:val="0563C1" w:themeColor="hyperlink"/>
      <w:u w:val="single"/>
    </w:rPr>
  </w:style>
  <w:style w:type="paragraph" w:styleId="Header">
    <w:name w:val="header"/>
    <w:basedOn w:val="Normal"/>
    <w:link w:val="HeaderChar"/>
    <w:uiPriority w:val="99"/>
    <w:unhideWhenUsed/>
    <w:rsid w:val="00E317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1702"/>
  </w:style>
  <w:style w:type="paragraph" w:styleId="Footer">
    <w:name w:val="footer"/>
    <w:basedOn w:val="Normal"/>
    <w:link w:val="FooterChar"/>
    <w:uiPriority w:val="99"/>
    <w:unhideWhenUsed/>
    <w:rsid w:val="00E317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1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717753">
      <w:bodyDiv w:val="1"/>
      <w:marLeft w:val="0"/>
      <w:marRight w:val="0"/>
      <w:marTop w:val="0"/>
      <w:marBottom w:val="0"/>
      <w:divBdr>
        <w:top w:val="none" w:sz="0" w:space="0" w:color="auto"/>
        <w:left w:val="none" w:sz="0" w:space="0" w:color="auto"/>
        <w:bottom w:val="none" w:sz="0" w:space="0" w:color="auto"/>
        <w:right w:val="none" w:sz="0" w:space="0" w:color="auto"/>
      </w:divBdr>
    </w:div>
    <w:div w:id="1793595577">
      <w:bodyDiv w:val="1"/>
      <w:marLeft w:val="0"/>
      <w:marRight w:val="0"/>
      <w:marTop w:val="0"/>
      <w:marBottom w:val="0"/>
      <w:divBdr>
        <w:top w:val="none" w:sz="0" w:space="0" w:color="auto"/>
        <w:left w:val="none" w:sz="0" w:space="0" w:color="auto"/>
        <w:bottom w:val="none" w:sz="0" w:space="0" w:color="auto"/>
        <w:right w:val="none" w:sz="0" w:space="0" w:color="auto"/>
      </w:divBdr>
    </w:div>
    <w:div w:id="208767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8" Type="http://schemas.openxmlformats.org/officeDocument/2006/relationships/package" Target="../embeddings/Microsoft_Excel_Worksheet1.xlsx"/><Relationship Id="rId3" Type="http://schemas.openxmlformats.org/officeDocument/2006/relationships/themeOverride" Target="../theme/themeOverride1.xml"/><Relationship Id="rId7" Type="http://schemas.openxmlformats.org/officeDocument/2006/relationships/image" Target="../media/image4.png"/><Relationship Id="rId2" Type="http://schemas.microsoft.com/office/2011/relationships/chartColorStyle" Target="colors2.xml"/><Relationship Id="rId1" Type="http://schemas.microsoft.com/office/2011/relationships/chartStyle" Target="style2.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568827012443345E-2"/>
          <c:y val="0.11738618879536609"/>
          <c:w val="0.85345741907472261"/>
          <c:h val="0.61843803580280021"/>
        </c:manualLayout>
      </c:layout>
      <c:barChart>
        <c:barDir val="col"/>
        <c:grouping val="clustered"/>
        <c:varyColors val="0"/>
        <c:ser>
          <c:idx val="0"/>
          <c:order val="0"/>
          <c:tx>
            <c:strRef>
              <c:f>Sheet1!$B$1</c:f>
              <c:strCache>
                <c:ptCount val="1"/>
                <c:pt idx="0">
                  <c:v>West Bank</c:v>
                </c:pt>
              </c:strCache>
            </c:strRef>
          </c:tx>
          <c:spPr>
            <a:solidFill>
              <a:srgbClr val="A8DAE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29-18</c:v>
                </c:pt>
                <c:pt idx="1">
                  <c:v>39-30</c:v>
                </c:pt>
                <c:pt idx="2">
                  <c:v>49-40</c:v>
                </c:pt>
                <c:pt idx="3">
                  <c:v>59-50</c:v>
                </c:pt>
                <c:pt idx="4">
                  <c:v>+60</c:v>
                </c:pt>
              </c:strCache>
            </c:strRef>
          </c:cat>
          <c:val>
            <c:numRef>
              <c:f>Sheet1!$B$2:$B$6</c:f>
              <c:numCache>
                <c:formatCode>General</c:formatCode>
                <c:ptCount val="5"/>
                <c:pt idx="0">
                  <c:v>43.3</c:v>
                </c:pt>
                <c:pt idx="1">
                  <c:v>42.6</c:v>
                </c:pt>
                <c:pt idx="2">
                  <c:v>40.200000000000003</c:v>
                </c:pt>
                <c:pt idx="3">
                  <c:v>37.700000000000003</c:v>
                </c:pt>
                <c:pt idx="4">
                  <c:v>25.6</c:v>
                </c:pt>
              </c:numCache>
            </c:numRef>
          </c:val>
          <c:extLst>
            <c:ext xmlns:c16="http://schemas.microsoft.com/office/drawing/2014/chart" uri="{C3380CC4-5D6E-409C-BE32-E72D297353CC}">
              <c16:uniqueId val="{00000000-FD64-4865-89A6-B27A9581CEB0}"/>
            </c:ext>
          </c:extLst>
        </c:ser>
        <c:ser>
          <c:idx val="1"/>
          <c:order val="1"/>
          <c:tx>
            <c:strRef>
              <c:f>Sheet1!$C$1</c:f>
              <c:strCache>
                <c:ptCount val="1"/>
                <c:pt idx="0">
                  <c:v>Gaza Strip</c:v>
                </c:pt>
              </c:strCache>
            </c:strRef>
          </c:tx>
          <c:spPr>
            <a:solidFill>
              <a:schemeClr val="accent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29-18</c:v>
                </c:pt>
                <c:pt idx="1">
                  <c:v>39-30</c:v>
                </c:pt>
                <c:pt idx="2">
                  <c:v>49-40</c:v>
                </c:pt>
                <c:pt idx="3">
                  <c:v>59-50</c:v>
                </c:pt>
                <c:pt idx="4">
                  <c:v>+60</c:v>
                </c:pt>
              </c:strCache>
            </c:strRef>
          </c:cat>
          <c:val>
            <c:numRef>
              <c:f>Sheet1!$C$2:$C$6</c:f>
              <c:numCache>
                <c:formatCode>General</c:formatCode>
                <c:ptCount val="5"/>
                <c:pt idx="0">
                  <c:v>12.7</c:v>
                </c:pt>
                <c:pt idx="1">
                  <c:v>21.9</c:v>
                </c:pt>
                <c:pt idx="2">
                  <c:v>22.6</c:v>
                </c:pt>
                <c:pt idx="3">
                  <c:v>18.7</c:v>
                </c:pt>
                <c:pt idx="4">
                  <c:v>12.3</c:v>
                </c:pt>
              </c:numCache>
            </c:numRef>
          </c:val>
          <c:extLst>
            <c:ext xmlns:c16="http://schemas.microsoft.com/office/drawing/2014/chart" uri="{C3380CC4-5D6E-409C-BE32-E72D297353CC}">
              <c16:uniqueId val="{00000001-FD64-4865-89A6-B27A9581CEB0}"/>
            </c:ext>
          </c:extLst>
        </c:ser>
        <c:dLbls>
          <c:dLblPos val="outEnd"/>
          <c:showLegendKey val="0"/>
          <c:showVal val="1"/>
          <c:showCatName val="0"/>
          <c:showSerName val="0"/>
          <c:showPercent val="0"/>
          <c:showBubbleSize val="0"/>
        </c:dLbls>
        <c:gapWidth val="219"/>
        <c:axId val="664152688"/>
        <c:axId val="664149408"/>
      </c:barChart>
      <c:catAx>
        <c:axId val="664152688"/>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664149408"/>
        <c:crosses val="autoZero"/>
        <c:auto val="1"/>
        <c:lblAlgn val="ctr"/>
        <c:lblOffset val="100"/>
        <c:tickLblSkip val="1"/>
        <c:noMultiLvlLbl val="0"/>
      </c:catAx>
      <c:valAx>
        <c:axId val="664149408"/>
        <c:scaling>
          <c:orientation val="minMax"/>
        </c:scaling>
        <c:delete val="1"/>
        <c:axPos val="l"/>
        <c:numFmt formatCode="General" sourceLinked="1"/>
        <c:majorTickMark val="none"/>
        <c:minorTickMark val="none"/>
        <c:tickLblPos val="nextTo"/>
        <c:crossAx val="664152688"/>
        <c:crosses val="autoZero"/>
        <c:crossBetween val="between"/>
        <c:majorUnit val="10"/>
      </c:valAx>
      <c:spPr>
        <a:noFill/>
        <a:ln>
          <a:noFill/>
        </a:ln>
        <a:effectLst/>
      </c:spPr>
    </c:plotArea>
    <c:legend>
      <c:legendPos val="b"/>
      <c:layout>
        <c:manualLayout>
          <c:xMode val="edge"/>
          <c:yMode val="edge"/>
          <c:x val="0.30069540276537599"/>
          <c:y val="0"/>
          <c:w val="0.31613496766512433"/>
          <c:h val="7.139338860175517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legend>
    <c:plotVisOnly val="1"/>
    <c:dispBlanksAs val="gap"/>
    <c:showDLblsOverMax val="0"/>
  </c:chart>
  <c:spPr>
    <a:solidFill>
      <a:schemeClr val="bg1"/>
    </a:solidFill>
    <a:ln w="9525" cap="flat" cmpd="sng" algn="ctr">
      <a:noFill/>
      <a:round/>
    </a:ln>
    <a:effectLst/>
  </c:spPr>
  <c:txPr>
    <a:bodyPr/>
    <a:lstStyle/>
    <a:p>
      <a:pPr>
        <a:defRPr/>
      </a:pPr>
      <a:endParaRPr lang="ar-S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5242495012272581E-2"/>
          <c:y val="0.13819880444459862"/>
          <c:w val="0.92031303587051616"/>
          <c:h val="0.74119931437141784"/>
        </c:manualLayout>
      </c:layout>
      <c:barChart>
        <c:barDir val="col"/>
        <c:grouping val="clustered"/>
        <c:varyColors val="0"/>
        <c:ser>
          <c:idx val="0"/>
          <c:order val="0"/>
          <c:tx>
            <c:strRef>
              <c:f>Sheet1!$B$1</c:f>
              <c:strCache>
                <c:ptCount val="1"/>
                <c:pt idx="0">
                  <c:v>Series 1</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Pt>
            <c:idx val="0"/>
            <c:invertIfNegative val="0"/>
            <c:bubble3D val="0"/>
            <c:spPr>
              <a:blipFill>
                <a:blip xmlns:r="http://schemas.openxmlformats.org/officeDocument/2006/relationships" r:embed="rId4">
                  <a:alphaModFix amt="97000"/>
                </a:blip>
                <a:stretch>
                  <a:fillRect l="4000"/>
                </a:stretch>
              </a:blipFill>
              <a:ln w="9525" cap="flat" cmpd="sng" algn="ctr">
                <a:solidFill>
                  <a:schemeClr val="accent1">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1-4E8B-4316-BD23-217EBD954ADC}"/>
              </c:ext>
            </c:extLst>
          </c:dPt>
          <c:dPt>
            <c:idx val="1"/>
            <c:invertIfNegative val="0"/>
            <c:bubble3D val="0"/>
            <c:spPr>
              <a:blipFill dpi="0" rotWithShape="1">
                <a:blip xmlns:r="http://schemas.openxmlformats.org/officeDocument/2006/relationships" r:embed="rId5">
                  <a:alphaModFix amt="97000"/>
                </a:blip>
                <a:srcRect/>
                <a:stretch>
                  <a:fillRect l="4000"/>
                </a:stretch>
              </a:blipFill>
              <a:ln w="9525" cap="flat" cmpd="sng" algn="ctr">
                <a:solidFill>
                  <a:schemeClr val="accent1">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3-4E8B-4316-BD23-217EBD954ADC}"/>
              </c:ext>
            </c:extLst>
          </c:dPt>
          <c:dPt>
            <c:idx val="2"/>
            <c:invertIfNegative val="0"/>
            <c:bubble3D val="0"/>
            <c:spPr>
              <a:blipFill>
                <a:blip xmlns:r="http://schemas.openxmlformats.org/officeDocument/2006/relationships" r:embed="rId6">
                  <a:alphaModFix amt="97000"/>
                </a:blip>
                <a:stretch>
                  <a:fillRect l="4000"/>
                </a:stretch>
              </a:blipFill>
              <a:ln w="9525" cap="flat" cmpd="sng" algn="ctr">
                <a:solidFill>
                  <a:schemeClr val="accent1">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5-4E8B-4316-BD23-217EBD954ADC}"/>
              </c:ext>
            </c:extLst>
          </c:dPt>
          <c:dPt>
            <c:idx val="3"/>
            <c:invertIfNegative val="0"/>
            <c:bubble3D val="0"/>
            <c:spPr>
              <a:blipFill>
                <a:blip xmlns:r="http://schemas.openxmlformats.org/officeDocument/2006/relationships" r:embed="rId7">
                  <a:alphaModFix amt="97000"/>
                </a:blip>
                <a:stretch>
                  <a:fillRect l="4000"/>
                </a:stretch>
              </a:blipFill>
              <a:ln w="9525" cap="flat" cmpd="sng" algn="ctr">
                <a:solidFill>
                  <a:schemeClr val="accent1">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7-4E8B-4316-BD23-217EBD954AD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ar-S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Cigarettes and any other type of tobacco</c:v>
                </c:pt>
                <c:pt idx="1">
                  <c:v>Only Cigarettes</c:v>
                </c:pt>
                <c:pt idx="2">
                  <c:v>Only Waterpipe</c:v>
                </c:pt>
                <c:pt idx="3">
                  <c:v>Other types*</c:v>
                </c:pt>
              </c:strCache>
            </c:strRef>
          </c:cat>
          <c:val>
            <c:numRef>
              <c:f>Sheet1!$B$2:$B$5</c:f>
              <c:numCache>
                <c:formatCode>General</c:formatCode>
                <c:ptCount val="4"/>
                <c:pt idx="0" formatCode="0.0">
                  <c:v>79</c:v>
                </c:pt>
                <c:pt idx="1">
                  <c:v>74.3</c:v>
                </c:pt>
                <c:pt idx="2">
                  <c:v>20.8</c:v>
                </c:pt>
                <c:pt idx="3">
                  <c:v>0.5</c:v>
                </c:pt>
              </c:numCache>
            </c:numRef>
          </c:val>
          <c:extLst>
            <c:ext xmlns:c16="http://schemas.microsoft.com/office/drawing/2014/chart" uri="{C3380CC4-5D6E-409C-BE32-E72D297353CC}">
              <c16:uniqueId val="{00000008-4E8B-4316-BD23-217EBD954ADC}"/>
            </c:ext>
          </c:extLst>
        </c:ser>
        <c:dLbls>
          <c:dLblPos val="outEnd"/>
          <c:showLegendKey val="0"/>
          <c:showVal val="1"/>
          <c:showCatName val="0"/>
          <c:showSerName val="0"/>
          <c:showPercent val="0"/>
          <c:showBubbleSize val="0"/>
        </c:dLbls>
        <c:gapWidth val="100"/>
        <c:overlap val="-14"/>
        <c:axId val="782068728"/>
        <c:axId val="782071024"/>
      </c:barChart>
      <c:catAx>
        <c:axId val="782068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ar-SA"/>
          </a:p>
        </c:txPr>
        <c:crossAx val="782071024"/>
        <c:crossesAt val="0"/>
        <c:auto val="1"/>
        <c:lblAlgn val="ctr"/>
        <c:lblOffset val="100"/>
        <c:noMultiLvlLbl val="0"/>
      </c:catAx>
      <c:valAx>
        <c:axId val="782071024"/>
        <c:scaling>
          <c:orientation val="minMax"/>
          <c:max val="80"/>
          <c:min val="0"/>
        </c:scaling>
        <c:delete val="1"/>
        <c:axPos val="l"/>
        <c:numFmt formatCode="0.0" sourceLinked="1"/>
        <c:majorTickMark val="none"/>
        <c:minorTickMark val="none"/>
        <c:tickLblPos val="nextTo"/>
        <c:crossAx val="782068728"/>
        <c:crosses val="autoZero"/>
        <c:crossBetween val="between"/>
        <c:majorUnit val="10"/>
        <c:minorUnit val="0.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ar-SA"/>
    </a:p>
  </c:txPr>
  <c:externalData r:id="rId8">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264810849393291"/>
          <c:y val="8.9979651419976991E-2"/>
          <c:w val="0.3725559358613364"/>
          <c:h val="0.91002034858002301"/>
        </c:manualLayout>
      </c:layout>
      <c:pieChart>
        <c:varyColors val="1"/>
        <c:ser>
          <c:idx val="0"/>
          <c:order val="0"/>
          <c:tx>
            <c:strRef>
              <c:f>Sheet1!$B$1</c:f>
              <c:strCache>
                <c:ptCount val="1"/>
                <c:pt idx="0">
                  <c:v>التوزيع النسبي لاستخدام الأرجيلة حسب فئات العمر</c:v>
                </c:pt>
              </c:strCache>
            </c:strRef>
          </c:tx>
          <c:dPt>
            <c:idx val="0"/>
            <c:bubble3D val="0"/>
            <c:spPr>
              <a:pattFill prst="dkUpDiag">
                <a:fgClr>
                  <a:srgbClr val="00B0F0"/>
                </a:fgClr>
                <a:bgClr>
                  <a:schemeClr val="bg1"/>
                </a:bgClr>
              </a:pattFill>
              <a:ln w="19050">
                <a:solidFill>
                  <a:schemeClr val="lt1"/>
                </a:solidFill>
              </a:ln>
              <a:effectLst/>
            </c:spPr>
            <c:extLst>
              <c:ext xmlns:c16="http://schemas.microsoft.com/office/drawing/2014/chart" uri="{C3380CC4-5D6E-409C-BE32-E72D297353CC}">
                <c16:uniqueId val="{00000001-1282-401C-89D8-81DA49D72201}"/>
              </c:ext>
            </c:extLst>
          </c:dPt>
          <c:dPt>
            <c:idx val="1"/>
            <c:bubble3D val="0"/>
            <c:spPr>
              <a:pattFill prst="dkVert">
                <a:fgClr>
                  <a:srgbClr val="FFC000"/>
                </a:fgClr>
                <a:bgClr>
                  <a:schemeClr val="bg1"/>
                </a:bgClr>
              </a:pattFill>
              <a:ln w="19050">
                <a:solidFill>
                  <a:schemeClr val="lt1"/>
                </a:solidFill>
              </a:ln>
              <a:effectLst/>
            </c:spPr>
            <c:extLst>
              <c:ext xmlns:c16="http://schemas.microsoft.com/office/drawing/2014/chart" uri="{C3380CC4-5D6E-409C-BE32-E72D297353CC}">
                <c16:uniqueId val="{00000003-1282-401C-89D8-81DA49D72201}"/>
              </c:ext>
            </c:extLst>
          </c:dPt>
          <c:dPt>
            <c:idx val="2"/>
            <c:bubble3D val="0"/>
            <c:spPr>
              <a:pattFill prst="pct25">
                <a:fgClr>
                  <a:srgbClr val="00B0F0"/>
                </a:fgClr>
                <a:bgClr>
                  <a:schemeClr val="bg1"/>
                </a:bgClr>
              </a:pattFill>
              <a:ln w="19050">
                <a:solidFill>
                  <a:schemeClr val="lt1"/>
                </a:solidFill>
              </a:ln>
              <a:effectLst/>
            </c:spPr>
            <c:extLst>
              <c:ext xmlns:c16="http://schemas.microsoft.com/office/drawing/2014/chart" uri="{C3380CC4-5D6E-409C-BE32-E72D297353CC}">
                <c16:uniqueId val="{00000005-1282-401C-89D8-81DA49D72201}"/>
              </c:ext>
            </c:extLst>
          </c:dPt>
          <c:dPt>
            <c:idx val="3"/>
            <c:bubble3D val="0"/>
            <c:spPr>
              <a:pattFill prst="horzBrick">
                <a:fgClr>
                  <a:schemeClr val="accent2">
                    <a:lumMod val="60000"/>
                    <a:lumOff val="40000"/>
                  </a:schemeClr>
                </a:fgClr>
                <a:bgClr>
                  <a:schemeClr val="bg1"/>
                </a:bgClr>
              </a:pattFill>
              <a:ln w="19050">
                <a:solidFill>
                  <a:schemeClr val="lt1"/>
                </a:solidFill>
              </a:ln>
              <a:effectLst/>
            </c:spPr>
            <c:extLst>
              <c:ext xmlns:c16="http://schemas.microsoft.com/office/drawing/2014/chart" uri="{C3380CC4-5D6E-409C-BE32-E72D297353CC}">
                <c16:uniqueId val="{00000007-1282-401C-89D8-81DA49D72201}"/>
              </c:ext>
            </c:extLst>
          </c:dPt>
          <c:dPt>
            <c:idx val="4"/>
            <c:bubble3D val="0"/>
            <c:spPr>
              <a:pattFill prst="solidDmnd">
                <a:fgClr>
                  <a:srgbClr val="7030A0"/>
                </a:fgClr>
                <a:bgClr>
                  <a:schemeClr val="bg1"/>
                </a:bgClr>
              </a:pattFill>
              <a:ln w="19050">
                <a:solidFill>
                  <a:schemeClr val="lt1"/>
                </a:solidFill>
              </a:ln>
              <a:effectLst/>
            </c:spPr>
            <c:extLst>
              <c:ext xmlns:c16="http://schemas.microsoft.com/office/drawing/2014/chart" uri="{C3380CC4-5D6E-409C-BE32-E72D297353CC}">
                <c16:uniqueId val="{00000009-1282-401C-89D8-81DA49D72201}"/>
              </c:ext>
            </c:extLst>
          </c:dPt>
          <c:dLbls>
            <c:dLbl>
              <c:idx val="0"/>
              <c:layout>
                <c:manualLayout>
                  <c:x val="-1.7008589835361489E-2"/>
                  <c:y val="-3.228110531127429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282-401C-89D8-81DA49D72201}"/>
                </c:ext>
              </c:extLst>
            </c:dLbl>
            <c:dLbl>
              <c:idx val="1"/>
              <c:layout>
                <c:manualLayout>
                  <c:x val="-1.5801240753996658E-2"/>
                  <c:y val="-0.11996225190952255"/>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282-401C-89D8-81DA49D72201}"/>
                </c:ext>
              </c:extLst>
            </c:dLbl>
            <c:dLbl>
              <c:idx val="2"/>
              <c:layout>
                <c:manualLayout>
                  <c:x val="1.4607253638749701E-2"/>
                  <c:y val="6.96121973517355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282-401C-89D8-81DA49D72201}"/>
                </c:ext>
              </c:extLst>
            </c:dLbl>
            <c:dLbl>
              <c:idx val="3"/>
              <c:layout>
                <c:manualLayout>
                  <c:x val="1.3250298258172274E-2"/>
                  <c:y val="5.617977528089887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282-401C-89D8-81DA49D72201}"/>
                </c:ext>
              </c:extLst>
            </c:dLbl>
            <c:dLbl>
              <c:idx val="4"/>
              <c:layout>
                <c:manualLayout>
                  <c:x val="6.7094158140412093E-3"/>
                  <c:y val="1.996007984031936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282-401C-89D8-81DA49D7220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ar-SA"/>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29-18</c:v>
                </c:pt>
                <c:pt idx="1">
                  <c:v>39-30</c:v>
                </c:pt>
                <c:pt idx="2">
                  <c:v>49-40</c:v>
                </c:pt>
                <c:pt idx="3">
                  <c:v>59-50</c:v>
                </c:pt>
                <c:pt idx="4">
                  <c:v>+60</c:v>
                </c:pt>
              </c:strCache>
            </c:strRef>
          </c:cat>
          <c:val>
            <c:numRef>
              <c:f>Sheet1!$B$2:$B$6</c:f>
              <c:numCache>
                <c:formatCode>0.0</c:formatCode>
                <c:ptCount val="5"/>
                <c:pt idx="0">
                  <c:v>49</c:v>
                </c:pt>
                <c:pt idx="1">
                  <c:v>25</c:v>
                </c:pt>
                <c:pt idx="2" formatCode="General">
                  <c:v>16.3</c:v>
                </c:pt>
                <c:pt idx="3" formatCode="General">
                  <c:v>7.6</c:v>
                </c:pt>
                <c:pt idx="4" formatCode="General">
                  <c:v>2.1</c:v>
                </c:pt>
              </c:numCache>
            </c:numRef>
          </c:val>
          <c:extLst>
            <c:ext xmlns:c16="http://schemas.microsoft.com/office/drawing/2014/chart" uri="{C3380CC4-5D6E-409C-BE32-E72D297353CC}">
              <c16:uniqueId val="{0000000A-1282-401C-89D8-81DA49D72201}"/>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6186038788946997"/>
          <c:y val="0.15518694893677212"/>
          <c:w val="0.13432777107241156"/>
          <c:h val="0.6736574095902683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ar-SA"/>
        </a:p>
      </c:txPr>
    </c:legend>
    <c:plotVisOnly val="1"/>
    <c:dispBlanksAs val="gap"/>
    <c:showDLblsOverMax val="0"/>
  </c:chart>
  <c:spPr>
    <a:solidFill>
      <a:schemeClr val="bg1"/>
    </a:solidFill>
    <a:ln w="9525" cap="flat" cmpd="sng" algn="ctr">
      <a:noFill/>
      <a:round/>
    </a:ln>
    <a:effectLst/>
  </c:spPr>
  <c:txPr>
    <a:bodyPr/>
    <a:lstStyle/>
    <a:p>
      <a:pPr>
        <a:defRPr/>
      </a:pPr>
      <a:endParaRPr lang="ar-S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6562306844750207E-2"/>
          <c:y val="0.21775308275144853"/>
          <c:w val="0.89793143604489711"/>
          <c:h val="0.6488767916356134"/>
        </c:manualLayout>
      </c:layout>
      <c:barChart>
        <c:barDir val="col"/>
        <c:grouping val="clustered"/>
        <c:varyColors val="0"/>
        <c:ser>
          <c:idx val="0"/>
          <c:order val="0"/>
          <c:tx>
            <c:strRef>
              <c:f>Sheet1!$B$1</c:f>
              <c:strCache>
                <c:ptCount val="1"/>
                <c:pt idx="0">
                  <c:v>West Bank</c:v>
                </c:pt>
              </c:strCache>
            </c:strRef>
          </c:tx>
          <c:spPr>
            <a:solidFill>
              <a:schemeClr val="accent6">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Home</c:v>
                </c:pt>
                <c:pt idx="1">
                  <c:v>Public Transportation</c:v>
                </c:pt>
                <c:pt idx="2">
                  <c:v>workplace</c:v>
                </c:pt>
              </c:strCache>
            </c:strRef>
          </c:cat>
          <c:val>
            <c:numRef>
              <c:f>Sheet1!$B$2:$B$4</c:f>
              <c:numCache>
                <c:formatCode>General</c:formatCode>
                <c:ptCount val="3"/>
                <c:pt idx="0">
                  <c:v>72.099999999999994</c:v>
                </c:pt>
                <c:pt idx="1">
                  <c:v>60.7</c:v>
                </c:pt>
                <c:pt idx="2">
                  <c:v>64.400000000000006</c:v>
                </c:pt>
              </c:numCache>
            </c:numRef>
          </c:val>
          <c:extLst>
            <c:ext xmlns:c16="http://schemas.microsoft.com/office/drawing/2014/chart" uri="{C3380CC4-5D6E-409C-BE32-E72D297353CC}">
              <c16:uniqueId val="{00000000-D155-43D2-B81C-D802BE59FC39}"/>
            </c:ext>
          </c:extLst>
        </c:ser>
        <c:ser>
          <c:idx val="1"/>
          <c:order val="1"/>
          <c:tx>
            <c:strRef>
              <c:f>Sheet1!$C$1</c:f>
              <c:strCache>
                <c:ptCount val="1"/>
                <c:pt idx="0">
                  <c:v>Gaza Strip</c:v>
                </c:pt>
              </c:strCache>
            </c:strRef>
          </c:tx>
          <c:spPr>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Home</c:v>
                </c:pt>
                <c:pt idx="1">
                  <c:v>Public Transportation</c:v>
                </c:pt>
                <c:pt idx="2">
                  <c:v>workplace</c:v>
                </c:pt>
              </c:strCache>
            </c:strRef>
          </c:cat>
          <c:val>
            <c:numRef>
              <c:f>Sheet1!$C$2:$C$4</c:f>
              <c:numCache>
                <c:formatCode>General</c:formatCode>
                <c:ptCount val="3"/>
                <c:pt idx="0">
                  <c:v>51.1</c:v>
                </c:pt>
                <c:pt idx="1">
                  <c:v>73.5</c:v>
                </c:pt>
                <c:pt idx="2">
                  <c:v>42.2</c:v>
                </c:pt>
              </c:numCache>
            </c:numRef>
          </c:val>
          <c:extLst>
            <c:ext xmlns:c16="http://schemas.microsoft.com/office/drawing/2014/chart" uri="{C3380CC4-5D6E-409C-BE32-E72D297353CC}">
              <c16:uniqueId val="{00000001-D155-43D2-B81C-D802BE59FC39}"/>
            </c:ext>
          </c:extLst>
        </c:ser>
        <c:ser>
          <c:idx val="2"/>
          <c:order val="2"/>
          <c:tx>
            <c:strRef>
              <c:f>Sheet1!$D$1</c:f>
              <c:strCache>
                <c:ptCount val="1"/>
                <c:pt idx="0">
                  <c:v>Palestine</c:v>
                </c:pt>
              </c:strCache>
            </c:strRef>
          </c:tx>
          <c:spPr>
            <a:solidFill>
              <a:srgbClr val="A591BD"/>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Home</c:v>
                </c:pt>
                <c:pt idx="1">
                  <c:v>Public Transportation</c:v>
                </c:pt>
                <c:pt idx="2">
                  <c:v>workplace</c:v>
                </c:pt>
              </c:strCache>
            </c:strRef>
          </c:cat>
          <c:val>
            <c:numRef>
              <c:f>Sheet1!$D$2:$D$4</c:f>
              <c:numCache>
                <c:formatCode>0.0</c:formatCode>
                <c:ptCount val="3"/>
                <c:pt idx="0" formatCode="General">
                  <c:v>64.099999999999994</c:v>
                </c:pt>
                <c:pt idx="1">
                  <c:v>66.3</c:v>
                </c:pt>
                <c:pt idx="2" formatCode="General">
                  <c:v>58.4</c:v>
                </c:pt>
              </c:numCache>
            </c:numRef>
          </c:val>
          <c:extLst>
            <c:ext xmlns:c16="http://schemas.microsoft.com/office/drawing/2014/chart" uri="{C3380CC4-5D6E-409C-BE32-E72D297353CC}">
              <c16:uniqueId val="{00000002-D155-43D2-B81C-D802BE59FC39}"/>
            </c:ext>
          </c:extLst>
        </c:ser>
        <c:dLbls>
          <c:dLblPos val="outEnd"/>
          <c:showLegendKey val="0"/>
          <c:showVal val="1"/>
          <c:showCatName val="0"/>
          <c:showSerName val="0"/>
          <c:showPercent val="0"/>
          <c:showBubbleSize val="0"/>
        </c:dLbls>
        <c:gapWidth val="100"/>
        <c:overlap val="-5"/>
        <c:axId val="252452848"/>
        <c:axId val="252454816"/>
      </c:barChart>
      <c:catAx>
        <c:axId val="2524528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ar-SA"/>
          </a:p>
        </c:txPr>
        <c:crossAx val="252454816"/>
        <c:crosses val="autoZero"/>
        <c:auto val="1"/>
        <c:lblAlgn val="ctr"/>
        <c:lblOffset val="100"/>
        <c:tickLblSkip val="1"/>
        <c:noMultiLvlLbl val="0"/>
      </c:catAx>
      <c:valAx>
        <c:axId val="2524548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2524528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legend>
    <c:plotVisOnly val="1"/>
    <c:dispBlanksAs val="gap"/>
    <c:showDLblsOverMax val="0"/>
  </c:chart>
  <c:spPr>
    <a:solidFill>
      <a:schemeClr val="bg1"/>
    </a:solidFill>
    <a:ln w="9525" cap="flat" cmpd="sng" algn="ctr">
      <a:noFill/>
      <a:round/>
    </a:ln>
    <a:effectLst/>
  </c:spPr>
  <c:txPr>
    <a:bodyPr/>
    <a:lstStyle/>
    <a:p>
      <a:pPr>
        <a:defRPr/>
      </a:pPr>
      <a:endParaRPr lang="ar-S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6D7AF-1478-482A-9A37-A32343D7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Riham Mousa</dc:creator>
  <cp:keywords/>
  <dc:description/>
  <cp:lastModifiedBy>LOAY SHEHADEH</cp:lastModifiedBy>
  <cp:revision>5</cp:revision>
  <cp:lastPrinted>2022-05-31T05:16:00Z</cp:lastPrinted>
  <dcterms:created xsi:type="dcterms:W3CDTF">2022-05-31T05:17:00Z</dcterms:created>
  <dcterms:modified xsi:type="dcterms:W3CDTF">2022-05-31T05:35:00Z</dcterms:modified>
</cp:coreProperties>
</file>