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18B" w:rsidRPr="00010E1A" w:rsidRDefault="0084218B" w:rsidP="0084218B">
      <w:pPr>
        <w:pStyle w:val="Title"/>
        <w:rPr>
          <w:szCs w:val="24"/>
          <w:rtl/>
          <w:lang w:val="en-US" w:bidi="ar-SA"/>
        </w:rPr>
      </w:pPr>
    </w:p>
    <w:p w:rsidR="0084218B" w:rsidRPr="00010E1A" w:rsidRDefault="00223824" w:rsidP="0084218B">
      <w:pPr>
        <w:jc w:val="center"/>
        <w:rPr>
          <w:noProof/>
          <w:sz w:val="20"/>
          <w:szCs w:val="20"/>
          <w:rtl/>
          <w:lang w:val="en-GB" w:eastAsia="en-GB"/>
        </w:rPr>
      </w:pPr>
      <w:r w:rsidRPr="00010E1A">
        <w:rPr>
          <w:noProof/>
          <w:sz w:val="20"/>
          <w:szCs w:val="20"/>
          <w:rtl/>
          <w:lang w:eastAsia="en-US"/>
        </w:rPr>
        <w:drawing>
          <wp:inline distT="0" distB="0" distL="0" distR="0">
            <wp:extent cx="928316" cy="1180214"/>
            <wp:effectExtent l="19050" t="0" r="5134"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927124" cy="1178699"/>
                    </a:xfrm>
                    <a:prstGeom prst="rect">
                      <a:avLst/>
                    </a:prstGeom>
                    <a:noFill/>
                    <a:ln w="9525">
                      <a:noFill/>
                      <a:miter lim="800000"/>
                      <a:headEnd/>
                      <a:tailEnd/>
                    </a:ln>
                  </pic:spPr>
                </pic:pic>
              </a:graphicData>
            </a:graphic>
          </wp:inline>
        </w:drawing>
      </w:r>
    </w:p>
    <w:p w:rsidR="00223824" w:rsidRPr="00010E1A" w:rsidRDefault="00223824" w:rsidP="0084218B">
      <w:pPr>
        <w:jc w:val="center"/>
        <w:rPr>
          <w:sz w:val="20"/>
          <w:szCs w:val="20"/>
          <w:lang w:eastAsia="en-US"/>
        </w:rPr>
      </w:pPr>
    </w:p>
    <w:p w:rsidR="0084218B" w:rsidRPr="00010E1A" w:rsidRDefault="00D02A01" w:rsidP="00291076">
      <w:pPr>
        <w:pStyle w:val="Heading6"/>
        <w:rPr>
          <w:rFonts w:cs="Times New Roman"/>
          <w:sz w:val="48"/>
          <w:szCs w:val="48"/>
          <w:rtl/>
          <w:lang w:bidi="ar-SA"/>
        </w:rPr>
      </w:pPr>
      <w:r>
        <w:rPr>
          <w:rFonts w:cs="Times New Roman"/>
          <w:sz w:val="48"/>
          <w:szCs w:val="48"/>
        </w:rPr>
        <w:t>S</w:t>
      </w:r>
      <w:r w:rsidR="00291076" w:rsidRPr="00010E1A">
        <w:rPr>
          <w:rFonts w:cs="Times New Roman"/>
          <w:sz w:val="48"/>
          <w:szCs w:val="48"/>
        </w:rPr>
        <w:t>tate of Palestine</w:t>
      </w:r>
    </w:p>
    <w:p w:rsidR="0084218B" w:rsidRPr="00010E1A" w:rsidRDefault="0084218B" w:rsidP="0084218B">
      <w:pPr>
        <w:pStyle w:val="Heading3"/>
        <w:bidi w:val="0"/>
        <w:rPr>
          <w:sz w:val="52"/>
          <w:szCs w:val="52"/>
          <w:u w:val="none"/>
          <w:rtl/>
          <w:lang w:val="en-US" w:bidi="ar-SA"/>
        </w:rPr>
      </w:pPr>
      <w:r w:rsidRPr="00010E1A">
        <w:rPr>
          <w:sz w:val="52"/>
          <w:szCs w:val="52"/>
          <w:u w:val="none"/>
        </w:rPr>
        <w:t>Palestinian Central Bureau of Statistics</w:t>
      </w:r>
    </w:p>
    <w:p w:rsidR="0084218B" w:rsidRPr="00010E1A" w:rsidRDefault="0084218B" w:rsidP="0084218B">
      <w:pPr>
        <w:bidi w:val="0"/>
        <w:jc w:val="center"/>
        <w:rPr>
          <w:b/>
          <w:bCs/>
        </w:rPr>
      </w:pPr>
    </w:p>
    <w:p w:rsidR="0084218B" w:rsidRPr="00010E1A" w:rsidRDefault="0084218B" w:rsidP="0084218B">
      <w:pPr>
        <w:bidi w:val="0"/>
        <w:jc w:val="center"/>
        <w:rPr>
          <w:b/>
          <w:bCs/>
        </w:rPr>
      </w:pPr>
    </w:p>
    <w:p w:rsidR="0084218B" w:rsidRPr="00010E1A" w:rsidRDefault="0084218B" w:rsidP="0084218B">
      <w:pPr>
        <w:bidi w:val="0"/>
        <w:jc w:val="center"/>
        <w:rPr>
          <w:b/>
          <w:bCs/>
        </w:rPr>
      </w:pPr>
    </w:p>
    <w:p w:rsidR="0084218B" w:rsidRPr="00010E1A" w:rsidRDefault="0084218B" w:rsidP="0084218B">
      <w:pPr>
        <w:bidi w:val="0"/>
        <w:jc w:val="center"/>
        <w:rPr>
          <w:b/>
          <w:bCs/>
        </w:rPr>
      </w:pPr>
    </w:p>
    <w:p w:rsidR="0084218B" w:rsidRPr="00010E1A" w:rsidRDefault="0084218B" w:rsidP="0084218B">
      <w:pPr>
        <w:bidi w:val="0"/>
        <w:jc w:val="center"/>
        <w:rPr>
          <w:b/>
          <w:bCs/>
        </w:rPr>
      </w:pPr>
    </w:p>
    <w:p w:rsidR="0084218B" w:rsidRPr="00010E1A" w:rsidRDefault="0084218B" w:rsidP="0084218B">
      <w:pPr>
        <w:bidi w:val="0"/>
        <w:jc w:val="center"/>
        <w:rPr>
          <w:b/>
          <w:bCs/>
        </w:rPr>
      </w:pPr>
    </w:p>
    <w:p w:rsidR="0084218B" w:rsidRPr="00010E1A" w:rsidRDefault="0084218B" w:rsidP="0084218B">
      <w:pPr>
        <w:bidi w:val="0"/>
        <w:jc w:val="center"/>
        <w:rPr>
          <w:b/>
          <w:bCs/>
        </w:rPr>
      </w:pPr>
    </w:p>
    <w:p w:rsidR="0084218B" w:rsidRPr="00010E1A" w:rsidRDefault="0084218B" w:rsidP="0084218B">
      <w:pPr>
        <w:bidi w:val="0"/>
        <w:jc w:val="center"/>
        <w:rPr>
          <w:b/>
          <w:bCs/>
        </w:rPr>
      </w:pPr>
    </w:p>
    <w:p w:rsidR="0084218B" w:rsidRPr="00010E1A" w:rsidRDefault="0084218B" w:rsidP="0084218B">
      <w:pPr>
        <w:bidi w:val="0"/>
        <w:jc w:val="center"/>
        <w:rPr>
          <w:b/>
          <w:bCs/>
        </w:rPr>
      </w:pPr>
    </w:p>
    <w:p w:rsidR="0084218B" w:rsidRPr="00010E1A" w:rsidRDefault="0084218B" w:rsidP="0084218B">
      <w:pPr>
        <w:bidi w:val="0"/>
        <w:jc w:val="center"/>
        <w:rPr>
          <w:b/>
          <w:bCs/>
        </w:rPr>
      </w:pPr>
    </w:p>
    <w:p w:rsidR="0084218B" w:rsidRPr="00010E1A" w:rsidRDefault="0084218B" w:rsidP="0084218B">
      <w:pPr>
        <w:bidi w:val="0"/>
        <w:jc w:val="center"/>
        <w:rPr>
          <w:b/>
          <w:bCs/>
        </w:rPr>
      </w:pPr>
    </w:p>
    <w:p w:rsidR="0084218B" w:rsidRPr="00010E1A" w:rsidRDefault="0084218B" w:rsidP="0084218B">
      <w:pPr>
        <w:pStyle w:val="Heading1"/>
        <w:ind w:hanging="334"/>
        <w:jc w:val="center"/>
        <w:rPr>
          <w:rFonts w:ascii="Times New Roman" w:hAnsi="Times New Roman" w:cs="Times New Roman"/>
          <w:sz w:val="40"/>
          <w:szCs w:val="40"/>
          <w:lang w:val="en-US" w:bidi="ar-SA"/>
        </w:rPr>
      </w:pPr>
      <w:r w:rsidRPr="00010E1A">
        <w:rPr>
          <w:rFonts w:ascii="Times New Roman" w:hAnsi="Times New Roman" w:cs="Times New Roman"/>
          <w:sz w:val="40"/>
          <w:szCs w:val="40"/>
          <w:lang w:val="en-US" w:bidi="ar-SA"/>
        </w:rPr>
        <w:t>Press Report</w:t>
      </w:r>
    </w:p>
    <w:p w:rsidR="0084218B" w:rsidRPr="00010E1A" w:rsidRDefault="0084218B" w:rsidP="0084218B">
      <w:pPr>
        <w:pStyle w:val="Heading1"/>
        <w:ind w:hanging="334"/>
        <w:jc w:val="center"/>
        <w:rPr>
          <w:rFonts w:ascii="Times New Roman" w:hAnsi="Times New Roman" w:cs="Times New Roman"/>
          <w:sz w:val="40"/>
          <w:szCs w:val="40"/>
          <w:lang w:val="en-US" w:bidi="ar-SA"/>
        </w:rPr>
      </w:pPr>
      <w:r w:rsidRPr="00010E1A">
        <w:rPr>
          <w:rFonts w:ascii="Times New Roman" w:hAnsi="Times New Roman" w:cs="Times New Roman"/>
          <w:sz w:val="40"/>
          <w:szCs w:val="40"/>
          <w:lang w:val="en-US" w:bidi="ar-SA"/>
        </w:rPr>
        <w:t xml:space="preserve">Preliminary Estimates of </w:t>
      </w:r>
      <w:r w:rsidRPr="00010E1A">
        <w:rPr>
          <w:rFonts w:ascii="Times New Roman" w:hAnsi="Times New Roman" w:cs="Times New Roman"/>
          <w:sz w:val="40"/>
          <w:szCs w:val="40"/>
        </w:rPr>
        <w:t xml:space="preserve">Quarterly National Accounts </w:t>
      </w:r>
    </w:p>
    <w:p w:rsidR="0084218B" w:rsidRPr="00010E1A" w:rsidRDefault="0084218B" w:rsidP="00D42E4C">
      <w:pPr>
        <w:pStyle w:val="Heading1"/>
        <w:ind w:hanging="334"/>
        <w:jc w:val="center"/>
        <w:rPr>
          <w:rFonts w:ascii="Times New Roman" w:hAnsi="Times New Roman" w:cs="Times New Roman"/>
          <w:sz w:val="40"/>
          <w:szCs w:val="40"/>
          <w:rtl/>
          <w:lang w:val="en-US"/>
        </w:rPr>
      </w:pPr>
      <w:r w:rsidRPr="00010E1A">
        <w:rPr>
          <w:rFonts w:ascii="Times New Roman" w:hAnsi="Times New Roman" w:cs="Times New Roman"/>
          <w:sz w:val="40"/>
          <w:szCs w:val="40"/>
        </w:rPr>
        <w:t>(</w:t>
      </w:r>
      <w:r w:rsidR="007B2FBF">
        <w:rPr>
          <w:rFonts w:ascii="Times New Roman" w:hAnsi="Times New Roman" w:cs="Times New Roman"/>
          <w:sz w:val="40"/>
          <w:szCs w:val="40"/>
          <w:lang w:val="en-US"/>
        </w:rPr>
        <w:t>First</w:t>
      </w:r>
      <w:r w:rsidRPr="00010E1A">
        <w:rPr>
          <w:rFonts w:ascii="Times New Roman" w:hAnsi="Times New Roman" w:cs="Times New Roman"/>
          <w:sz w:val="40"/>
          <w:szCs w:val="40"/>
          <w:lang w:val="en-US"/>
        </w:rPr>
        <w:t xml:space="preserve"> Quarter</w:t>
      </w:r>
      <w:r w:rsidRPr="00010E1A">
        <w:rPr>
          <w:rFonts w:ascii="Times New Roman" w:hAnsi="Times New Roman" w:cs="Times New Roman"/>
          <w:sz w:val="40"/>
          <w:szCs w:val="40"/>
        </w:rPr>
        <w:t xml:space="preserve"> </w:t>
      </w:r>
      <w:r w:rsidR="00D42E4C">
        <w:rPr>
          <w:rFonts w:ascii="Times New Roman" w:hAnsi="Times New Roman" w:cs="Times New Roman"/>
          <w:sz w:val="40"/>
          <w:szCs w:val="40"/>
        </w:rPr>
        <w:t>2025</w:t>
      </w:r>
      <w:r w:rsidRPr="00010E1A">
        <w:rPr>
          <w:rFonts w:ascii="Times New Roman" w:hAnsi="Times New Roman" w:cs="Times New Roman"/>
          <w:sz w:val="40"/>
          <w:szCs w:val="40"/>
        </w:rPr>
        <w:t>)</w:t>
      </w:r>
    </w:p>
    <w:p w:rsidR="0084218B" w:rsidRPr="00010E1A" w:rsidRDefault="0084218B" w:rsidP="0084218B">
      <w:pPr>
        <w:pStyle w:val="Heading1"/>
        <w:jc w:val="center"/>
        <w:rPr>
          <w:rFonts w:ascii="Times New Roman" w:hAnsi="Times New Roman" w:cs="Times New Roman"/>
          <w:sz w:val="40"/>
          <w:szCs w:val="40"/>
          <w:rtl/>
          <w:lang w:val="en-US"/>
        </w:rPr>
      </w:pPr>
    </w:p>
    <w:p w:rsidR="0084218B" w:rsidRPr="00010E1A" w:rsidRDefault="0084218B" w:rsidP="0084218B">
      <w:pPr>
        <w:pStyle w:val="Title"/>
        <w:jc w:val="lowKashida"/>
        <w:rPr>
          <w:szCs w:val="24"/>
          <w:rtl/>
          <w:lang w:val="en-US"/>
        </w:rPr>
      </w:pPr>
    </w:p>
    <w:p w:rsidR="0084218B" w:rsidRPr="00010E1A" w:rsidRDefault="0084218B" w:rsidP="0084218B">
      <w:pPr>
        <w:bidi w:val="0"/>
        <w:rPr>
          <w:rtl/>
        </w:rPr>
      </w:pPr>
    </w:p>
    <w:p w:rsidR="0084218B" w:rsidRPr="00010E1A" w:rsidRDefault="0084218B" w:rsidP="0084218B">
      <w:pPr>
        <w:bidi w:val="0"/>
        <w:rPr>
          <w:rtl/>
        </w:rPr>
      </w:pPr>
    </w:p>
    <w:p w:rsidR="0084218B" w:rsidRPr="00010E1A" w:rsidRDefault="0084218B" w:rsidP="0084218B">
      <w:pPr>
        <w:bidi w:val="0"/>
        <w:rPr>
          <w:rtl/>
        </w:rPr>
      </w:pPr>
    </w:p>
    <w:p w:rsidR="0084218B" w:rsidRPr="00010E1A" w:rsidRDefault="0084218B" w:rsidP="0084218B">
      <w:pPr>
        <w:bidi w:val="0"/>
        <w:rPr>
          <w:rtl/>
        </w:rPr>
      </w:pPr>
    </w:p>
    <w:p w:rsidR="0084218B" w:rsidRPr="00010E1A" w:rsidRDefault="0084218B" w:rsidP="0084218B">
      <w:pPr>
        <w:bidi w:val="0"/>
        <w:rPr>
          <w:rtl/>
        </w:rPr>
      </w:pPr>
    </w:p>
    <w:p w:rsidR="0084218B" w:rsidRPr="00010E1A" w:rsidRDefault="0084218B" w:rsidP="0084218B">
      <w:pPr>
        <w:bidi w:val="0"/>
        <w:rPr>
          <w:rtl/>
        </w:rPr>
      </w:pPr>
    </w:p>
    <w:p w:rsidR="0084218B" w:rsidRPr="00010E1A" w:rsidRDefault="0084218B" w:rsidP="0084218B">
      <w:pPr>
        <w:pStyle w:val="Title"/>
        <w:rPr>
          <w:szCs w:val="24"/>
          <w:lang w:val="en-US"/>
        </w:rPr>
      </w:pPr>
    </w:p>
    <w:p w:rsidR="0084218B" w:rsidRPr="00010E1A" w:rsidRDefault="0084218B" w:rsidP="0084218B">
      <w:pPr>
        <w:bidi w:val="0"/>
        <w:rPr>
          <w:lang w:bidi="ar-JO"/>
        </w:rPr>
      </w:pPr>
    </w:p>
    <w:p w:rsidR="0084218B" w:rsidRPr="00010E1A" w:rsidRDefault="0084218B" w:rsidP="0084218B">
      <w:pPr>
        <w:bidi w:val="0"/>
        <w:rPr>
          <w:rtl/>
          <w:lang w:bidi="ar-JO"/>
        </w:rPr>
      </w:pPr>
    </w:p>
    <w:p w:rsidR="0084218B" w:rsidRPr="00010E1A" w:rsidRDefault="0084218B" w:rsidP="0084218B">
      <w:pPr>
        <w:jc w:val="right"/>
        <w:rPr>
          <w:rtl/>
        </w:rPr>
      </w:pPr>
    </w:p>
    <w:p w:rsidR="0084218B" w:rsidRPr="00010E1A" w:rsidRDefault="0084218B" w:rsidP="0084218B">
      <w:pPr>
        <w:jc w:val="right"/>
      </w:pPr>
    </w:p>
    <w:p w:rsidR="0084218B" w:rsidRPr="00010E1A" w:rsidRDefault="0084218B" w:rsidP="0084218B">
      <w:pPr>
        <w:jc w:val="right"/>
        <w:rPr>
          <w:lang w:bidi="ar-JO"/>
        </w:rPr>
      </w:pPr>
    </w:p>
    <w:p w:rsidR="00312B25" w:rsidRPr="00010E1A" w:rsidRDefault="00312B25" w:rsidP="0084218B">
      <w:pPr>
        <w:jc w:val="right"/>
        <w:rPr>
          <w:lang w:bidi="ar-JO"/>
        </w:rPr>
      </w:pPr>
    </w:p>
    <w:p w:rsidR="0084218B" w:rsidRPr="00010E1A" w:rsidRDefault="0084218B" w:rsidP="0084218B">
      <w:pPr>
        <w:jc w:val="right"/>
        <w:rPr>
          <w:sz w:val="16"/>
          <w:szCs w:val="16"/>
        </w:rPr>
      </w:pPr>
    </w:p>
    <w:p w:rsidR="00B66D41" w:rsidRPr="00010E1A" w:rsidRDefault="00D42E4C" w:rsidP="00D42E4C">
      <w:pPr>
        <w:pStyle w:val="Title"/>
        <w:rPr>
          <w:sz w:val="28"/>
          <w:szCs w:val="28"/>
          <w:lang w:val="en-US"/>
        </w:rPr>
      </w:pPr>
      <w:r>
        <w:rPr>
          <w:rFonts w:ascii="Times New Roman" w:cs="Times New Roman"/>
          <w:sz w:val="28"/>
          <w:szCs w:val="28"/>
          <w:lang w:val="en-US"/>
        </w:rPr>
        <w:t>July</w:t>
      </w:r>
      <w:r w:rsidR="00CC671B" w:rsidRPr="00010E1A">
        <w:rPr>
          <w:rFonts w:ascii="Times New Roman" w:cs="Times New Roman"/>
          <w:sz w:val="28"/>
          <w:szCs w:val="28"/>
          <w:lang w:val="en-US"/>
        </w:rPr>
        <w:t>,</w:t>
      </w:r>
      <w:r w:rsidR="00B66D41" w:rsidRPr="00010E1A">
        <w:rPr>
          <w:rFonts w:ascii="Times New Roman" w:cs="Times New Roman"/>
          <w:sz w:val="28"/>
          <w:szCs w:val="28"/>
          <w:lang w:val="en-US"/>
        </w:rPr>
        <w:t xml:space="preserve"> </w:t>
      </w:r>
      <w:r>
        <w:rPr>
          <w:rFonts w:ascii="Times New Roman" w:cs="Times New Roman"/>
          <w:sz w:val="28"/>
          <w:szCs w:val="28"/>
          <w:lang w:val="en-US"/>
        </w:rPr>
        <w:t>2025</w:t>
      </w:r>
    </w:p>
    <w:p w:rsidR="00212081" w:rsidRPr="00010E1A" w:rsidRDefault="00212081" w:rsidP="00E674C5">
      <w:pPr>
        <w:bidi w:val="0"/>
        <w:jc w:val="lowKashida"/>
        <w:rPr>
          <w:b/>
          <w:bCs/>
        </w:rPr>
      </w:pPr>
      <w:r w:rsidRPr="00010E1A">
        <w:rPr>
          <w:b/>
          <w:bCs/>
        </w:rPr>
        <w:lastRenderedPageBreak/>
        <w:t>PAGE NUMBERS OF ENGLISH TEXT ARE PRINTED IN SQUARE BRACKETS.</w:t>
      </w:r>
    </w:p>
    <w:p w:rsidR="00212081" w:rsidRPr="00010E1A" w:rsidRDefault="00212081" w:rsidP="00212081">
      <w:pPr>
        <w:bidi w:val="0"/>
        <w:jc w:val="lowKashida"/>
        <w:rPr>
          <w:b/>
          <w:bCs/>
        </w:rPr>
      </w:pPr>
      <w:r w:rsidRPr="00010E1A">
        <w:rPr>
          <w:b/>
          <w:bCs/>
        </w:rPr>
        <w:t>TABLES ARE PRINTED IN THE ARABIC ORDER (FROM RIGHT TO LEFT)</w:t>
      </w:r>
    </w:p>
    <w:p w:rsidR="00212081" w:rsidRPr="00010E1A" w:rsidRDefault="00212081" w:rsidP="00212081">
      <w:pPr>
        <w:bidi w:val="0"/>
        <w:jc w:val="lowKashida"/>
      </w:pPr>
    </w:p>
    <w:p w:rsidR="00212081" w:rsidRPr="00010E1A" w:rsidRDefault="00212081" w:rsidP="00212081">
      <w:pPr>
        <w:jc w:val="right"/>
        <w:rPr>
          <w:sz w:val="26"/>
          <w:rtl/>
        </w:rPr>
      </w:pPr>
    </w:p>
    <w:p w:rsidR="00212081" w:rsidRPr="00010E1A" w:rsidRDefault="00212081" w:rsidP="00212081">
      <w:pPr>
        <w:jc w:val="right"/>
        <w:rPr>
          <w:sz w:val="26"/>
          <w:rtl/>
        </w:rPr>
      </w:pPr>
    </w:p>
    <w:p w:rsidR="00212081" w:rsidRPr="00010E1A" w:rsidRDefault="00212081" w:rsidP="0093523C">
      <w:pPr>
        <w:rPr>
          <w:sz w:val="26"/>
          <w:rtl/>
        </w:rPr>
      </w:pPr>
    </w:p>
    <w:p w:rsidR="00212081" w:rsidRPr="00010E1A" w:rsidRDefault="00212081" w:rsidP="00212081">
      <w:pPr>
        <w:jc w:val="right"/>
        <w:rPr>
          <w:sz w:val="26"/>
          <w:rtl/>
        </w:rPr>
      </w:pPr>
    </w:p>
    <w:p w:rsidR="00212081" w:rsidRPr="00010E1A" w:rsidRDefault="00212081" w:rsidP="00212081">
      <w:pPr>
        <w:bidi w:val="0"/>
        <w:jc w:val="both"/>
      </w:pPr>
    </w:p>
    <w:p w:rsidR="00212081" w:rsidRPr="00010E1A" w:rsidRDefault="002074E9" w:rsidP="00212081">
      <w:pPr>
        <w:bidi w:val="0"/>
        <w:jc w:val="both"/>
      </w:pPr>
      <w:r>
        <w:rPr>
          <w:noProof/>
          <w:sz w:val="20"/>
          <w:lang w:eastAsia="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-251460</wp:posOffset>
                </wp:positionV>
                <wp:extent cx="5715000" cy="930910"/>
                <wp:effectExtent l="38100" t="38100" r="19050"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0" cy="930910"/>
                        </a:xfrm>
                        <a:prstGeom prst="rect">
                          <a:avLst/>
                        </a:prstGeom>
                        <a:solidFill>
                          <a:srgbClr val="FFFFFF"/>
                        </a:solidFill>
                        <a:ln w="76200" cmpd="tri">
                          <a:solidFill>
                            <a:srgbClr val="000000"/>
                          </a:solidFill>
                          <a:miter lim="800000"/>
                          <a:headEnd/>
                          <a:tailEnd/>
                        </a:ln>
                      </wps:spPr>
                      <wps:txbx>
                        <w:txbxContent>
                          <w:p w:rsidR="00212081" w:rsidRDefault="00212081" w:rsidP="00212081">
                            <w:pPr>
                              <w:pStyle w:val="BodyText2"/>
                              <w:rPr>
                                <w:b w:val="0"/>
                                <w:bCs w:val="0"/>
                                <w:sz w:val="30"/>
                                <w:szCs w:val="30"/>
                                <w:rtl/>
                              </w:rPr>
                            </w:pPr>
                            <w:r>
                              <w:rPr>
                                <w:b w:val="0"/>
                                <w:bCs w:val="0"/>
                                <w:sz w:val="30"/>
                                <w:szCs w:val="30"/>
                              </w:rPr>
                              <w:t>This document is prepared in accordance with the standard procedures stated in the Code of Practice for Palestine Official Statistics 2006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9.8pt;width:450pt;height:7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" strokeweight="6pt">
                <v:stroke linestyle="thickBetweenThin"/>
                <v:path arrowok="t"/>
                <v:textbox>
                  <w:txbxContent>
                    <w:p w:rsidR="00212081" w:rsidRDefault="00212081" w:rsidP="00212081">
                      <w:pPr>
                        <w:pStyle w:val="BodyText2"/>
                        <w:rPr>
                          <w:b w:val="0"/>
                          <w:bCs w:val="0"/>
                          <w:sz w:val="30"/>
                          <w:szCs w:val="30"/>
                          <w:rtl/>
                        </w:rPr>
                      </w:pPr>
                      <w:r>
                        <w:rPr>
                          <w:b w:val="0"/>
                          <w:bCs w:val="0"/>
                          <w:sz w:val="30"/>
                          <w:szCs w:val="30"/>
                        </w:rPr>
                        <w:t>This document is prepared in accordance with the standard procedures stated in the Code of Practice for Palestine Official Statistics 2006</w:t>
                      </w:r>
                    </w:p>
                  </w:txbxContent>
                </v:textbox>
              </v:shape>
            </w:pict>
          </mc:Fallback>
        </mc:AlternateContent>
      </w:r>
    </w:p>
    <w:p w:rsidR="00212081" w:rsidRPr="00010E1A" w:rsidRDefault="00212081" w:rsidP="00212081">
      <w:pPr>
        <w:bidi w:val="0"/>
        <w:jc w:val="both"/>
      </w:pPr>
    </w:p>
    <w:p w:rsidR="00212081" w:rsidRPr="00010E1A" w:rsidRDefault="00212081" w:rsidP="00212081">
      <w:pPr>
        <w:bidi w:val="0"/>
        <w:jc w:val="both"/>
      </w:pPr>
    </w:p>
    <w:p w:rsidR="00212081" w:rsidRPr="00010E1A" w:rsidRDefault="00212081" w:rsidP="00212081">
      <w:pPr>
        <w:bidi w:val="0"/>
        <w:jc w:val="both"/>
      </w:pPr>
    </w:p>
    <w:p w:rsidR="00212081" w:rsidRPr="00010E1A" w:rsidRDefault="00212081" w:rsidP="00212081">
      <w:pPr>
        <w:bidi w:val="0"/>
        <w:jc w:val="both"/>
      </w:pPr>
    </w:p>
    <w:p w:rsidR="0034248C" w:rsidRPr="00010E1A" w:rsidRDefault="0034248C" w:rsidP="0034248C">
      <w:pPr>
        <w:bidi w:val="0"/>
        <w:jc w:val="both"/>
        <w:rPr>
          <w:rtl/>
        </w:rPr>
      </w:pPr>
    </w:p>
    <w:p w:rsidR="008C6B69" w:rsidRPr="00010E1A" w:rsidRDefault="008C6B69" w:rsidP="008C6B69">
      <w:pPr>
        <w:bidi w:val="0"/>
        <w:jc w:val="both"/>
      </w:pPr>
    </w:p>
    <w:p w:rsidR="0034248C" w:rsidRPr="00010E1A" w:rsidRDefault="0034248C" w:rsidP="008C6B69">
      <w:pPr>
        <w:bidi w:val="0"/>
        <w:jc w:val="center"/>
      </w:pPr>
    </w:p>
    <w:p w:rsidR="0034248C" w:rsidRPr="00010E1A" w:rsidRDefault="0034248C" w:rsidP="0034248C">
      <w:pPr>
        <w:bidi w:val="0"/>
        <w:jc w:val="both"/>
      </w:pPr>
    </w:p>
    <w:p w:rsidR="0034248C" w:rsidRPr="00010E1A" w:rsidRDefault="0034248C" w:rsidP="0034248C">
      <w:pPr>
        <w:bidi w:val="0"/>
        <w:jc w:val="both"/>
      </w:pPr>
    </w:p>
    <w:p w:rsidR="0034248C" w:rsidRPr="00010E1A" w:rsidRDefault="0034248C" w:rsidP="0034248C">
      <w:pPr>
        <w:bidi w:val="0"/>
        <w:jc w:val="both"/>
      </w:pPr>
    </w:p>
    <w:p w:rsidR="000250E7" w:rsidRPr="00010E1A" w:rsidRDefault="000250E7" w:rsidP="008C6B69">
      <w:pPr>
        <w:bidi w:val="0"/>
        <w:rPr>
          <w:noProof/>
          <w:lang w:eastAsia="en-US"/>
        </w:rPr>
      </w:pPr>
    </w:p>
    <w:p w:rsidR="0034248C" w:rsidRPr="00010E1A" w:rsidRDefault="0034248C" w:rsidP="0034248C">
      <w:pPr>
        <w:bidi w:val="0"/>
        <w:jc w:val="both"/>
      </w:pPr>
    </w:p>
    <w:p w:rsidR="00212081" w:rsidRPr="00010E1A" w:rsidRDefault="00212081" w:rsidP="00D42E4C">
      <w:pPr>
        <w:bidi w:val="0"/>
        <w:rPr>
          <w:sz w:val="20"/>
          <w:szCs w:val="20"/>
        </w:rPr>
      </w:pPr>
      <w:r w:rsidRPr="00010E1A">
        <w:rPr>
          <w:sz w:val="20"/>
          <w:szCs w:val="20"/>
        </w:rPr>
        <w:t>©</w:t>
      </w:r>
      <w:r w:rsidR="00307EBD" w:rsidRPr="00010E1A">
        <w:rPr>
          <w:sz w:val="20"/>
          <w:szCs w:val="20"/>
        </w:rPr>
        <w:t xml:space="preserve"> </w:t>
      </w:r>
      <w:r w:rsidR="00D42E4C">
        <w:rPr>
          <w:sz w:val="20"/>
          <w:szCs w:val="20"/>
        </w:rPr>
        <w:t>July</w:t>
      </w:r>
      <w:r w:rsidRPr="00010E1A">
        <w:rPr>
          <w:sz w:val="20"/>
          <w:szCs w:val="20"/>
        </w:rPr>
        <w:t xml:space="preserve">, </w:t>
      </w:r>
      <w:r w:rsidR="00D42E4C">
        <w:rPr>
          <w:sz w:val="20"/>
          <w:szCs w:val="20"/>
        </w:rPr>
        <w:t>2025</w:t>
      </w:r>
      <w:r w:rsidRPr="00010E1A">
        <w:rPr>
          <w:sz w:val="20"/>
          <w:szCs w:val="20"/>
        </w:rPr>
        <w:t>.</w:t>
      </w:r>
    </w:p>
    <w:p w:rsidR="00212081" w:rsidRPr="00010E1A" w:rsidRDefault="00212081" w:rsidP="00212081">
      <w:pPr>
        <w:bidi w:val="0"/>
        <w:rPr>
          <w:sz w:val="20"/>
          <w:szCs w:val="20"/>
        </w:rPr>
      </w:pPr>
      <w:r w:rsidRPr="00010E1A">
        <w:rPr>
          <w:b/>
          <w:bCs/>
          <w:sz w:val="20"/>
          <w:szCs w:val="20"/>
        </w:rPr>
        <w:t>All rights reserved.</w:t>
      </w:r>
    </w:p>
    <w:p w:rsidR="00212081" w:rsidRPr="00010E1A" w:rsidRDefault="00212081" w:rsidP="00212081">
      <w:pPr>
        <w:bidi w:val="0"/>
        <w:rPr>
          <w:b/>
          <w:bCs/>
          <w:sz w:val="20"/>
          <w:szCs w:val="20"/>
        </w:rPr>
      </w:pPr>
    </w:p>
    <w:p w:rsidR="00212081" w:rsidRPr="00010E1A" w:rsidRDefault="00212081" w:rsidP="00212081">
      <w:pPr>
        <w:bidi w:val="0"/>
        <w:rPr>
          <w:b/>
          <w:bCs/>
          <w:sz w:val="20"/>
          <w:szCs w:val="20"/>
        </w:rPr>
      </w:pPr>
      <w:r w:rsidRPr="00010E1A">
        <w:rPr>
          <w:b/>
          <w:bCs/>
          <w:sz w:val="20"/>
          <w:szCs w:val="20"/>
        </w:rPr>
        <w:t>Citation:</w:t>
      </w:r>
    </w:p>
    <w:p w:rsidR="00212081" w:rsidRPr="00010E1A" w:rsidRDefault="00212081" w:rsidP="00212081">
      <w:pPr>
        <w:bidi w:val="0"/>
        <w:rPr>
          <w:b/>
          <w:bCs/>
          <w:sz w:val="20"/>
          <w:szCs w:val="20"/>
        </w:rPr>
      </w:pPr>
    </w:p>
    <w:p w:rsidR="00212081" w:rsidRPr="00010E1A" w:rsidRDefault="00212081" w:rsidP="00D42E4C">
      <w:pPr>
        <w:bidi w:val="0"/>
        <w:jc w:val="lowKashida"/>
      </w:pPr>
      <w:r w:rsidRPr="00010E1A">
        <w:rPr>
          <w:b/>
          <w:bCs/>
        </w:rPr>
        <w:t>Palestinian Central Bureau of Statistics</w:t>
      </w:r>
      <w:r w:rsidR="00C77863" w:rsidRPr="00010E1A">
        <w:t>,</w:t>
      </w:r>
      <w:r w:rsidR="00131F39" w:rsidRPr="00010E1A">
        <w:rPr>
          <w:b/>
          <w:bCs/>
          <w:i/>
          <w:iCs/>
        </w:rPr>
        <w:t xml:space="preserve"> </w:t>
      </w:r>
      <w:r w:rsidR="00D42E4C">
        <w:rPr>
          <w:b/>
          <w:bCs/>
        </w:rPr>
        <w:t>2025</w:t>
      </w:r>
      <w:r w:rsidRPr="00010E1A">
        <w:rPr>
          <w:i/>
          <w:iCs/>
        </w:rPr>
        <w:t xml:space="preserve">. </w:t>
      </w:r>
      <w:r w:rsidR="00AB0182" w:rsidRPr="00010E1A">
        <w:rPr>
          <w:i/>
          <w:iCs/>
        </w:rPr>
        <w:t>Press</w:t>
      </w:r>
      <w:r w:rsidRPr="00010E1A">
        <w:rPr>
          <w:i/>
          <w:iCs/>
        </w:rPr>
        <w:t xml:space="preserve"> </w:t>
      </w:r>
      <w:r w:rsidR="00AB0182" w:rsidRPr="00010E1A">
        <w:rPr>
          <w:i/>
          <w:iCs/>
        </w:rPr>
        <w:t>Report</w:t>
      </w:r>
      <w:r w:rsidRPr="00010E1A">
        <w:rPr>
          <w:i/>
          <w:iCs/>
        </w:rPr>
        <w:t>, Preliminary Estimates of</w:t>
      </w:r>
      <w:r w:rsidRPr="00010E1A">
        <w:t xml:space="preserve"> </w:t>
      </w:r>
      <w:r w:rsidRPr="00010E1A">
        <w:rPr>
          <w:i/>
          <w:iCs/>
        </w:rPr>
        <w:t>Quarterly National Accounts (</w:t>
      </w:r>
      <w:r w:rsidR="007B2FBF">
        <w:rPr>
          <w:i/>
          <w:iCs/>
        </w:rPr>
        <w:t>First</w:t>
      </w:r>
      <w:r w:rsidR="00B905E2" w:rsidRPr="00010E1A">
        <w:rPr>
          <w:i/>
          <w:iCs/>
        </w:rPr>
        <w:t xml:space="preserve"> Quarter </w:t>
      </w:r>
      <w:r w:rsidR="00D42E4C">
        <w:rPr>
          <w:i/>
          <w:iCs/>
        </w:rPr>
        <w:t>2025</w:t>
      </w:r>
      <w:r w:rsidRPr="00010E1A">
        <w:rPr>
          <w:i/>
          <w:iCs/>
        </w:rPr>
        <w:t xml:space="preserve">). </w:t>
      </w:r>
      <w:r w:rsidRPr="00010E1A">
        <w:t>Ramallah - Palestine.</w:t>
      </w:r>
    </w:p>
    <w:p w:rsidR="00212081" w:rsidRPr="00010E1A" w:rsidRDefault="00212081" w:rsidP="00212081">
      <w:pPr>
        <w:bidi w:val="0"/>
        <w:jc w:val="lowKashida"/>
        <w:rPr>
          <w:sz w:val="20"/>
          <w:szCs w:val="20"/>
          <w:rtl/>
        </w:rPr>
      </w:pPr>
    </w:p>
    <w:p w:rsidR="0082589D" w:rsidRPr="00010E1A" w:rsidRDefault="0082589D" w:rsidP="0082589D">
      <w:pPr>
        <w:bidi w:val="0"/>
        <w:jc w:val="lowKashida"/>
        <w:rPr>
          <w:sz w:val="20"/>
          <w:szCs w:val="20"/>
        </w:rPr>
      </w:pPr>
    </w:p>
    <w:tbl>
      <w:tblPr>
        <w:tblStyle w:val="TableGrid"/>
        <w:tblpPr w:leftFromText="180" w:rightFromText="180" w:vertAnchor="text" w:tblpXSpec="center" w:tblpY="1"/>
        <w:tblOverlap w:val="never"/>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2403"/>
        <w:gridCol w:w="2127"/>
      </w:tblGrid>
      <w:tr w:rsidR="002959A3" w:rsidRPr="00010E1A" w:rsidTr="00410B74">
        <w:trPr>
          <w:trHeight w:val="1404"/>
          <w:jc w:val="center"/>
        </w:trPr>
        <w:tc>
          <w:tcPr>
            <w:tcW w:w="4542" w:type="dxa"/>
            <w:vMerge w:val="restart"/>
          </w:tcPr>
          <w:p w:rsidR="00B73EED" w:rsidRPr="00010E1A" w:rsidRDefault="00B73EED" w:rsidP="00410B74">
            <w:pPr>
              <w:bidi w:val="0"/>
              <w:rPr>
                <w:sz w:val="20"/>
                <w:szCs w:val="20"/>
              </w:rPr>
            </w:pPr>
            <w:r w:rsidRPr="00010E1A">
              <w:rPr>
                <w:sz w:val="20"/>
                <w:szCs w:val="20"/>
              </w:rPr>
              <w:t>All correspondence should</w:t>
            </w:r>
            <w:r w:rsidRPr="00010E1A">
              <w:rPr>
                <w:sz w:val="20"/>
                <w:szCs w:val="20"/>
                <w:rtl/>
              </w:rPr>
              <w:t xml:space="preserve"> </w:t>
            </w:r>
            <w:r w:rsidRPr="00010E1A">
              <w:rPr>
                <w:sz w:val="20"/>
                <w:szCs w:val="20"/>
              </w:rPr>
              <w:t>be directed to</w:t>
            </w:r>
            <w:r w:rsidRPr="00010E1A">
              <w:rPr>
                <w:sz w:val="20"/>
                <w:szCs w:val="20"/>
                <w:rtl/>
              </w:rPr>
              <w:t>:</w:t>
            </w:r>
          </w:p>
          <w:p w:rsidR="00B73EED" w:rsidRPr="00010E1A" w:rsidRDefault="00B73EED" w:rsidP="00410B74">
            <w:pPr>
              <w:bidi w:val="0"/>
              <w:rPr>
                <w:b/>
                <w:bCs/>
                <w:sz w:val="20"/>
                <w:szCs w:val="20"/>
              </w:rPr>
            </w:pPr>
            <w:r w:rsidRPr="00010E1A">
              <w:rPr>
                <w:b/>
                <w:bCs/>
                <w:sz w:val="20"/>
                <w:szCs w:val="20"/>
              </w:rPr>
              <w:t>Palestinian Central Bureau of Statistics</w:t>
            </w:r>
          </w:p>
          <w:p w:rsidR="00804C80" w:rsidRPr="00010E1A" w:rsidRDefault="00804C80" w:rsidP="00804C80">
            <w:pPr>
              <w:bidi w:val="0"/>
              <w:rPr>
                <w:b/>
                <w:bCs/>
                <w:sz w:val="20"/>
                <w:szCs w:val="20"/>
              </w:rPr>
            </w:pPr>
            <w:r w:rsidRPr="00010E1A">
              <w:rPr>
                <w:b/>
                <w:bCs/>
                <w:sz w:val="20"/>
                <w:szCs w:val="20"/>
              </w:rPr>
              <w:t xml:space="preserve">P. O. Box 1647, Ramallah P6028179 – Palestine. </w:t>
            </w:r>
          </w:p>
          <w:p w:rsidR="00B73EED" w:rsidRPr="00010E1A" w:rsidRDefault="00B73EED" w:rsidP="00410B74">
            <w:pPr>
              <w:bidi w:val="0"/>
              <w:rPr>
                <w:sz w:val="20"/>
                <w:szCs w:val="20"/>
                <w:lang w:eastAsia="fr-FR"/>
              </w:rPr>
            </w:pPr>
            <w:r w:rsidRPr="00010E1A">
              <w:rPr>
                <w:sz w:val="20"/>
                <w:szCs w:val="20"/>
                <w:lang w:eastAsia="fr-FR"/>
              </w:rPr>
              <w:t xml:space="preserve">Tel: </w:t>
            </w:r>
            <w:r w:rsidRPr="00010E1A">
              <w:rPr>
                <w:sz w:val="20"/>
                <w:szCs w:val="20"/>
              </w:rPr>
              <w:t>(970/972) 2 2982700</w:t>
            </w:r>
          </w:p>
          <w:p w:rsidR="00B73EED" w:rsidRPr="00010E1A" w:rsidRDefault="00B73EED" w:rsidP="00410B74">
            <w:pPr>
              <w:bidi w:val="0"/>
              <w:rPr>
                <w:sz w:val="20"/>
                <w:szCs w:val="20"/>
              </w:rPr>
            </w:pPr>
            <w:r w:rsidRPr="00010E1A">
              <w:rPr>
                <w:sz w:val="20"/>
                <w:szCs w:val="20"/>
                <w:lang w:eastAsia="fr-FR"/>
              </w:rPr>
              <w:t xml:space="preserve">Fax: </w:t>
            </w:r>
            <w:r w:rsidRPr="00010E1A">
              <w:rPr>
                <w:sz w:val="20"/>
                <w:szCs w:val="20"/>
              </w:rPr>
              <w:t>(970/972) 2 2982710</w:t>
            </w:r>
          </w:p>
          <w:p w:rsidR="00B73EED" w:rsidRPr="00010E1A" w:rsidRDefault="00B73EED" w:rsidP="00410B74">
            <w:pPr>
              <w:bidi w:val="0"/>
              <w:rPr>
                <w:sz w:val="20"/>
                <w:szCs w:val="20"/>
                <w:rtl/>
              </w:rPr>
            </w:pPr>
            <w:r w:rsidRPr="00010E1A">
              <w:rPr>
                <w:sz w:val="20"/>
                <w:szCs w:val="20"/>
              </w:rPr>
              <w:t>Toll Free:1800300300</w:t>
            </w:r>
          </w:p>
          <w:p w:rsidR="00B73EED" w:rsidRPr="00010E1A" w:rsidRDefault="00B73EED" w:rsidP="00410B74">
            <w:pPr>
              <w:bidi w:val="0"/>
              <w:rPr>
                <w:sz w:val="20"/>
                <w:szCs w:val="20"/>
              </w:rPr>
            </w:pPr>
            <w:r w:rsidRPr="00010E1A">
              <w:rPr>
                <w:sz w:val="20"/>
                <w:szCs w:val="20"/>
                <w:lang w:eastAsia="fr-FR"/>
              </w:rPr>
              <w:t>E-Mail</w:t>
            </w:r>
            <w:r w:rsidRPr="00010E1A">
              <w:rPr>
                <w:sz w:val="20"/>
                <w:szCs w:val="20"/>
                <w:rtl/>
              </w:rPr>
              <w:t xml:space="preserve">: </w:t>
            </w:r>
            <w:r w:rsidRPr="00010E1A">
              <w:rPr>
                <w:sz w:val="20"/>
                <w:szCs w:val="20"/>
                <w:lang w:eastAsia="fr-FR"/>
              </w:rPr>
              <w:t>diwan@pcbs.gov.ps</w:t>
            </w:r>
          </w:p>
          <w:p w:rsidR="00B73EED" w:rsidRPr="00010E1A" w:rsidRDefault="00B73EED" w:rsidP="00410B74">
            <w:pPr>
              <w:pStyle w:val="BlockText"/>
              <w:ind w:left="0" w:right="-2"/>
              <w:jc w:val="left"/>
              <w:rPr>
                <w:b w:val="0"/>
                <w:bCs w:val="0"/>
                <w:sz w:val="20"/>
                <w:szCs w:val="20"/>
                <w:rtl/>
              </w:rPr>
            </w:pPr>
            <w:r w:rsidRPr="00010E1A">
              <w:rPr>
                <w:sz w:val="20"/>
                <w:szCs w:val="20"/>
              </w:rPr>
              <w:t xml:space="preserve">Website:  http://www.pcbs.gov.ps </w:t>
            </w:r>
            <w:r w:rsidRPr="00010E1A">
              <w:rPr>
                <w:rFonts w:hint="cs"/>
                <w:sz w:val="20"/>
                <w:szCs w:val="20"/>
                <w:rtl/>
              </w:rPr>
              <w:t xml:space="preserve">   </w:t>
            </w:r>
          </w:p>
          <w:p w:rsidR="00B73EED" w:rsidRPr="00010E1A" w:rsidRDefault="00B73EED" w:rsidP="00410B74">
            <w:pPr>
              <w:pStyle w:val="BlockText"/>
              <w:ind w:left="0" w:right="-2"/>
              <w:jc w:val="left"/>
              <w:rPr>
                <w:b w:val="0"/>
                <w:bCs w:val="0"/>
                <w:sz w:val="20"/>
              </w:rPr>
            </w:pPr>
          </w:p>
          <w:p w:rsidR="00B73EED" w:rsidRPr="00010E1A" w:rsidRDefault="00B73EED" w:rsidP="00410B74">
            <w:pPr>
              <w:pStyle w:val="BlockText"/>
              <w:ind w:left="0" w:right="-2"/>
              <w:jc w:val="left"/>
              <w:rPr>
                <w:b w:val="0"/>
                <w:bCs w:val="0"/>
                <w:sz w:val="20"/>
              </w:rPr>
            </w:pPr>
          </w:p>
          <w:p w:rsidR="00B73EED" w:rsidRPr="00010E1A" w:rsidRDefault="00B73EED" w:rsidP="00410B74">
            <w:pPr>
              <w:pStyle w:val="BlockText"/>
              <w:ind w:left="0" w:right="-2"/>
              <w:jc w:val="left"/>
              <w:rPr>
                <w:b w:val="0"/>
                <w:bCs w:val="0"/>
                <w:sz w:val="20"/>
              </w:rPr>
            </w:pPr>
          </w:p>
          <w:p w:rsidR="00B73EED" w:rsidRDefault="00B73EED" w:rsidP="00B73EED">
            <w:pPr>
              <w:pStyle w:val="BlockText"/>
              <w:ind w:left="0" w:right="-2"/>
              <w:jc w:val="left"/>
            </w:pPr>
          </w:p>
          <w:p w:rsidR="00D42E4C" w:rsidRDefault="00D42E4C" w:rsidP="00B73EED">
            <w:pPr>
              <w:pStyle w:val="BlockText"/>
              <w:ind w:left="0" w:right="-2"/>
              <w:jc w:val="left"/>
            </w:pPr>
          </w:p>
          <w:p w:rsidR="00D42E4C" w:rsidRDefault="00D42E4C" w:rsidP="00B73EED">
            <w:pPr>
              <w:pStyle w:val="BlockText"/>
              <w:ind w:left="0" w:right="-2"/>
              <w:jc w:val="left"/>
            </w:pPr>
          </w:p>
          <w:p w:rsidR="00D42E4C" w:rsidRDefault="00D42E4C" w:rsidP="00B73EED">
            <w:pPr>
              <w:pStyle w:val="BlockText"/>
              <w:ind w:left="0" w:right="-2"/>
              <w:jc w:val="left"/>
            </w:pPr>
          </w:p>
          <w:p w:rsidR="00D42E4C" w:rsidRDefault="00D42E4C" w:rsidP="00B73EED">
            <w:pPr>
              <w:pStyle w:val="BlockText"/>
              <w:ind w:left="0" w:right="-2"/>
              <w:jc w:val="left"/>
            </w:pPr>
          </w:p>
          <w:p w:rsidR="00D42E4C" w:rsidRDefault="00D42E4C" w:rsidP="00B73EED">
            <w:pPr>
              <w:pStyle w:val="BlockText"/>
              <w:ind w:left="0" w:right="-2"/>
              <w:jc w:val="left"/>
            </w:pPr>
          </w:p>
          <w:p w:rsidR="00D42E4C" w:rsidRPr="00010E1A" w:rsidRDefault="00D42E4C" w:rsidP="00B73EED">
            <w:pPr>
              <w:pStyle w:val="BlockText"/>
              <w:ind w:left="0" w:right="-2"/>
              <w:jc w:val="left"/>
              <w:rPr>
                <w:rtl/>
              </w:rPr>
            </w:pPr>
          </w:p>
        </w:tc>
        <w:tc>
          <w:tcPr>
            <w:tcW w:w="2403" w:type="dxa"/>
          </w:tcPr>
          <w:p w:rsidR="00B73EED" w:rsidRPr="00010E1A" w:rsidRDefault="00012D79" w:rsidP="00410B74">
            <w:pPr>
              <w:jc w:val="right"/>
              <w:rPr>
                <w:rtl/>
              </w:rPr>
            </w:pPr>
            <w:r w:rsidRPr="00A402E2">
              <w:rPr>
                <w:noProof/>
                <w:lang w:eastAsia="en-US"/>
              </w:rPr>
              <w:drawing>
                <wp:anchor distT="0" distB="0" distL="114300" distR="114300" simplePos="0" relativeHeight="251662336" behindDoc="0" locked="0" layoutInCell="1" allowOverlap="1" wp14:anchorId="6C350186" wp14:editId="48885D6D">
                  <wp:simplePos x="0" y="0"/>
                  <wp:positionH relativeFrom="column">
                    <wp:posOffset>370642</wp:posOffset>
                  </wp:positionH>
                  <wp:positionV relativeFrom="paragraph">
                    <wp:posOffset>54868</wp:posOffset>
                  </wp:positionV>
                  <wp:extent cx="1710462" cy="1083945"/>
                  <wp:effectExtent l="0" t="0" r="0" b="0"/>
                  <wp:wrapNone/>
                  <wp:docPr id="1" name="Picture 1" descr="C:\Users\loays\AppData\Local\Microsoft\Windows\INetCache\Content.Outlook\IR0M46TN\296a7c37-9519-4811-bcc8-0ff997f6ed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ays\AppData\Local\Microsoft\Windows\INetCache\Content.Outlook\IR0M46TN\296a7c37-9519-4811-bcc8-0ff997f6ed0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0462" cy="1083945"/>
                          </a:xfrm>
                          <a:prstGeom prst="rect">
                            <a:avLst/>
                          </a:prstGeom>
                          <a:noFill/>
                          <a:ln>
                            <a:noFill/>
                          </a:ln>
                        </pic:spPr>
                      </pic:pic>
                    </a:graphicData>
                  </a:graphic>
                </wp:anchor>
              </w:drawing>
            </w:r>
          </w:p>
        </w:tc>
        <w:tc>
          <w:tcPr>
            <w:tcW w:w="2127" w:type="dxa"/>
          </w:tcPr>
          <w:p w:rsidR="00B73EED" w:rsidRPr="00010E1A" w:rsidRDefault="00B73EED" w:rsidP="00410B74">
            <w:pPr>
              <w:jc w:val="center"/>
              <w:rPr>
                <w:rtl/>
              </w:rPr>
            </w:pPr>
          </w:p>
        </w:tc>
      </w:tr>
      <w:tr w:rsidR="002959A3" w:rsidRPr="00010E1A" w:rsidTr="00410B74">
        <w:trPr>
          <w:trHeight w:val="2396"/>
          <w:jc w:val="center"/>
        </w:trPr>
        <w:tc>
          <w:tcPr>
            <w:tcW w:w="4542" w:type="dxa"/>
            <w:vMerge/>
          </w:tcPr>
          <w:p w:rsidR="00B73EED" w:rsidRPr="00010E1A" w:rsidRDefault="00B73EED" w:rsidP="00410B74">
            <w:pPr>
              <w:jc w:val="lowKashida"/>
              <w:rPr>
                <w:rFonts w:cs="Simplified Arabic"/>
                <w:rtl/>
              </w:rPr>
            </w:pPr>
          </w:p>
        </w:tc>
        <w:tc>
          <w:tcPr>
            <w:tcW w:w="2403" w:type="dxa"/>
          </w:tcPr>
          <w:p w:rsidR="00B73EED" w:rsidRPr="00010E1A" w:rsidRDefault="00B73EED" w:rsidP="00410B74">
            <w:pPr>
              <w:jc w:val="right"/>
              <w:rPr>
                <w:rtl/>
              </w:rPr>
            </w:pPr>
          </w:p>
        </w:tc>
        <w:tc>
          <w:tcPr>
            <w:tcW w:w="2127" w:type="dxa"/>
          </w:tcPr>
          <w:p w:rsidR="00B73EED" w:rsidRPr="00010E1A" w:rsidRDefault="00B73EED" w:rsidP="00410B74">
            <w:pPr>
              <w:jc w:val="center"/>
              <w:rPr>
                <w:noProof/>
                <w:rtl/>
                <w:lang w:eastAsia="en-US"/>
              </w:rPr>
            </w:pPr>
          </w:p>
          <w:p w:rsidR="00F740AE" w:rsidRPr="00010E1A" w:rsidRDefault="00F740AE" w:rsidP="00410B74">
            <w:pPr>
              <w:jc w:val="center"/>
              <w:rPr>
                <w:rtl/>
              </w:rPr>
            </w:pPr>
          </w:p>
        </w:tc>
      </w:tr>
    </w:tbl>
    <w:p w:rsidR="00152D3A" w:rsidRPr="00010E1A" w:rsidRDefault="00152D3A" w:rsidP="00152D3A">
      <w:pPr>
        <w:bidi w:val="0"/>
      </w:pPr>
    </w:p>
    <w:p w:rsidR="00152D3A" w:rsidRPr="00010E1A" w:rsidRDefault="00152D3A" w:rsidP="00152D3A">
      <w:pPr>
        <w:bidi w:val="0"/>
        <w:jc w:val="lowKashida"/>
        <w:rPr>
          <w:b/>
          <w:bCs/>
          <w:sz w:val="20"/>
          <w:szCs w:val="20"/>
          <w:lang w:eastAsia="en-US"/>
        </w:rPr>
      </w:pPr>
    </w:p>
    <w:p w:rsidR="00B73EED" w:rsidRPr="00010E1A" w:rsidRDefault="00B73EED" w:rsidP="00B73EED">
      <w:pPr>
        <w:bidi w:val="0"/>
        <w:jc w:val="lowKashida"/>
        <w:rPr>
          <w:b/>
          <w:bCs/>
          <w:sz w:val="20"/>
          <w:szCs w:val="20"/>
          <w:lang w:eastAsia="en-US"/>
        </w:rPr>
      </w:pPr>
    </w:p>
    <w:p w:rsidR="00B73EED" w:rsidRPr="00010E1A" w:rsidRDefault="00B73EED" w:rsidP="00B73EED">
      <w:pPr>
        <w:bidi w:val="0"/>
        <w:jc w:val="lowKashida"/>
        <w:rPr>
          <w:b/>
          <w:bCs/>
          <w:sz w:val="20"/>
          <w:szCs w:val="20"/>
          <w:lang w:eastAsia="en-US"/>
        </w:rPr>
      </w:pPr>
    </w:p>
    <w:p w:rsidR="00B73EED" w:rsidRPr="00010E1A" w:rsidRDefault="00B73EED" w:rsidP="00B73EED">
      <w:pPr>
        <w:bidi w:val="0"/>
        <w:jc w:val="lowKashida"/>
        <w:rPr>
          <w:b/>
          <w:bCs/>
          <w:sz w:val="20"/>
          <w:szCs w:val="20"/>
          <w:lang w:eastAsia="en-US"/>
        </w:rPr>
      </w:pPr>
    </w:p>
    <w:p w:rsidR="0034248C" w:rsidRPr="00010E1A" w:rsidRDefault="0034248C" w:rsidP="0034248C">
      <w:pPr>
        <w:bidi w:val="0"/>
      </w:pPr>
    </w:p>
    <w:p w:rsidR="00212081" w:rsidRPr="00010E1A" w:rsidRDefault="00212081" w:rsidP="00212081">
      <w:pPr>
        <w:pStyle w:val="Title"/>
        <w:rPr>
          <w:rFonts w:ascii="Times New Roman" w:cs="Times New Roman"/>
          <w:sz w:val="28"/>
          <w:szCs w:val="28"/>
        </w:rPr>
      </w:pPr>
      <w:r w:rsidRPr="00010E1A">
        <w:rPr>
          <w:rFonts w:ascii="Times New Roman" w:cs="Times New Roman"/>
          <w:sz w:val="28"/>
          <w:szCs w:val="28"/>
        </w:rPr>
        <w:lastRenderedPageBreak/>
        <w:t>Table of Contents</w:t>
      </w:r>
    </w:p>
    <w:p w:rsidR="00212081" w:rsidRPr="00010E1A" w:rsidRDefault="00212081" w:rsidP="00212081">
      <w:pPr>
        <w:pStyle w:val="Title"/>
        <w:rPr>
          <w:sz w:val="24"/>
          <w:szCs w:val="24"/>
        </w:rPr>
      </w:pPr>
    </w:p>
    <w:tbl>
      <w:tblPr>
        <w:tblW w:w="0" w:type="auto"/>
        <w:jc w:val="center"/>
        <w:tblLook w:val="0000" w:firstRow="0" w:lastRow="0" w:firstColumn="0" w:lastColumn="0" w:noHBand="0" w:noVBand="0"/>
      </w:tblPr>
      <w:tblGrid>
        <w:gridCol w:w="7653"/>
        <w:gridCol w:w="1417"/>
      </w:tblGrid>
      <w:tr w:rsidR="002959A3" w:rsidRPr="00010E1A" w:rsidTr="00DC34BA">
        <w:trPr>
          <w:trHeight w:val="340"/>
          <w:jc w:val="center"/>
        </w:trPr>
        <w:tc>
          <w:tcPr>
            <w:tcW w:w="7848" w:type="dxa"/>
          </w:tcPr>
          <w:p w:rsidR="00212081" w:rsidRPr="00010E1A" w:rsidRDefault="00212081" w:rsidP="00DC34BA">
            <w:pPr>
              <w:pStyle w:val="Title"/>
              <w:jc w:val="left"/>
              <w:rPr>
                <w:rFonts w:ascii="Times New Roman" w:cs="Times New Roman"/>
                <w:sz w:val="24"/>
                <w:szCs w:val="24"/>
                <w:lang w:val="en-US"/>
              </w:rPr>
            </w:pPr>
            <w:r w:rsidRPr="00010E1A">
              <w:rPr>
                <w:rFonts w:ascii="Times New Roman" w:cs="Times New Roman"/>
                <w:sz w:val="24"/>
                <w:szCs w:val="24"/>
              </w:rPr>
              <w:t>Subject</w:t>
            </w:r>
          </w:p>
        </w:tc>
        <w:tc>
          <w:tcPr>
            <w:tcW w:w="1438" w:type="dxa"/>
          </w:tcPr>
          <w:p w:rsidR="00212081" w:rsidRPr="00010E1A" w:rsidRDefault="00212081" w:rsidP="00DC34BA">
            <w:pPr>
              <w:pStyle w:val="Title"/>
              <w:rPr>
                <w:rFonts w:ascii="Times New Roman" w:cs="Times New Roman"/>
                <w:sz w:val="24"/>
                <w:szCs w:val="24"/>
              </w:rPr>
            </w:pPr>
            <w:r w:rsidRPr="00010E1A">
              <w:rPr>
                <w:rFonts w:ascii="Times New Roman" w:cs="Times New Roman"/>
                <w:sz w:val="24"/>
                <w:szCs w:val="24"/>
              </w:rPr>
              <w:t>Page</w:t>
            </w:r>
          </w:p>
        </w:tc>
      </w:tr>
      <w:tr w:rsidR="002959A3" w:rsidRPr="00010E1A" w:rsidTr="00DC34BA">
        <w:trPr>
          <w:trHeight w:val="340"/>
          <w:jc w:val="center"/>
        </w:trPr>
        <w:tc>
          <w:tcPr>
            <w:tcW w:w="7848" w:type="dxa"/>
          </w:tcPr>
          <w:p w:rsidR="00212081" w:rsidRPr="00010E1A" w:rsidRDefault="00BD200A" w:rsidP="00BD200A">
            <w:pPr>
              <w:pStyle w:val="Title"/>
              <w:jc w:val="lowKashida"/>
              <w:rPr>
                <w:rFonts w:ascii="Times New Roman" w:cs="Times New Roman"/>
                <w:b w:val="0"/>
                <w:bCs w:val="0"/>
                <w:sz w:val="24"/>
                <w:szCs w:val="24"/>
              </w:rPr>
            </w:pPr>
            <w:r w:rsidRPr="00010E1A">
              <w:rPr>
                <w:rFonts w:ascii="Times New Roman" w:cs="Times New Roman"/>
                <w:b w:val="0"/>
                <w:bCs w:val="0"/>
                <w:sz w:val="24"/>
                <w:szCs w:val="24"/>
                <w:lang w:val="en-US"/>
              </w:rPr>
              <w:t>Main Results</w:t>
            </w:r>
          </w:p>
        </w:tc>
        <w:tc>
          <w:tcPr>
            <w:tcW w:w="1438" w:type="dxa"/>
          </w:tcPr>
          <w:p w:rsidR="00212081" w:rsidRPr="00010E1A" w:rsidRDefault="00212081" w:rsidP="00DC34BA">
            <w:pPr>
              <w:pStyle w:val="Title"/>
              <w:rPr>
                <w:rFonts w:ascii="Times New Roman" w:cs="Times New Roman"/>
                <w:b w:val="0"/>
                <w:bCs w:val="0"/>
                <w:sz w:val="24"/>
                <w:szCs w:val="24"/>
              </w:rPr>
            </w:pPr>
            <w:r w:rsidRPr="00010E1A">
              <w:rPr>
                <w:rFonts w:ascii="Times New Roman" w:cs="Times New Roman"/>
                <w:b w:val="0"/>
                <w:bCs w:val="0"/>
                <w:sz w:val="24"/>
                <w:szCs w:val="24"/>
              </w:rPr>
              <w:t>[7]</w:t>
            </w:r>
          </w:p>
        </w:tc>
      </w:tr>
      <w:tr w:rsidR="002959A3" w:rsidRPr="00010E1A" w:rsidTr="00DC34BA">
        <w:trPr>
          <w:trHeight w:val="340"/>
          <w:jc w:val="center"/>
        </w:trPr>
        <w:tc>
          <w:tcPr>
            <w:tcW w:w="7848" w:type="dxa"/>
          </w:tcPr>
          <w:p w:rsidR="00212081" w:rsidRPr="00010E1A" w:rsidRDefault="009F6841" w:rsidP="00DC34BA">
            <w:pPr>
              <w:pStyle w:val="Title"/>
              <w:jc w:val="lowKashida"/>
              <w:rPr>
                <w:rFonts w:ascii="Times New Roman" w:cs="Times New Roman"/>
                <w:b w:val="0"/>
                <w:bCs w:val="0"/>
                <w:sz w:val="24"/>
                <w:szCs w:val="24"/>
                <w:lang w:val="en-US"/>
              </w:rPr>
            </w:pPr>
            <w:r w:rsidRPr="00010E1A">
              <w:rPr>
                <w:rFonts w:ascii="Times New Roman" w:cs="Times New Roman"/>
                <w:b w:val="0"/>
                <w:bCs w:val="0"/>
                <w:sz w:val="24"/>
                <w:szCs w:val="24"/>
              </w:rPr>
              <w:t>Terms and Indicators</w:t>
            </w:r>
          </w:p>
        </w:tc>
        <w:tc>
          <w:tcPr>
            <w:tcW w:w="1438" w:type="dxa"/>
          </w:tcPr>
          <w:p w:rsidR="00212081" w:rsidRPr="00010E1A" w:rsidRDefault="00212081" w:rsidP="00DC34BA">
            <w:pPr>
              <w:pStyle w:val="Title"/>
              <w:rPr>
                <w:rFonts w:ascii="Times New Roman" w:cs="Times New Roman"/>
                <w:b w:val="0"/>
                <w:bCs w:val="0"/>
                <w:sz w:val="24"/>
                <w:szCs w:val="24"/>
              </w:rPr>
            </w:pPr>
            <w:r w:rsidRPr="00010E1A">
              <w:rPr>
                <w:rFonts w:ascii="Times New Roman" w:cs="Times New Roman"/>
                <w:b w:val="0"/>
                <w:bCs w:val="0"/>
                <w:sz w:val="24"/>
                <w:szCs w:val="24"/>
              </w:rPr>
              <w:t>[9]</w:t>
            </w:r>
          </w:p>
        </w:tc>
      </w:tr>
      <w:tr w:rsidR="00212081" w:rsidRPr="00010E1A" w:rsidTr="00DC34BA">
        <w:trPr>
          <w:trHeight w:val="340"/>
          <w:jc w:val="center"/>
        </w:trPr>
        <w:tc>
          <w:tcPr>
            <w:tcW w:w="7848" w:type="dxa"/>
          </w:tcPr>
          <w:p w:rsidR="00212081" w:rsidRPr="00010E1A" w:rsidRDefault="00212081" w:rsidP="00DC34BA">
            <w:pPr>
              <w:pStyle w:val="Title"/>
              <w:jc w:val="lowKashida"/>
              <w:rPr>
                <w:rFonts w:ascii="Times New Roman" w:cs="Times New Roman"/>
                <w:b w:val="0"/>
                <w:bCs w:val="0"/>
                <w:sz w:val="24"/>
                <w:szCs w:val="24"/>
              </w:rPr>
            </w:pPr>
            <w:r w:rsidRPr="00010E1A">
              <w:rPr>
                <w:rFonts w:ascii="Times New Roman" w:cs="Times New Roman"/>
                <w:b w:val="0"/>
                <w:bCs w:val="0"/>
                <w:sz w:val="24"/>
                <w:szCs w:val="24"/>
              </w:rPr>
              <w:t>Tables</w:t>
            </w:r>
          </w:p>
        </w:tc>
        <w:tc>
          <w:tcPr>
            <w:tcW w:w="1438" w:type="dxa"/>
          </w:tcPr>
          <w:p w:rsidR="00212081" w:rsidRPr="00010E1A" w:rsidRDefault="00BD200A" w:rsidP="00D20222">
            <w:pPr>
              <w:pStyle w:val="Title"/>
              <w:rPr>
                <w:rFonts w:ascii="Times New Roman" w:cs="Times New Roman"/>
                <w:b w:val="0"/>
                <w:bCs w:val="0"/>
                <w:sz w:val="24"/>
                <w:szCs w:val="24"/>
                <w:lang w:val="en-US"/>
              </w:rPr>
            </w:pPr>
            <w:r w:rsidRPr="00010E1A">
              <w:rPr>
                <w:rFonts w:ascii="Times New Roman" w:cs="Times New Roman"/>
                <w:b w:val="0"/>
                <w:bCs w:val="0"/>
                <w:sz w:val="24"/>
                <w:szCs w:val="24"/>
              </w:rPr>
              <w:t>13</w:t>
            </w:r>
          </w:p>
        </w:tc>
      </w:tr>
    </w:tbl>
    <w:p w:rsidR="00212081" w:rsidRPr="00010E1A" w:rsidRDefault="00212081" w:rsidP="00212081">
      <w:pPr>
        <w:bidi w:val="0"/>
        <w:jc w:val="center"/>
        <w:rPr>
          <w:rFonts w:cs="Simplified Arabic"/>
        </w:rPr>
      </w:pPr>
    </w:p>
    <w:p w:rsidR="00212081" w:rsidRPr="00010E1A" w:rsidRDefault="00212081" w:rsidP="00212081">
      <w:pPr>
        <w:bidi w:val="0"/>
        <w:rPr>
          <w:rFonts w:cs="Simplified Arabic"/>
        </w:rPr>
      </w:pPr>
    </w:p>
    <w:p w:rsidR="00212081" w:rsidRPr="00010E1A" w:rsidRDefault="00212081" w:rsidP="00212081">
      <w:pPr>
        <w:bidi w:val="0"/>
        <w:rPr>
          <w:rFonts w:cs="Simplified Arabic"/>
        </w:rPr>
      </w:pPr>
    </w:p>
    <w:p w:rsidR="00212081" w:rsidRPr="00010E1A" w:rsidRDefault="00212081" w:rsidP="00212081">
      <w:pPr>
        <w:bidi w:val="0"/>
        <w:rPr>
          <w:rFonts w:cs="Simplified Arabic"/>
        </w:rPr>
      </w:pPr>
    </w:p>
    <w:p w:rsidR="00212081" w:rsidRPr="00010E1A" w:rsidRDefault="00212081" w:rsidP="00212081">
      <w:pPr>
        <w:bidi w:val="0"/>
        <w:rPr>
          <w:rFonts w:cs="Simplified Arabic"/>
        </w:rPr>
      </w:pPr>
    </w:p>
    <w:p w:rsidR="00212081" w:rsidRPr="00010E1A" w:rsidRDefault="00212081" w:rsidP="00212081">
      <w:pPr>
        <w:bidi w:val="0"/>
        <w:rPr>
          <w:rFonts w:cs="Simplified Arabic"/>
        </w:rPr>
      </w:pPr>
    </w:p>
    <w:p w:rsidR="00212081" w:rsidRPr="00010E1A" w:rsidRDefault="00212081" w:rsidP="00212081">
      <w:pPr>
        <w:bidi w:val="0"/>
        <w:rPr>
          <w:rFonts w:cs="Simplified Arabic"/>
        </w:rPr>
      </w:pPr>
    </w:p>
    <w:p w:rsidR="00212081" w:rsidRPr="00010E1A" w:rsidRDefault="00212081" w:rsidP="00212081">
      <w:pPr>
        <w:bidi w:val="0"/>
        <w:rPr>
          <w:rFonts w:cs="Simplified Arabic"/>
        </w:rPr>
      </w:pPr>
    </w:p>
    <w:p w:rsidR="00212081" w:rsidRPr="00010E1A" w:rsidRDefault="00212081" w:rsidP="00212081">
      <w:pPr>
        <w:bidi w:val="0"/>
        <w:rPr>
          <w:rFonts w:cs="Simplified Arabic"/>
        </w:rPr>
      </w:pPr>
    </w:p>
    <w:p w:rsidR="00212081" w:rsidRPr="00010E1A" w:rsidRDefault="00212081" w:rsidP="00212081">
      <w:pPr>
        <w:bidi w:val="0"/>
        <w:rPr>
          <w:rFonts w:cs="Simplified Arabic"/>
        </w:rPr>
      </w:pPr>
    </w:p>
    <w:p w:rsidR="00212081" w:rsidRPr="00010E1A" w:rsidRDefault="00212081" w:rsidP="00212081">
      <w:pPr>
        <w:bidi w:val="0"/>
        <w:rPr>
          <w:rFonts w:cs="Simplified Arabic"/>
        </w:rPr>
      </w:pPr>
    </w:p>
    <w:p w:rsidR="00212081" w:rsidRPr="00010E1A" w:rsidRDefault="00212081" w:rsidP="00212081">
      <w:pPr>
        <w:bidi w:val="0"/>
        <w:rPr>
          <w:rFonts w:cs="Simplified Arabic"/>
        </w:rPr>
      </w:pPr>
    </w:p>
    <w:p w:rsidR="00212081" w:rsidRPr="00010E1A" w:rsidRDefault="00212081" w:rsidP="00212081">
      <w:pPr>
        <w:bidi w:val="0"/>
        <w:rPr>
          <w:rFonts w:cs="Simplified Arabic"/>
        </w:rPr>
      </w:pPr>
    </w:p>
    <w:p w:rsidR="00212081" w:rsidRPr="00010E1A" w:rsidRDefault="00212081" w:rsidP="00212081">
      <w:pPr>
        <w:bidi w:val="0"/>
        <w:rPr>
          <w:rFonts w:cs="Simplified Arabic"/>
        </w:rPr>
      </w:pPr>
    </w:p>
    <w:p w:rsidR="00212081" w:rsidRPr="00010E1A" w:rsidRDefault="00212081" w:rsidP="00212081">
      <w:pPr>
        <w:bidi w:val="0"/>
        <w:rPr>
          <w:rFonts w:cs="Simplified Arabic"/>
        </w:rPr>
      </w:pPr>
    </w:p>
    <w:p w:rsidR="00212081" w:rsidRPr="00010E1A" w:rsidRDefault="00212081" w:rsidP="00212081">
      <w:pPr>
        <w:bidi w:val="0"/>
        <w:rPr>
          <w:rFonts w:cs="Simplified Arabic"/>
        </w:rPr>
      </w:pPr>
    </w:p>
    <w:p w:rsidR="00212081" w:rsidRPr="00010E1A" w:rsidRDefault="00212081" w:rsidP="00212081">
      <w:pPr>
        <w:bidi w:val="0"/>
        <w:rPr>
          <w:rFonts w:cs="Simplified Arabic"/>
        </w:rPr>
      </w:pPr>
    </w:p>
    <w:p w:rsidR="00212081" w:rsidRPr="00010E1A" w:rsidRDefault="00212081" w:rsidP="00212081">
      <w:pPr>
        <w:bidi w:val="0"/>
        <w:rPr>
          <w:rFonts w:cs="Simplified Arabic"/>
        </w:rPr>
      </w:pPr>
    </w:p>
    <w:p w:rsidR="00D42E4C" w:rsidRDefault="00212081" w:rsidP="00F740AE">
      <w:pPr>
        <w:bidi w:val="0"/>
        <w:jc w:val="center"/>
        <w:rPr>
          <w:rFonts w:cs="Simplified Arabic"/>
          <w:b/>
          <w:bCs/>
          <w:sz w:val="28"/>
          <w:szCs w:val="28"/>
        </w:rPr>
      </w:pPr>
      <w:r w:rsidRPr="00010E1A">
        <w:rPr>
          <w:rFonts w:cs="Simplified Arabic"/>
          <w:b/>
          <w:bCs/>
          <w:sz w:val="28"/>
          <w:szCs w:val="28"/>
        </w:rPr>
        <w:br w:type="page"/>
      </w: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D42E4C" w:rsidRDefault="00D42E4C" w:rsidP="00D42E4C">
      <w:pPr>
        <w:bidi w:val="0"/>
        <w:jc w:val="center"/>
        <w:rPr>
          <w:rFonts w:cs="Simplified Arabic"/>
          <w:b/>
          <w:bCs/>
          <w:sz w:val="28"/>
          <w:szCs w:val="28"/>
        </w:rPr>
      </w:pPr>
    </w:p>
    <w:p w:rsidR="00F740AE" w:rsidRPr="00010E1A" w:rsidRDefault="00F740AE" w:rsidP="00D42E4C">
      <w:pPr>
        <w:bidi w:val="0"/>
        <w:jc w:val="center"/>
        <w:rPr>
          <w:rFonts w:cs="Simplified Arabic"/>
          <w:b/>
          <w:bCs/>
          <w:sz w:val="28"/>
          <w:szCs w:val="28"/>
        </w:rPr>
      </w:pPr>
      <w:r w:rsidRPr="00010E1A">
        <w:rPr>
          <w:rFonts w:cs="Simplified Arabic"/>
          <w:b/>
          <w:bCs/>
          <w:sz w:val="28"/>
          <w:szCs w:val="28"/>
        </w:rPr>
        <w:lastRenderedPageBreak/>
        <w:t>Important Notes</w:t>
      </w:r>
    </w:p>
    <w:p w:rsidR="00F740AE" w:rsidRPr="00010E1A" w:rsidRDefault="00F740AE" w:rsidP="00F740AE">
      <w:pPr>
        <w:bidi w:val="0"/>
        <w:jc w:val="both"/>
        <w:rPr>
          <w:rFonts w:cs="Simplified Arabic"/>
          <w:b/>
          <w:bCs/>
          <w:sz w:val="28"/>
          <w:szCs w:val="28"/>
        </w:rPr>
      </w:pPr>
    </w:p>
    <w:p w:rsidR="00F740AE" w:rsidRPr="00010E1A" w:rsidRDefault="00F740AE" w:rsidP="00F740AE">
      <w:pPr>
        <w:pStyle w:val="ListParagraph"/>
        <w:numPr>
          <w:ilvl w:val="0"/>
          <w:numId w:val="3"/>
        </w:numPr>
        <w:bidi w:val="0"/>
        <w:jc w:val="both"/>
        <w:rPr>
          <w:rFonts w:cs="Simplified Arabic"/>
        </w:rPr>
      </w:pPr>
      <w:r w:rsidRPr="00010E1A">
        <w:rPr>
          <w:rFonts w:cs="Simplified Arabic"/>
        </w:rPr>
        <w:t>Statistics presented at constant prices, using 2015 as the base year.</w:t>
      </w:r>
    </w:p>
    <w:p w:rsidR="00F740AE" w:rsidRPr="00010E1A" w:rsidRDefault="00F740AE" w:rsidP="00F740AE">
      <w:pPr>
        <w:bidi w:val="0"/>
        <w:jc w:val="both"/>
        <w:rPr>
          <w:rFonts w:cs="Simplified Arabic"/>
        </w:rPr>
      </w:pPr>
      <w:r w:rsidRPr="00010E1A">
        <w:rPr>
          <w:rFonts w:cs="Simplified Arabic"/>
        </w:rPr>
        <w:t xml:space="preserve">  </w:t>
      </w:r>
    </w:p>
    <w:p w:rsidR="00F740AE" w:rsidRDefault="00F740AE" w:rsidP="00D42E4C">
      <w:pPr>
        <w:pStyle w:val="ListParagraph"/>
        <w:numPr>
          <w:ilvl w:val="0"/>
          <w:numId w:val="3"/>
        </w:numPr>
        <w:bidi w:val="0"/>
        <w:jc w:val="both"/>
        <w:rPr>
          <w:rFonts w:cs="Simplified Arabic"/>
        </w:rPr>
      </w:pPr>
      <w:bookmarkStart w:id="0" w:name="OLE_LINK1"/>
      <w:r w:rsidRPr="00010E1A">
        <w:rPr>
          <w:rFonts w:cs="Simplified Arabic"/>
        </w:rPr>
        <w:t xml:space="preserve">Data related to the </w:t>
      </w:r>
      <w:r w:rsidR="007B2FBF">
        <w:rPr>
          <w:rFonts w:cs="Simplified Arabic"/>
        </w:rPr>
        <w:t>first</w:t>
      </w:r>
      <w:r w:rsidRPr="00010E1A">
        <w:rPr>
          <w:rFonts w:cs="Simplified Arabic"/>
        </w:rPr>
        <w:t xml:space="preserve"> quarter </w:t>
      </w:r>
      <w:r w:rsidR="005B774A" w:rsidRPr="00010E1A">
        <w:rPr>
          <w:rFonts w:cs="Simplified Arabic"/>
        </w:rPr>
        <w:t xml:space="preserve">of </w:t>
      </w:r>
      <w:r w:rsidR="00D42E4C">
        <w:rPr>
          <w:rFonts w:cs="Simplified Arabic"/>
        </w:rPr>
        <w:t>2025</w:t>
      </w:r>
      <w:r w:rsidRPr="00010E1A">
        <w:rPr>
          <w:rFonts w:cs="Simplified Arabic"/>
        </w:rPr>
        <w:t xml:space="preserve"> are flash estimates, and it is preliminary </w:t>
      </w:r>
      <w:r w:rsidR="00CD3D30" w:rsidRPr="00010E1A">
        <w:rPr>
          <w:rFonts w:cs="Simplified Arabic"/>
        </w:rPr>
        <w:t>and will</w:t>
      </w:r>
      <w:r w:rsidR="00B65B0F" w:rsidRPr="00010E1A">
        <w:rPr>
          <w:rFonts w:cs="Simplified Arabic"/>
        </w:rPr>
        <w:t xml:space="preserve"> </w:t>
      </w:r>
      <w:r w:rsidRPr="00010E1A">
        <w:rPr>
          <w:rFonts w:cs="Simplified Arabic"/>
        </w:rPr>
        <w:t>be revised based on the available short-term indicators, taking into consideration that the final version of the Quarterly National Accounts will be issued after finalizing the Annual National Accounts.  The under-coverage of exports and imports data was estimated based on the balancing procedure for the Supply and Use sides of the economy.</w:t>
      </w:r>
    </w:p>
    <w:p w:rsidR="006D4570" w:rsidRPr="006D4570" w:rsidRDefault="006D4570" w:rsidP="006D4570">
      <w:pPr>
        <w:pStyle w:val="ListParagraph"/>
        <w:rPr>
          <w:rFonts w:cs="Simplified Arabic"/>
        </w:rPr>
      </w:pPr>
    </w:p>
    <w:p w:rsidR="006D4570" w:rsidRDefault="006D4570" w:rsidP="00D42E4C">
      <w:pPr>
        <w:pStyle w:val="ListParagraph"/>
        <w:numPr>
          <w:ilvl w:val="0"/>
          <w:numId w:val="3"/>
        </w:numPr>
        <w:bidi w:val="0"/>
        <w:jc w:val="both"/>
        <w:rPr>
          <w:rFonts w:cs="Simplified Arabic"/>
        </w:rPr>
      </w:pPr>
      <w:r w:rsidRPr="006D4570">
        <w:rPr>
          <w:rFonts w:cs="Simplified Arabic"/>
        </w:rPr>
        <w:t xml:space="preserve">This </w:t>
      </w:r>
      <w:r>
        <w:rPr>
          <w:rFonts w:cs="Simplified Arabic"/>
        </w:rPr>
        <w:t xml:space="preserve">press release </w:t>
      </w:r>
      <w:r w:rsidRPr="006D4570">
        <w:rPr>
          <w:rFonts w:cs="Simplified Arabic"/>
        </w:rPr>
        <w:t xml:space="preserve">was issued in light of the Israeli occupation’s aggression against the Gaza Strip and the accompanying repercussions on the West Bank. The quarterly national accounts data for </w:t>
      </w:r>
      <w:r>
        <w:rPr>
          <w:rFonts w:cs="Simplified Arabic"/>
        </w:rPr>
        <w:t xml:space="preserve">the </w:t>
      </w:r>
      <w:r w:rsidRPr="006D4570">
        <w:rPr>
          <w:rFonts w:cs="Simplified Arabic"/>
        </w:rPr>
        <w:t xml:space="preserve">West Bank were prepared based on the available short-term indicators, while the national accounts for Gaza Strip were prepared based on </w:t>
      </w:r>
      <w:r>
        <w:rPr>
          <w:rFonts w:cs="Simplified Arabic"/>
        </w:rPr>
        <w:t>the E</w:t>
      </w:r>
      <w:r w:rsidRPr="006D4570">
        <w:rPr>
          <w:rFonts w:cs="Simplified Arabic"/>
        </w:rPr>
        <w:t xml:space="preserve">conomic </w:t>
      </w:r>
      <w:r>
        <w:rPr>
          <w:rFonts w:cs="Simplified Arabic"/>
        </w:rPr>
        <w:t>Forecasts press release</w:t>
      </w:r>
      <w:r w:rsidRPr="006D4570">
        <w:rPr>
          <w:rFonts w:cs="Simplified Arabic"/>
        </w:rPr>
        <w:t xml:space="preserve"> for the year </w:t>
      </w:r>
      <w:r w:rsidR="00D42E4C">
        <w:rPr>
          <w:rFonts w:cs="Simplified Arabic"/>
        </w:rPr>
        <w:t>2025</w:t>
      </w:r>
      <w:r w:rsidRPr="006D4570">
        <w:rPr>
          <w:rFonts w:cs="Simplified Arabic"/>
        </w:rPr>
        <w:t>.</w:t>
      </w:r>
    </w:p>
    <w:p w:rsidR="00D42E4C" w:rsidRPr="00D42E4C" w:rsidRDefault="00D42E4C" w:rsidP="00D42E4C">
      <w:pPr>
        <w:pStyle w:val="ListParagraph"/>
        <w:rPr>
          <w:rFonts w:cs="Simplified Arabic"/>
        </w:rPr>
      </w:pPr>
    </w:p>
    <w:p w:rsidR="00D42E4C" w:rsidRDefault="00D42E4C" w:rsidP="006F07FB">
      <w:pPr>
        <w:pStyle w:val="ListParagraph"/>
        <w:numPr>
          <w:ilvl w:val="0"/>
          <w:numId w:val="3"/>
        </w:numPr>
        <w:bidi w:val="0"/>
        <w:jc w:val="both"/>
        <w:rPr>
          <w:rFonts w:cs="Simplified Arabic"/>
        </w:rPr>
      </w:pPr>
      <w:r w:rsidRPr="00D42E4C">
        <w:rPr>
          <w:rFonts w:cs="Simplified Arabic"/>
        </w:rPr>
        <w:t>The value of final household consumption at current prices in the Gaza Strip decreased due to the sharp decline in consumer prices, while the value increased at constant prices, which indicates that the quantity of consumption increased.</w:t>
      </w:r>
    </w:p>
    <w:p w:rsidR="005B774A" w:rsidRPr="005B774A" w:rsidRDefault="005B774A" w:rsidP="005B774A">
      <w:pPr>
        <w:pStyle w:val="ListParagraph"/>
        <w:rPr>
          <w:rFonts w:cs="Simplified Arabic"/>
        </w:rPr>
      </w:pPr>
    </w:p>
    <w:p w:rsidR="005B774A" w:rsidRPr="006D4570" w:rsidRDefault="005B774A" w:rsidP="00D42E4C">
      <w:pPr>
        <w:pStyle w:val="ListParagraph"/>
        <w:bidi w:val="0"/>
        <w:jc w:val="both"/>
        <w:rPr>
          <w:rFonts w:cs="Simplified Arabic"/>
        </w:rPr>
      </w:pPr>
    </w:p>
    <w:p w:rsidR="006D4570" w:rsidRPr="00010E1A" w:rsidRDefault="006D4570" w:rsidP="006D4570">
      <w:pPr>
        <w:pStyle w:val="ListParagraph"/>
        <w:bidi w:val="0"/>
        <w:jc w:val="both"/>
        <w:rPr>
          <w:rFonts w:cs="Simplified Arabic"/>
        </w:rPr>
      </w:pPr>
    </w:p>
    <w:p w:rsidR="00F740AE" w:rsidRPr="006D4570" w:rsidRDefault="00F740AE" w:rsidP="00F740AE">
      <w:pPr>
        <w:pStyle w:val="ListParagraph"/>
        <w:rPr>
          <w:rFonts w:cs="Simplified Arabic"/>
        </w:rPr>
      </w:pPr>
    </w:p>
    <w:bookmarkEnd w:id="0"/>
    <w:p w:rsidR="006A13C2" w:rsidRPr="006D4570" w:rsidRDefault="006A13C2" w:rsidP="006A13C2">
      <w:pPr>
        <w:pStyle w:val="ListParagraph"/>
        <w:rPr>
          <w:rFonts w:cs="Simplified Arabic"/>
        </w:rPr>
      </w:pPr>
    </w:p>
    <w:p w:rsidR="00F73374" w:rsidRPr="00010E1A" w:rsidRDefault="00F73374" w:rsidP="00F740AE">
      <w:pPr>
        <w:bidi w:val="0"/>
        <w:jc w:val="center"/>
        <w:rPr>
          <w:rFonts w:cs="Simplified Arabic"/>
        </w:rPr>
      </w:pPr>
    </w:p>
    <w:p w:rsidR="002C5A81" w:rsidRPr="00010E1A" w:rsidRDefault="002C5A81" w:rsidP="002C5A81">
      <w:pPr>
        <w:bidi w:val="0"/>
        <w:jc w:val="both"/>
        <w:rPr>
          <w:rFonts w:cs="Simplified Arabic"/>
        </w:rPr>
      </w:pPr>
    </w:p>
    <w:p w:rsidR="00212081" w:rsidRPr="00010E1A" w:rsidRDefault="00212081" w:rsidP="00AA43D0">
      <w:pPr>
        <w:bidi w:val="0"/>
        <w:jc w:val="center"/>
        <w:rPr>
          <w:rFonts w:cs="Simplified Arabic"/>
        </w:rPr>
      </w:pPr>
    </w:p>
    <w:p w:rsidR="0082700B" w:rsidRPr="00010E1A" w:rsidRDefault="0082700B" w:rsidP="0082700B">
      <w:pPr>
        <w:tabs>
          <w:tab w:val="left" w:pos="3071"/>
          <w:tab w:val="center" w:pos="4535"/>
        </w:tabs>
        <w:spacing w:line="240" w:lineRule="exact"/>
        <w:jc w:val="both"/>
        <w:rPr>
          <w:rFonts w:cs="Simplified Arabic"/>
          <w:rtl/>
          <w:lang w:eastAsia="en-US"/>
        </w:rPr>
      </w:pPr>
      <w:r w:rsidRPr="00010E1A">
        <w:rPr>
          <w:rFonts w:cs="Simplified Arabic"/>
          <w:rtl/>
          <w:lang w:eastAsia="en-US"/>
        </w:rPr>
        <w:tab/>
      </w:r>
      <w:r w:rsidRPr="00010E1A">
        <w:rPr>
          <w:rFonts w:cs="Simplified Arabic"/>
          <w:rtl/>
          <w:lang w:eastAsia="en-US"/>
        </w:rPr>
        <w:tab/>
      </w:r>
    </w:p>
    <w:p w:rsidR="00212081" w:rsidRPr="00010E1A" w:rsidRDefault="00212081" w:rsidP="00212081">
      <w:pPr>
        <w:bidi w:val="0"/>
        <w:rPr>
          <w:b/>
          <w:bCs/>
          <w:sz w:val="28"/>
          <w:szCs w:val="28"/>
        </w:rPr>
      </w:pPr>
    </w:p>
    <w:p w:rsidR="00212081" w:rsidRPr="00010E1A" w:rsidRDefault="00212081" w:rsidP="00212081">
      <w:pPr>
        <w:bidi w:val="0"/>
        <w:jc w:val="center"/>
        <w:rPr>
          <w:b/>
          <w:bCs/>
          <w:sz w:val="28"/>
          <w:szCs w:val="28"/>
        </w:rPr>
      </w:pPr>
    </w:p>
    <w:p w:rsidR="00212081" w:rsidRPr="00010E1A" w:rsidRDefault="00212081" w:rsidP="00212081">
      <w:pPr>
        <w:bidi w:val="0"/>
        <w:jc w:val="center"/>
        <w:rPr>
          <w:b/>
          <w:bCs/>
          <w:sz w:val="28"/>
          <w:szCs w:val="28"/>
        </w:rPr>
      </w:pPr>
    </w:p>
    <w:p w:rsidR="00212081" w:rsidRPr="00010E1A" w:rsidRDefault="00212081" w:rsidP="00212081">
      <w:pPr>
        <w:bidi w:val="0"/>
        <w:jc w:val="center"/>
        <w:rPr>
          <w:b/>
          <w:bCs/>
          <w:sz w:val="28"/>
          <w:szCs w:val="28"/>
        </w:rPr>
      </w:pPr>
    </w:p>
    <w:p w:rsidR="00212081" w:rsidRPr="00010E1A" w:rsidRDefault="00212081" w:rsidP="00212081">
      <w:pPr>
        <w:bidi w:val="0"/>
        <w:jc w:val="center"/>
        <w:rPr>
          <w:b/>
          <w:bCs/>
          <w:sz w:val="28"/>
          <w:szCs w:val="28"/>
        </w:rPr>
      </w:pPr>
    </w:p>
    <w:p w:rsidR="00212081" w:rsidRPr="00010E1A" w:rsidRDefault="00212081" w:rsidP="00212081">
      <w:pPr>
        <w:bidi w:val="0"/>
        <w:jc w:val="center"/>
        <w:rPr>
          <w:b/>
          <w:bCs/>
          <w:sz w:val="28"/>
          <w:szCs w:val="28"/>
        </w:rPr>
      </w:pPr>
    </w:p>
    <w:p w:rsidR="00212081" w:rsidRPr="00010E1A" w:rsidRDefault="00212081" w:rsidP="00212081">
      <w:pPr>
        <w:bidi w:val="0"/>
        <w:jc w:val="center"/>
        <w:rPr>
          <w:b/>
          <w:bCs/>
          <w:sz w:val="28"/>
          <w:szCs w:val="28"/>
        </w:rPr>
      </w:pPr>
    </w:p>
    <w:p w:rsidR="00212081" w:rsidRPr="00010E1A" w:rsidRDefault="00212081" w:rsidP="00212081">
      <w:pPr>
        <w:bidi w:val="0"/>
        <w:jc w:val="center"/>
        <w:rPr>
          <w:b/>
          <w:bCs/>
          <w:sz w:val="28"/>
          <w:szCs w:val="28"/>
        </w:rPr>
      </w:pPr>
    </w:p>
    <w:p w:rsidR="00212081" w:rsidRPr="00010E1A" w:rsidRDefault="00212081" w:rsidP="00212081">
      <w:pPr>
        <w:bidi w:val="0"/>
        <w:jc w:val="center"/>
        <w:rPr>
          <w:b/>
          <w:bCs/>
          <w:sz w:val="28"/>
          <w:szCs w:val="28"/>
        </w:rPr>
      </w:pPr>
    </w:p>
    <w:p w:rsidR="00212081" w:rsidRPr="00010E1A" w:rsidRDefault="00212081" w:rsidP="00212081">
      <w:pPr>
        <w:bidi w:val="0"/>
        <w:jc w:val="center"/>
        <w:rPr>
          <w:b/>
          <w:bCs/>
          <w:sz w:val="28"/>
          <w:szCs w:val="28"/>
        </w:rPr>
      </w:pPr>
    </w:p>
    <w:p w:rsidR="00212081" w:rsidRPr="00010E1A" w:rsidRDefault="00212081" w:rsidP="00212081">
      <w:pPr>
        <w:bidi w:val="0"/>
        <w:jc w:val="center"/>
        <w:rPr>
          <w:b/>
          <w:bCs/>
          <w:sz w:val="28"/>
          <w:szCs w:val="28"/>
        </w:rPr>
      </w:pPr>
    </w:p>
    <w:p w:rsidR="00212081" w:rsidRPr="00010E1A" w:rsidRDefault="00212081" w:rsidP="00212081">
      <w:pPr>
        <w:bidi w:val="0"/>
        <w:jc w:val="center"/>
        <w:rPr>
          <w:b/>
          <w:bCs/>
          <w:sz w:val="28"/>
          <w:szCs w:val="28"/>
        </w:rPr>
      </w:pPr>
    </w:p>
    <w:p w:rsidR="00212081" w:rsidRPr="00010E1A" w:rsidRDefault="00212081" w:rsidP="00212081">
      <w:pPr>
        <w:bidi w:val="0"/>
        <w:jc w:val="center"/>
        <w:rPr>
          <w:b/>
          <w:bCs/>
          <w:sz w:val="28"/>
          <w:szCs w:val="28"/>
        </w:rPr>
      </w:pPr>
    </w:p>
    <w:p w:rsidR="00212081" w:rsidRPr="00010E1A" w:rsidRDefault="00212081" w:rsidP="00212081">
      <w:pPr>
        <w:bidi w:val="0"/>
        <w:jc w:val="center"/>
        <w:rPr>
          <w:b/>
          <w:bCs/>
          <w:sz w:val="28"/>
          <w:szCs w:val="28"/>
        </w:rPr>
      </w:pPr>
    </w:p>
    <w:p w:rsidR="00212081" w:rsidRPr="00010E1A" w:rsidRDefault="00212081" w:rsidP="00212081">
      <w:pPr>
        <w:bidi w:val="0"/>
        <w:jc w:val="center"/>
        <w:rPr>
          <w:b/>
          <w:bCs/>
          <w:sz w:val="28"/>
          <w:szCs w:val="28"/>
        </w:rPr>
      </w:pPr>
    </w:p>
    <w:p w:rsidR="00212081" w:rsidRPr="00010E1A" w:rsidRDefault="00212081" w:rsidP="00212081">
      <w:pPr>
        <w:bidi w:val="0"/>
        <w:jc w:val="center"/>
        <w:rPr>
          <w:b/>
          <w:bCs/>
          <w:sz w:val="28"/>
          <w:szCs w:val="28"/>
        </w:rPr>
      </w:pPr>
    </w:p>
    <w:p w:rsidR="00212081" w:rsidRPr="00010E1A" w:rsidRDefault="00212081" w:rsidP="00212081">
      <w:pPr>
        <w:bidi w:val="0"/>
        <w:jc w:val="center"/>
        <w:rPr>
          <w:b/>
          <w:bCs/>
          <w:sz w:val="28"/>
          <w:szCs w:val="28"/>
        </w:rPr>
      </w:pPr>
    </w:p>
    <w:p w:rsidR="00212081" w:rsidRPr="00010E1A" w:rsidRDefault="00212081" w:rsidP="00212081">
      <w:pPr>
        <w:bidi w:val="0"/>
        <w:jc w:val="center"/>
        <w:rPr>
          <w:b/>
          <w:bCs/>
          <w:sz w:val="28"/>
          <w:szCs w:val="28"/>
        </w:rPr>
      </w:pPr>
    </w:p>
    <w:p w:rsidR="00212081" w:rsidRPr="00010E1A" w:rsidRDefault="00212081" w:rsidP="00212081">
      <w:pPr>
        <w:bidi w:val="0"/>
        <w:jc w:val="center"/>
        <w:rPr>
          <w:b/>
          <w:bCs/>
          <w:sz w:val="28"/>
          <w:szCs w:val="28"/>
        </w:rPr>
      </w:pPr>
    </w:p>
    <w:p w:rsidR="00212081" w:rsidRPr="00010E1A" w:rsidRDefault="00212081" w:rsidP="00212081">
      <w:pPr>
        <w:bidi w:val="0"/>
        <w:jc w:val="center"/>
        <w:rPr>
          <w:b/>
          <w:bCs/>
          <w:sz w:val="28"/>
          <w:szCs w:val="28"/>
        </w:rPr>
      </w:pPr>
    </w:p>
    <w:p w:rsidR="00212081" w:rsidRPr="00010E1A" w:rsidRDefault="00212081" w:rsidP="00212081">
      <w:pPr>
        <w:bidi w:val="0"/>
        <w:jc w:val="center"/>
        <w:rPr>
          <w:b/>
          <w:bCs/>
          <w:sz w:val="28"/>
          <w:szCs w:val="28"/>
        </w:rPr>
      </w:pPr>
    </w:p>
    <w:p w:rsidR="00212081" w:rsidRPr="00010E1A" w:rsidRDefault="00212081" w:rsidP="00212081">
      <w:pPr>
        <w:bidi w:val="0"/>
        <w:jc w:val="center"/>
        <w:rPr>
          <w:b/>
          <w:bCs/>
          <w:sz w:val="28"/>
          <w:szCs w:val="28"/>
          <w:rtl/>
        </w:rPr>
        <w:sectPr w:rsidR="00212081" w:rsidRPr="00010E1A" w:rsidSect="0084218B">
          <w:headerReference w:type="default" r:id="rId10"/>
          <w:footerReference w:type="even" r:id="rId11"/>
          <w:footerReference w:type="default" r:id="rId12"/>
          <w:pgSz w:w="11906" w:h="16838" w:code="9"/>
          <w:pgMar w:top="1418" w:right="1418" w:bottom="1418" w:left="1418" w:header="709" w:footer="709" w:gutter="0"/>
          <w:pgNumType w:start="5"/>
          <w:cols w:space="708"/>
          <w:titlePg/>
          <w:bidi/>
          <w:rtlGutter/>
          <w:docGrid w:linePitch="360"/>
        </w:sectPr>
      </w:pPr>
    </w:p>
    <w:p w:rsidR="00F740AE" w:rsidRPr="008C48C6" w:rsidRDefault="00F740AE" w:rsidP="00F740AE">
      <w:pPr>
        <w:pStyle w:val="Heading7"/>
        <w:bidi w:val="0"/>
        <w:ind w:right="-110"/>
        <w:jc w:val="center"/>
        <w:rPr>
          <w:sz w:val="28"/>
          <w:szCs w:val="28"/>
          <w:vertAlign w:val="superscript"/>
        </w:rPr>
      </w:pPr>
      <w:r w:rsidRPr="008C48C6">
        <w:rPr>
          <w:sz w:val="28"/>
          <w:szCs w:val="28"/>
        </w:rPr>
        <w:lastRenderedPageBreak/>
        <w:t>Main Results</w:t>
      </w:r>
      <w:r w:rsidRPr="008C48C6">
        <w:rPr>
          <w:rStyle w:val="FootnoteReference"/>
          <w:sz w:val="28"/>
          <w:szCs w:val="28"/>
        </w:rPr>
        <w:footnoteReference w:id="1"/>
      </w:r>
      <w:r w:rsidRPr="008C48C6">
        <w:rPr>
          <w:sz w:val="28"/>
          <w:szCs w:val="28"/>
          <w:vertAlign w:val="superscript"/>
        </w:rPr>
        <w:t xml:space="preserve"> </w:t>
      </w:r>
    </w:p>
    <w:p w:rsidR="00F740AE" w:rsidRPr="008C48C6" w:rsidRDefault="00F740AE" w:rsidP="00F740AE">
      <w:pPr>
        <w:pStyle w:val="Heading7"/>
        <w:bidi w:val="0"/>
        <w:ind w:right="-110"/>
        <w:jc w:val="both"/>
      </w:pPr>
    </w:p>
    <w:p w:rsidR="00A00F25" w:rsidRPr="008C48C6" w:rsidRDefault="00A412A7" w:rsidP="006F07FB">
      <w:pPr>
        <w:bidi w:val="0"/>
        <w:jc w:val="center"/>
        <w:rPr>
          <w:rFonts w:asciiTheme="majorBidi" w:hAnsiTheme="majorBidi" w:cstheme="majorBidi"/>
          <w:b/>
          <w:bCs/>
          <w:rtl/>
        </w:rPr>
      </w:pPr>
      <w:r w:rsidRPr="00A412A7">
        <w:rPr>
          <w:rFonts w:asciiTheme="majorBidi" w:hAnsiTheme="majorBidi" w:cstheme="majorBidi"/>
          <w:b/>
          <w:bCs/>
        </w:rPr>
        <w:t xml:space="preserve">Palestine's </w:t>
      </w:r>
      <w:r>
        <w:rPr>
          <w:rFonts w:asciiTheme="majorBidi" w:hAnsiTheme="majorBidi" w:cstheme="majorBidi"/>
          <w:b/>
          <w:bCs/>
        </w:rPr>
        <w:t>G</w:t>
      </w:r>
      <w:r w:rsidR="00205B60" w:rsidRPr="008C48C6">
        <w:rPr>
          <w:rFonts w:asciiTheme="majorBidi" w:hAnsiTheme="majorBidi" w:cstheme="majorBidi"/>
          <w:b/>
          <w:bCs/>
        </w:rPr>
        <w:t xml:space="preserve">ross </w:t>
      </w:r>
      <w:r>
        <w:rPr>
          <w:rFonts w:asciiTheme="majorBidi" w:hAnsiTheme="majorBidi" w:cstheme="majorBidi"/>
          <w:b/>
          <w:bCs/>
        </w:rPr>
        <w:t>D</w:t>
      </w:r>
      <w:r w:rsidR="00205B60" w:rsidRPr="008C48C6">
        <w:rPr>
          <w:rFonts w:asciiTheme="majorBidi" w:hAnsiTheme="majorBidi" w:cstheme="majorBidi"/>
          <w:b/>
          <w:bCs/>
        </w:rPr>
        <w:t xml:space="preserve">omestic </w:t>
      </w:r>
      <w:r>
        <w:rPr>
          <w:rFonts w:asciiTheme="majorBidi" w:hAnsiTheme="majorBidi" w:cstheme="majorBidi"/>
          <w:b/>
          <w:bCs/>
        </w:rPr>
        <w:t>P</w:t>
      </w:r>
      <w:r w:rsidR="00205B60" w:rsidRPr="008C48C6">
        <w:rPr>
          <w:rFonts w:asciiTheme="majorBidi" w:hAnsiTheme="majorBidi" w:cstheme="majorBidi"/>
          <w:b/>
          <w:bCs/>
        </w:rPr>
        <w:t xml:space="preserve">roduct </w:t>
      </w:r>
      <w:r w:rsidRPr="00A412A7">
        <w:rPr>
          <w:rFonts w:asciiTheme="majorBidi" w:hAnsiTheme="majorBidi" w:cstheme="majorBidi"/>
          <w:b/>
          <w:bCs/>
        </w:rPr>
        <w:t>decline</w:t>
      </w:r>
      <w:r w:rsidR="006F07FB">
        <w:rPr>
          <w:rFonts w:asciiTheme="majorBidi" w:hAnsiTheme="majorBidi" w:cstheme="majorBidi"/>
          <w:b/>
          <w:bCs/>
        </w:rPr>
        <w:t>d</w:t>
      </w:r>
      <w:r>
        <w:rPr>
          <w:rFonts w:asciiTheme="majorBidi" w:hAnsiTheme="majorBidi" w:cstheme="majorBidi"/>
          <w:b/>
          <w:bCs/>
        </w:rPr>
        <w:t xml:space="preserve"> by 1% during the first quarter </w:t>
      </w:r>
      <w:r w:rsidRPr="00A412A7">
        <w:rPr>
          <w:rFonts w:asciiTheme="majorBidi" w:hAnsiTheme="majorBidi" w:cstheme="majorBidi"/>
          <w:b/>
          <w:bCs/>
        </w:rPr>
        <w:t>of 2025 compared to the fourth quarter of 2024</w:t>
      </w:r>
      <w:r>
        <w:rPr>
          <w:rFonts w:asciiTheme="majorBidi" w:hAnsiTheme="majorBidi" w:cstheme="majorBidi"/>
          <w:b/>
          <w:bCs/>
        </w:rPr>
        <w:t xml:space="preserve"> </w:t>
      </w:r>
      <w:r w:rsidR="00E52984" w:rsidRPr="008C48C6">
        <w:rPr>
          <w:rFonts w:asciiTheme="majorBidi" w:hAnsiTheme="majorBidi" w:cstheme="majorBidi"/>
          <w:b/>
          <w:bCs/>
        </w:rPr>
        <w:t>as a result of the ongoing Israeli aggression against Palestine.</w:t>
      </w:r>
      <w:r>
        <w:rPr>
          <w:rFonts w:asciiTheme="majorBidi" w:hAnsiTheme="majorBidi" w:cstheme="majorBidi"/>
          <w:b/>
          <w:bCs/>
        </w:rPr>
        <w:t xml:space="preserve">  </w:t>
      </w:r>
      <w:r w:rsidRPr="00A412A7">
        <w:rPr>
          <w:rFonts w:asciiTheme="majorBidi" w:hAnsiTheme="majorBidi" w:cstheme="majorBidi"/>
          <w:b/>
          <w:bCs/>
        </w:rPr>
        <w:t>This was accompanied by a 1.1% decline in the West Bank economy.</w:t>
      </w:r>
    </w:p>
    <w:p w:rsidR="00A412A7" w:rsidRPr="008C48C6" w:rsidRDefault="0026011E" w:rsidP="00A412A7">
      <w:pPr>
        <w:bidi w:val="0"/>
        <w:jc w:val="center"/>
        <w:rPr>
          <w:rFonts w:asciiTheme="majorBidi" w:hAnsiTheme="majorBidi" w:cstheme="majorBidi"/>
          <w:b/>
          <w:bCs/>
        </w:rPr>
      </w:pPr>
      <w:r w:rsidRPr="008C48C6">
        <w:rPr>
          <w:rFonts w:asciiTheme="majorBidi" w:hAnsiTheme="majorBidi" w:cstheme="majorBidi" w:hint="cs"/>
          <w:b/>
          <w:bCs/>
          <w:rtl/>
        </w:rPr>
        <w:t xml:space="preserve"> </w:t>
      </w:r>
    </w:p>
    <w:p w:rsidR="003B7ACC" w:rsidRPr="008C48C6" w:rsidRDefault="00324EAD" w:rsidP="009A45BB">
      <w:pPr>
        <w:bidi w:val="0"/>
        <w:jc w:val="both"/>
        <w:rPr>
          <w:lang w:eastAsia="en-US"/>
        </w:rPr>
      </w:pPr>
      <w:r w:rsidRPr="008C48C6">
        <w:rPr>
          <w:lang w:eastAsia="en-US"/>
        </w:rPr>
        <w:t xml:space="preserve">Primary estimates for GDP showed a </w:t>
      </w:r>
      <w:r w:rsidR="00617455" w:rsidRPr="008C48C6">
        <w:rPr>
          <w:lang w:eastAsia="en-US"/>
        </w:rPr>
        <w:t>de</w:t>
      </w:r>
      <w:r w:rsidRPr="008C48C6">
        <w:rPr>
          <w:lang w:eastAsia="en-US"/>
        </w:rPr>
        <w:t>crease</w:t>
      </w:r>
      <w:r w:rsidR="00C33465" w:rsidRPr="008C48C6">
        <w:rPr>
          <w:lang w:eastAsia="en-US"/>
        </w:rPr>
        <w:t xml:space="preserve"> of Gross Domestic Product in Palestine by</w:t>
      </w:r>
      <w:r w:rsidRPr="008C48C6">
        <w:rPr>
          <w:lang w:eastAsia="en-US"/>
        </w:rPr>
        <w:t xml:space="preserve"> </w:t>
      </w:r>
      <w:r w:rsidR="00FB7A4D">
        <w:rPr>
          <w:lang w:eastAsia="en-US"/>
        </w:rPr>
        <w:t>1</w:t>
      </w:r>
      <w:r w:rsidR="001417A5" w:rsidRPr="008C48C6">
        <w:rPr>
          <w:lang w:eastAsia="en-US"/>
        </w:rPr>
        <w:t>%</w:t>
      </w:r>
      <w:r w:rsidR="00BB5360" w:rsidRPr="008C48C6">
        <w:rPr>
          <w:lang w:eastAsia="en-US"/>
        </w:rPr>
        <w:t xml:space="preserve"> </w:t>
      </w:r>
      <w:r w:rsidRPr="008C48C6">
        <w:rPr>
          <w:lang w:eastAsia="en-US"/>
        </w:rPr>
        <w:t xml:space="preserve">during the </w:t>
      </w:r>
      <w:r w:rsidR="00527B9A" w:rsidRPr="008C48C6">
        <w:rPr>
          <w:lang w:eastAsia="en-US"/>
        </w:rPr>
        <w:t>1</w:t>
      </w:r>
      <w:r w:rsidR="00527B9A" w:rsidRPr="008C48C6">
        <w:rPr>
          <w:vertAlign w:val="superscript"/>
          <w:lang w:eastAsia="en-US"/>
        </w:rPr>
        <w:t>st</w:t>
      </w:r>
      <w:r w:rsidR="00E52984" w:rsidRPr="008C48C6">
        <w:rPr>
          <w:lang w:eastAsia="en-US"/>
        </w:rPr>
        <w:t xml:space="preserve"> </w:t>
      </w:r>
      <w:r w:rsidRPr="008C48C6">
        <w:rPr>
          <w:lang w:eastAsia="en-US"/>
        </w:rPr>
        <w:t xml:space="preserve">quarter </w:t>
      </w:r>
      <w:r w:rsidR="00E52984" w:rsidRPr="008C48C6">
        <w:rPr>
          <w:lang w:eastAsia="en-US"/>
        </w:rPr>
        <w:t xml:space="preserve">of </w:t>
      </w:r>
      <w:r w:rsidR="00FB7A4D">
        <w:rPr>
          <w:lang w:eastAsia="en-US"/>
        </w:rPr>
        <w:t>2025</w:t>
      </w:r>
      <w:r w:rsidRPr="008C48C6">
        <w:rPr>
          <w:lang w:eastAsia="en-US"/>
        </w:rPr>
        <w:t xml:space="preserve"> compared to the </w:t>
      </w:r>
      <w:r w:rsidR="00FB7A4D">
        <w:rPr>
          <w:lang w:eastAsia="en-US"/>
        </w:rPr>
        <w:t>4</w:t>
      </w:r>
      <w:r w:rsidR="00FB7A4D">
        <w:rPr>
          <w:vertAlign w:val="superscript"/>
          <w:lang w:eastAsia="en-US"/>
        </w:rPr>
        <w:t>th</w:t>
      </w:r>
      <w:r w:rsidR="00E52984" w:rsidRPr="008C48C6">
        <w:rPr>
          <w:lang w:eastAsia="en-US"/>
        </w:rPr>
        <w:t xml:space="preserve"> </w:t>
      </w:r>
      <w:r w:rsidR="00617455" w:rsidRPr="008C48C6">
        <w:rPr>
          <w:lang w:eastAsia="en-US"/>
        </w:rPr>
        <w:t xml:space="preserve">quarter </w:t>
      </w:r>
      <w:r w:rsidR="00E52984" w:rsidRPr="008C48C6">
        <w:rPr>
          <w:lang w:eastAsia="en-US"/>
        </w:rPr>
        <w:t xml:space="preserve">of </w:t>
      </w:r>
      <w:r w:rsidR="00FB7A4D">
        <w:rPr>
          <w:lang w:eastAsia="en-US"/>
        </w:rPr>
        <w:t>2024</w:t>
      </w:r>
      <w:r w:rsidRPr="008C48C6">
        <w:rPr>
          <w:lang w:eastAsia="en-US"/>
        </w:rPr>
        <w:t>,</w:t>
      </w:r>
      <w:r w:rsidRPr="008C48C6">
        <w:rPr>
          <w:rtl/>
          <w:lang w:eastAsia="en-US"/>
        </w:rPr>
        <w:t xml:space="preserve"> </w:t>
      </w:r>
      <w:r w:rsidR="00FB7A4D">
        <w:rPr>
          <w:lang w:eastAsia="en-US"/>
        </w:rPr>
        <w:t>most</w:t>
      </w:r>
      <w:r w:rsidR="003B7ACC" w:rsidRPr="008C48C6">
        <w:rPr>
          <w:lang w:eastAsia="en-US"/>
        </w:rPr>
        <w:t xml:space="preserve"> </w:t>
      </w:r>
      <w:r w:rsidR="00FB7A4D">
        <w:rPr>
          <w:lang w:eastAsia="en-US"/>
        </w:rPr>
        <w:t xml:space="preserve">of </w:t>
      </w:r>
      <w:r w:rsidR="009A45BB">
        <w:rPr>
          <w:lang w:eastAsia="en-US"/>
        </w:rPr>
        <w:t>economic activities recorded a</w:t>
      </w:r>
      <w:r w:rsidR="009A45BB">
        <w:rPr>
          <w:rFonts w:hint="cs"/>
          <w:rtl/>
          <w:lang w:eastAsia="en-US"/>
        </w:rPr>
        <w:t xml:space="preserve"> </w:t>
      </w:r>
      <w:bookmarkStart w:id="1" w:name="_GoBack"/>
      <w:bookmarkEnd w:id="1"/>
      <w:r w:rsidR="003B7ACC" w:rsidRPr="008C48C6">
        <w:rPr>
          <w:lang w:eastAsia="en-US"/>
        </w:rPr>
        <w:t xml:space="preserve">decline in </w:t>
      </w:r>
      <w:r w:rsidR="00E52984" w:rsidRPr="008C48C6">
        <w:rPr>
          <w:lang w:eastAsia="en-US"/>
        </w:rPr>
        <w:t>value-added</w:t>
      </w:r>
      <w:r w:rsidR="00FB7A4D">
        <w:rPr>
          <w:lang w:eastAsia="en-US"/>
        </w:rPr>
        <w:t xml:space="preserve"> in Palestine</w:t>
      </w:r>
      <w:r w:rsidR="003B7ACC" w:rsidRPr="008C48C6">
        <w:rPr>
          <w:lang w:eastAsia="en-US"/>
        </w:rPr>
        <w:t xml:space="preserve">, </w:t>
      </w:r>
      <w:r w:rsidR="00FB7A4D">
        <w:rPr>
          <w:lang w:eastAsia="en-US"/>
        </w:rPr>
        <w:t xml:space="preserve">as </w:t>
      </w:r>
      <w:r w:rsidR="00FB7A4D" w:rsidRPr="008C48C6">
        <w:rPr>
          <w:lang w:eastAsia="en-US"/>
        </w:rPr>
        <w:t>agriculture, forestry and fishing</w:t>
      </w:r>
      <w:r w:rsidR="00FB7A4D">
        <w:rPr>
          <w:rFonts w:hint="cs"/>
          <w:rtl/>
          <w:lang w:eastAsia="en-US"/>
        </w:rPr>
        <w:t xml:space="preserve">  </w:t>
      </w:r>
      <w:r w:rsidR="00FB7A4D">
        <w:rPr>
          <w:lang w:eastAsia="en-US"/>
        </w:rPr>
        <w:t xml:space="preserve"> activity declined by 3%, </w:t>
      </w:r>
      <w:r w:rsidR="00FB7A4D" w:rsidRPr="008C48C6">
        <w:rPr>
          <w:lang w:eastAsia="en-US"/>
        </w:rPr>
        <w:t xml:space="preserve">Mining, Manufacturing, Electricity and Water activity declined by </w:t>
      </w:r>
      <w:r w:rsidR="00FB7A4D">
        <w:rPr>
          <w:lang w:eastAsia="en-US"/>
        </w:rPr>
        <w:t xml:space="preserve">6%, </w:t>
      </w:r>
      <w:r w:rsidR="00FB7A4D" w:rsidRPr="008C48C6">
        <w:rPr>
          <w:lang w:eastAsia="en-US"/>
        </w:rPr>
        <w:t xml:space="preserve">Construction activity by </w:t>
      </w:r>
      <w:r w:rsidR="00FB7A4D">
        <w:rPr>
          <w:lang w:eastAsia="en-US"/>
        </w:rPr>
        <w:t>16</w:t>
      </w:r>
      <w:r w:rsidR="00FB7A4D" w:rsidRPr="008C48C6">
        <w:rPr>
          <w:lang w:eastAsia="en-US"/>
        </w:rPr>
        <w:t>%</w:t>
      </w:r>
      <w:r w:rsidR="00794368">
        <w:rPr>
          <w:lang w:eastAsia="en-US"/>
        </w:rPr>
        <w:t xml:space="preserve">, </w:t>
      </w:r>
      <w:r w:rsidR="00794368" w:rsidRPr="00794368">
        <w:rPr>
          <w:lang w:eastAsia="en-US"/>
        </w:rPr>
        <w:t>Transportation and Storage</w:t>
      </w:r>
      <w:r w:rsidR="00794368">
        <w:rPr>
          <w:lang w:eastAsia="en-US"/>
        </w:rPr>
        <w:t xml:space="preserve"> declined by 17%.  </w:t>
      </w:r>
      <w:r w:rsidR="00F678C7" w:rsidRPr="008C48C6">
        <w:rPr>
          <w:lang w:eastAsia="en-US"/>
        </w:rPr>
        <w:t>GDP for the</w:t>
      </w:r>
      <w:r w:rsidR="00794368">
        <w:rPr>
          <w:lang w:eastAsia="en-US"/>
        </w:rPr>
        <w:t xml:space="preserve"> </w:t>
      </w:r>
      <w:r w:rsidR="00794368" w:rsidRPr="008C48C6">
        <w:rPr>
          <w:lang w:eastAsia="en-US"/>
        </w:rPr>
        <w:t>1</w:t>
      </w:r>
      <w:r w:rsidR="00794368" w:rsidRPr="008C48C6">
        <w:rPr>
          <w:vertAlign w:val="superscript"/>
          <w:lang w:eastAsia="en-US"/>
        </w:rPr>
        <w:t>st</w:t>
      </w:r>
      <w:r w:rsidR="00794368" w:rsidRPr="008C48C6">
        <w:rPr>
          <w:lang w:eastAsia="en-US"/>
        </w:rPr>
        <w:t xml:space="preserve"> quarter</w:t>
      </w:r>
      <w:r w:rsidR="00F678C7" w:rsidRPr="008C48C6">
        <w:rPr>
          <w:lang w:eastAsia="en-US"/>
        </w:rPr>
        <w:t xml:space="preserve"> </w:t>
      </w:r>
      <w:r w:rsidR="00E52984" w:rsidRPr="008C48C6">
        <w:rPr>
          <w:lang w:eastAsia="en-US"/>
        </w:rPr>
        <w:t xml:space="preserve">of </w:t>
      </w:r>
      <w:r w:rsidR="00594C94">
        <w:rPr>
          <w:lang w:eastAsia="en-US"/>
        </w:rPr>
        <w:t>2025</w:t>
      </w:r>
      <w:r w:rsidR="00F678C7" w:rsidRPr="008C48C6">
        <w:rPr>
          <w:lang w:eastAsia="en-US"/>
        </w:rPr>
        <w:t xml:space="preserve"> was USD 2,</w:t>
      </w:r>
      <w:r w:rsidR="00594C94">
        <w:rPr>
          <w:lang w:eastAsia="en-US"/>
        </w:rPr>
        <w:t>740</w:t>
      </w:r>
      <w:r w:rsidR="00F678C7" w:rsidRPr="008C48C6">
        <w:rPr>
          <w:lang w:eastAsia="en-US"/>
        </w:rPr>
        <w:t xml:space="preserve"> million for the West Bank and USD </w:t>
      </w:r>
      <w:r w:rsidR="00594C94">
        <w:rPr>
          <w:lang w:eastAsia="en-US"/>
        </w:rPr>
        <w:t>84</w:t>
      </w:r>
      <w:r w:rsidR="00F678C7" w:rsidRPr="008C48C6">
        <w:rPr>
          <w:lang w:eastAsia="en-US"/>
        </w:rPr>
        <w:t xml:space="preserve"> million for </w:t>
      </w:r>
      <w:r w:rsidR="00E52984" w:rsidRPr="008C48C6">
        <w:rPr>
          <w:lang w:eastAsia="en-US"/>
        </w:rPr>
        <w:t xml:space="preserve">the </w:t>
      </w:r>
      <w:r w:rsidR="00F678C7" w:rsidRPr="008C48C6">
        <w:rPr>
          <w:lang w:eastAsia="en-US"/>
        </w:rPr>
        <w:t>Gaza Strip.</w:t>
      </w:r>
    </w:p>
    <w:p w:rsidR="00FB7A4D" w:rsidRDefault="00FB7A4D" w:rsidP="00FB7A4D">
      <w:pPr>
        <w:bidi w:val="0"/>
        <w:jc w:val="both"/>
        <w:rPr>
          <w:color w:val="0000FF"/>
          <w:lang w:eastAsia="en-US"/>
        </w:rPr>
      </w:pPr>
    </w:p>
    <w:p w:rsidR="007F4596" w:rsidRPr="00915F66" w:rsidRDefault="00163488" w:rsidP="007F4596">
      <w:pPr>
        <w:bidi w:val="0"/>
        <w:jc w:val="both"/>
        <w:rPr>
          <w:b/>
          <w:bCs/>
          <w:lang w:eastAsia="en-US"/>
        </w:rPr>
      </w:pPr>
      <w:r w:rsidRPr="00010E1A">
        <w:rPr>
          <w:lang w:eastAsia="en-US"/>
        </w:rPr>
        <w:t xml:space="preserve"> </w:t>
      </w:r>
    </w:p>
    <w:p w:rsidR="00F740AE" w:rsidRPr="00915F66" w:rsidRDefault="00F740AE" w:rsidP="00794368">
      <w:pPr>
        <w:bidi w:val="0"/>
        <w:jc w:val="center"/>
        <w:rPr>
          <w:b/>
          <w:bCs/>
          <w:lang w:eastAsia="en-US"/>
        </w:rPr>
      </w:pPr>
      <w:r w:rsidRPr="00915F66">
        <w:rPr>
          <w:b/>
          <w:bCs/>
          <w:snapToGrid w:val="0"/>
        </w:rPr>
        <w:t>Gross Domestic Product Per Capita</w:t>
      </w:r>
      <w:r w:rsidR="00F678C7" w:rsidRPr="00915F66">
        <w:rPr>
          <w:b/>
          <w:bCs/>
          <w:snapToGrid w:val="0"/>
        </w:rPr>
        <w:t xml:space="preserve"> decreased by </w:t>
      </w:r>
      <w:r w:rsidR="00794368">
        <w:rPr>
          <w:b/>
          <w:bCs/>
          <w:snapToGrid w:val="0"/>
        </w:rPr>
        <w:t>1% in Palestine</w:t>
      </w:r>
      <w:r w:rsidR="00F678C7" w:rsidRPr="00915F66">
        <w:rPr>
          <w:b/>
          <w:bCs/>
          <w:snapToGrid w:val="0"/>
        </w:rPr>
        <w:t xml:space="preserve"> during the </w:t>
      </w:r>
      <w:r w:rsidR="00BE26DD" w:rsidRPr="00915F66">
        <w:rPr>
          <w:b/>
          <w:bCs/>
          <w:snapToGrid w:val="0"/>
        </w:rPr>
        <w:t>1</w:t>
      </w:r>
      <w:r w:rsidR="00BE26DD" w:rsidRPr="00915F66">
        <w:rPr>
          <w:b/>
          <w:bCs/>
          <w:snapToGrid w:val="0"/>
          <w:vertAlign w:val="superscript"/>
        </w:rPr>
        <w:t>st</w:t>
      </w:r>
      <w:r w:rsidR="00E52984" w:rsidRPr="00915F66">
        <w:rPr>
          <w:b/>
          <w:bCs/>
          <w:snapToGrid w:val="0"/>
        </w:rPr>
        <w:t xml:space="preserve"> </w:t>
      </w:r>
      <w:r w:rsidR="00F678C7" w:rsidRPr="00915F66">
        <w:rPr>
          <w:b/>
          <w:bCs/>
          <w:snapToGrid w:val="0"/>
        </w:rPr>
        <w:t xml:space="preserve"> quarter </w:t>
      </w:r>
      <w:r w:rsidR="00E52984" w:rsidRPr="00915F66">
        <w:rPr>
          <w:b/>
          <w:bCs/>
          <w:snapToGrid w:val="0"/>
        </w:rPr>
        <w:t xml:space="preserve">of </w:t>
      </w:r>
      <w:r w:rsidR="00794368">
        <w:rPr>
          <w:b/>
          <w:bCs/>
          <w:snapToGrid w:val="0"/>
        </w:rPr>
        <w:t>2025</w:t>
      </w:r>
    </w:p>
    <w:p w:rsidR="00BA5ABA" w:rsidRDefault="00F740AE" w:rsidP="00794368">
      <w:pPr>
        <w:bidi w:val="0"/>
        <w:jc w:val="both"/>
        <w:rPr>
          <w:snapToGrid w:val="0"/>
        </w:rPr>
      </w:pPr>
      <w:r w:rsidRPr="00915F66">
        <w:rPr>
          <w:snapToGrid w:val="0"/>
        </w:rPr>
        <w:t xml:space="preserve">GDP per Capita for </w:t>
      </w:r>
      <w:r w:rsidRPr="00915F66">
        <w:rPr>
          <w:lang w:eastAsia="en-US"/>
        </w:rPr>
        <w:t xml:space="preserve">Palestine </w:t>
      </w:r>
      <w:r w:rsidR="00CD3D30" w:rsidRPr="00915F66">
        <w:rPr>
          <w:snapToGrid w:val="0"/>
        </w:rPr>
        <w:t>was USD</w:t>
      </w:r>
      <w:r w:rsidRPr="00915F66">
        <w:rPr>
          <w:snapToGrid w:val="0"/>
        </w:rPr>
        <w:t xml:space="preserve"> </w:t>
      </w:r>
      <w:r w:rsidR="00794368">
        <w:rPr>
          <w:snapToGrid w:val="0"/>
        </w:rPr>
        <w:t>531</w:t>
      </w:r>
      <w:r w:rsidRPr="00915F66">
        <w:rPr>
          <w:snapToGrid w:val="0"/>
        </w:rPr>
        <w:t xml:space="preserve"> during the </w:t>
      </w:r>
      <w:r w:rsidR="00BE26DD" w:rsidRPr="00915F66">
        <w:rPr>
          <w:lang w:eastAsia="en-US"/>
        </w:rPr>
        <w:t>1</w:t>
      </w:r>
      <w:r w:rsidR="00BE26DD" w:rsidRPr="00915F66">
        <w:rPr>
          <w:vertAlign w:val="superscript"/>
          <w:lang w:eastAsia="en-US"/>
        </w:rPr>
        <w:t>st</w:t>
      </w:r>
      <w:r w:rsidRPr="00915F66">
        <w:rPr>
          <w:lang w:eastAsia="en-US"/>
        </w:rPr>
        <w:t xml:space="preserve"> quarter </w:t>
      </w:r>
      <w:r w:rsidR="00E52984" w:rsidRPr="00915F66">
        <w:rPr>
          <w:lang w:eastAsia="en-US"/>
        </w:rPr>
        <w:t xml:space="preserve">of </w:t>
      </w:r>
      <w:r w:rsidR="00794368">
        <w:rPr>
          <w:lang w:eastAsia="en-US"/>
        </w:rPr>
        <w:t>2025</w:t>
      </w:r>
      <w:r w:rsidRPr="00915F66">
        <w:rPr>
          <w:lang w:eastAsia="en-US"/>
        </w:rPr>
        <w:t xml:space="preserve">, </w:t>
      </w:r>
      <w:r w:rsidR="00E52984" w:rsidRPr="00915F66">
        <w:rPr>
          <w:lang w:eastAsia="en-US"/>
        </w:rPr>
        <w:t>which</w:t>
      </w:r>
      <w:r w:rsidRPr="00915F66">
        <w:rPr>
          <w:lang w:eastAsia="en-US"/>
        </w:rPr>
        <w:t xml:space="preserve"> showed </w:t>
      </w:r>
      <w:r w:rsidR="00325F41" w:rsidRPr="00915F66">
        <w:rPr>
          <w:lang w:eastAsia="en-US"/>
        </w:rPr>
        <w:t xml:space="preserve">a </w:t>
      </w:r>
      <w:r w:rsidR="003B1965" w:rsidRPr="00915F66">
        <w:rPr>
          <w:lang w:eastAsia="en-US"/>
        </w:rPr>
        <w:t>de</w:t>
      </w:r>
      <w:r w:rsidRPr="00915F66">
        <w:rPr>
          <w:snapToGrid w:val="0"/>
        </w:rPr>
        <w:t xml:space="preserve">crease of </w:t>
      </w:r>
      <w:r w:rsidR="00794368">
        <w:rPr>
          <w:snapToGrid w:val="0"/>
        </w:rPr>
        <w:t>1</w:t>
      </w:r>
      <w:r w:rsidRPr="00915F66">
        <w:rPr>
          <w:snapToGrid w:val="0"/>
        </w:rPr>
        <w:t xml:space="preserve">% compared to the </w:t>
      </w:r>
      <w:r w:rsidR="00794368">
        <w:rPr>
          <w:lang w:eastAsia="en-US"/>
        </w:rPr>
        <w:t>4</w:t>
      </w:r>
      <w:r w:rsidR="00794368">
        <w:rPr>
          <w:vertAlign w:val="superscript"/>
          <w:lang w:eastAsia="en-US"/>
        </w:rPr>
        <w:t>th</w:t>
      </w:r>
      <w:r w:rsidR="00FA761C" w:rsidRPr="00915F66">
        <w:rPr>
          <w:vertAlign w:val="superscript"/>
          <w:lang w:eastAsia="en-US"/>
        </w:rPr>
        <w:t xml:space="preserve"> </w:t>
      </w:r>
      <w:r w:rsidRPr="00915F66">
        <w:rPr>
          <w:snapToGrid w:val="0"/>
        </w:rPr>
        <w:t xml:space="preserve">quarter </w:t>
      </w:r>
      <w:r w:rsidR="00E52984" w:rsidRPr="00915F66">
        <w:rPr>
          <w:snapToGrid w:val="0"/>
        </w:rPr>
        <w:t xml:space="preserve">of </w:t>
      </w:r>
      <w:r w:rsidR="00794368">
        <w:rPr>
          <w:snapToGrid w:val="0"/>
        </w:rPr>
        <w:t>2024</w:t>
      </w:r>
      <w:r w:rsidRPr="00915F66">
        <w:rPr>
          <w:snapToGrid w:val="0"/>
        </w:rPr>
        <w:t>. As for the West Bank</w:t>
      </w:r>
      <w:r w:rsidR="00E52984" w:rsidRPr="00915F66">
        <w:rPr>
          <w:snapToGrid w:val="0"/>
        </w:rPr>
        <w:t>,</w:t>
      </w:r>
      <w:r w:rsidRPr="00915F66">
        <w:rPr>
          <w:snapToGrid w:val="0"/>
        </w:rPr>
        <w:t xml:space="preserve"> it showed </w:t>
      </w:r>
      <w:r w:rsidR="00D5390A" w:rsidRPr="00915F66">
        <w:rPr>
          <w:snapToGrid w:val="0"/>
        </w:rPr>
        <w:t>a</w:t>
      </w:r>
      <w:r w:rsidRPr="00915F66">
        <w:rPr>
          <w:snapToGrid w:val="0"/>
        </w:rPr>
        <w:t xml:space="preserve"> </w:t>
      </w:r>
      <w:r w:rsidR="006E4AAE" w:rsidRPr="00915F66">
        <w:rPr>
          <w:snapToGrid w:val="0"/>
        </w:rPr>
        <w:t>de</w:t>
      </w:r>
      <w:r w:rsidRPr="00915F66">
        <w:rPr>
          <w:snapToGrid w:val="0"/>
        </w:rPr>
        <w:t xml:space="preserve">crease </w:t>
      </w:r>
      <w:r w:rsidR="00E52984" w:rsidRPr="00915F66">
        <w:rPr>
          <w:lang w:eastAsia="en-US"/>
        </w:rPr>
        <w:t>of</w:t>
      </w:r>
      <w:r w:rsidRPr="00915F66">
        <w:rPr>
          <w:lang w:eastAsia="en-US"/>
        </w:rPr>
        <w:t xml:space="preserve"> </w:t>
      </w:r>
      <w:r w:rsidR="00794368">
        <w:rPr>
          <w:lang w:eastAsia="en-US"/>
        </w:rPr>
        <w:t>2</w:t>
      </w:r>
      <w:r w:rsidRPr="00915F66">
        <w:rPr>
          <w:lang w:eastAsia="en-US"/>
        </w:rPr>
        <w:t>% compared to the</w:t>
      </w:r>
      <w:r w:rsidR="00794368">
        <w:rPr>
          <w:lang w:eastAsia="en-US"/>
        </w:rPr>
        <w:t xml:space="preserve"> same period,</w:t>
      </w:r>
      <w:r w:rsidRPr="00915F66">
        <w:rPr>
          <w:snapToGrid w:val="0"/>
        </w:rPr>
        <w:t xml:space="preserve"> while </w:t>
      </w:r>
      <w:r w:rsidR="00E52984" w:rsidRPr="00915F66">
        <w:rPr>
          <w:snapToGrid w:val="0"/>
        </w:rPr>
        <w:t xml:space="preserve">the </w:t>
      </w:r>
      <w:r w:rsidRPr="00915F66">
        <w:rPr>
          <w:snapToGrid w:val="0"/>
        </w:rPr>
        <w:t xml:space="preserve">Gaza Strip </w:t>
      </w:r>
      <w:r w:rsidR="003B65F9" w:rsidRPr="00915F66">
        <w:rPr>
          <w:snapToGrid w:val="0"/>
        </w:rPr>
        <w:t xml:space="preserve">showed </w:t>
      </w:r>
      <w:r w:rsidR="00D5390A" w:rsidRPr="00915F66">
        <w:rPr>
          <w:snapToGrid w:val="0"/>
        </w:rPr>
        <w:t>a</w:t>
      </w:r>
      <w:r w:rsidR="00794368">
        <w:rPr>
          <w:snapToGrid w:val="0"/>
        </w:rPr>
        <w:t>n increase</w:t>
      </w:r>
      <w:r w:rsidRPr="00915F66">
        <w:rPr>
          <w:snapToGrid w:val="0"/>
        </w:rPr>
        <w:t xml:space="preserve"> </w:t>
      </w:r>
      <w:r w:rsidR="00E52984" w:rsidRPr="00915F66">
        <w:rPr>
          <w:lang w:eastAsia="en-US"/>
        </w:rPr>
        <w:t>of</w:t>
      </w:r>
      <w:r w:rsidRPr="00915F66">
        <w:rPr>
          <w:lang w:eastAsia="en-US"/>
        </w:rPr>
        <w:t xml:space="preserve"> </w:t>
      </w:r>
      <w:r w:rsidR="00794368">
        <w:rPr>
          <w:lang w:eastAsia="en-US"/>
        </w:rPr>
        <w:t>4</w:t>
      </w:r>
      <w:r w:rsidRPr="00915F66">
        <w:rPr>
          <w:lang w:eastAsia="en-US"/>
        </w:rPr>
        <w:t>% compared to the</w:t>
      </w:r>
      <w:r w:rsidR="00794368">
        <w:rPr>
          <w:lang w:eastAsia="en-US"/>
        </w:rPr>
        <w:t xml:space="preserve"> same period</w:t>
      </w:r>
      <w:r w:rsidR="009D2F20" w:rsidRPr="00915F66">
        <w:rPr>
          <w:snapToGrid w:val="0"/>
        </w:rPr>
        <w:t>.</w:t>
      </w:r>
    </w:p>
    <w:p w:rsidR="00794368" w:rsidRDefault="00794368" w:rsidP="00794368">
      <w:pPr>
        <w:bidi w:val="0"/>
        <w:jc w:val="both"/>
        <w:rPr>
          <w:snapToGrid w:val="0"/>
        </w:rPr>
      </w:pPr>
    </w:p>
    <w:p w:rsidR="00794368" w:rsidRDefault="00794368" w:rsidP="00794368">
      <w:pPr>
        <w:bidi w:val="0"/>
        <w:jc w:val="both"/>
        <w:rPr>
          <w:snapToGrid w:val="0"/>
        </w:rPr>
      </w:pPr>
    </w:p>
    <w:p w:rsidR="00AF0458" w:rsidRPr="00010E1A" w:rsidRDefault="00F740AE" w:rsidP="00794368">
      <w:pPr>
        <w:pStyle w:val="BodyTextIndent2"/>
        <w:bidi w:val="0"/>
        <w:spacing w:after="0" w:line="240" w:lineRule="atLeast"/>
        <w:ind w:left="0"/>
        <w:jc w:val="center"/>
        <w:rPr>
          <w:b/>
          <w:bCs/>
          <w:sz w:val="22"/>
          <w:szCs w:val="22"/>
        </w:rPr>
      </w:pPr>
      <w:r w:rsidRPr="00010E1A">
        <w:rPr>
          <w:b/>
          <w:bCs/>
          <w:sz w:val="22"/>
          <w:szCs w:val="22"/>
        </w:rPr>
        <w:t>GDP by quarter in Palesti</w:t>
      </w:r>
      <w:r w:rsidR="00BA5ABA" w:rsidRPr="00010E1A">
        <w:rPr>
          <w:b/>
          <w:bCs/>
          <w:sz w:val="22"/>
          <w:szCs w:val="22"/>
        </w:rPr>
        <w:t xml:space="preserve">ne at Constant Prices, </w:t>
      </w:r>
      <w:r w:rsidR="004469E8">
        <w:rPr>
          <w:b/>
          <w:bCs/>
          <w:sz w:val="22"/>
          <w:szCs w:val="22"/>
        </w:rPr>
        <w:t>202</w:t>
      </w:r>
      <w:r w:rsidR="00D7460E">
        <w:rPr>
          <w:b/>
          <w:bCs/>
          <w:sz w:val="22"/>
          <w:szCs w:val="22"/>
        </w:rPr>
        <w:t>1</w:t>
      </w:r>
      <w:r w:rsidR="00BA5ABA" w:rsidRPr="00010E1A">
        <w:rPr>
          <w:b/>
          <w:bCs/>
          <w:sz w:val="22"/>
          <w:szCs w:val="22"/>
        </w:rPr>
        <w:t>-</w:t>
      </w:r>
      <w:r w:rsidR="00794368">
        <w:rPr>
          <w:b/>
          <w:bCs/>
          <w:sz w:val="22"/>
          <w:szCs w:val="22"/>
        </w:rPr>
        <w:t>2025</w:t>
      </w:r>
    </w:p>
    <w:p w:rsidR="00F740AE" w:rsidRPr="00010E1A" w:rsidRDefault="00F740AE" w:rsidP="006F435D">
      <w:pPr>
        <w:pStyle w:val="BodyTextIndent2"/>
        <w:rPr>
          <w:b/>
          <w:bCs/>
        </w:rPr>
      </w:pPr>
      <w:r w:rsidRPr="00010E1A">
        <w:rPr>
          <w:rFonts w:hint="cs"/>
          <w:b/>
          <w:bCs/>
          <w:noProof/>
          <w:rtl/>
          <w:lang w:eastAsia="en-US"/>
        </w:rPr>
        <w:drawing>
          <wp:inline distT="0" distB="0" distL="0" distR="0">
            <wp:extent cx="5510254" cy="2171700"/>
            <wp:effectExtent l="0" t="0" r="14605"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740AE" w:rsidRPr="00010E1A" w:rsidRDefault="00F740AE" w:rsidP="00F740AE">
      <w:pPr>
        <w:pStyle w:val="BodyText3"/>
        <w:ind w:right="358"/>
        <w:rPr>
          <w:rFonts w:ascii="Times New Roman" w:cs="Times New Roman"/>
          <w:sz w:val="16"/>
          <w:szCs w:val="16"/>
        </w:rPr>
      </w:pPr>
    </w:p>
    <w:p w:rsidR="004B6C58" w:rsidRPr="00010E1A" w:rsidRDefault="004B6C58" w:rsidP="004B6C58">
      <w:pPr>
        <w:pStyle w:val="BodyText3"/>
        <w:ind w:left="358" w:right="358"/>
        <w:rPr>
          <w:rFonts w:ascii="Times New Roman" w:cs="Times New Roman"/>
          <w:sz w:val="24"/>
          <w:szCs w:val="24"/>
        </w:rPr>
      </w:pPr>
    </w:p>
    <w:p w:rsidR="00212081" w:rsidRPr="00010E1A" w:rsidRDefault="00212081" w:rsidP="00212081">
      <w:pPr>
        <w:pStyle w:val="BodyText3"/>
        <w:ind w:right="358"/>
        <w:rPr>
          <w:rFonts w:ascii="Times New Roman" w:cs="Times New Roman"/>
          <w:sz w:val="16"/>
          <w:szCs w:val="16"/>
        </w:rPr>
      </w:pPr>
    </w:p>
    <w:p w:rsidR="00212081" w:rsidRPr="00010E1A" w:rsidRDefault="00212081" w:rsidP="00212081">
      <w:pPr>
        <w:pStyle w:val="BodyText3"/>
        <w:ind w:left="-2" w:right="358"/>
        <w:rPr>
          <w:rFonts w:ascii="Times New Roman" w:cs="Times New Roman"/>
          <w:sz w:val="24"/>
          <w:szCs w:val="24"/>
        </w:rPr>
      </w:pPr>
    </w:p>
    <w:p w:rsidR="00212081" w:rsidRPr="00010E1A" w:rsidRDefault="00212081" w:rsidP="00D929CD">
      <w:pPr>
        <w:pStyle w:val="BodyText3"/>
        <w:ind w:left="-2" w:right="358"/>
        <w:jc w:val="right"/>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BA5ABA" w:rsidRPr="00010E1A" w:rsidRDefault="00BA5ABA" w:rsidP="00212081">
      <w:pPr>
        <w:pStyle w:val="BodyText3"/>
        <w:ind w:left="-2" w:right="358"/>
        <w:rPr>
          <w:rFonts w:ascii="Times New Roman" w:cs="Times New Roman"/>
          <w:sz w:val="24"/>
          <w:szCs w:val="24"/>
        </w:rPr>
      </w:pPr>
    </w:p>
    <w:p w:rsidR="00BA5ABA" w:rsidRPr="00010E1A" w:rsidRDefault="00BA5ABA" w:rsidP="00212081">
      <w:pPr>
        <w:pStyle w:val="BodyText3"/>
        <w:ind w:left="-2" w:right="358"/>
        <w:rPr>
          <w:rFonts w:ascii="Times New Roman" w:cs="Times New Roman"/>
          <w:sz w:val="24"/>
          <w:szCs w:val="24"/>
        </w:rPr>
      </w:pPr>
    </w:p>
    <w:p w:rsidR="00BA5ABA" w:rsidRPr="00010E1A" w:rsidRDefault="00BA5ABA" w:rsidP="00212081">
      <w:pPr>
        <w:pStyle w:val="BodyText3"/>
        <w:ind w:left="-2" w:right="358"/>
        <w:rPr>
          <w:rFonts w:ascii="Times New Roman" w:cs="Times New Roman"/>
          <w:sz w:val="24"/>
          <w:szCs w:val="24"/>
        </w:rPr>
      </w:pPr>
    </w:p>
    <w:p w:rsidR="00BA5ABA" w:rsidRPr="00010E1A" w:rsidRDefault="00BA5ABA" w:rsidP="00212081">
      <w:pPr>
        <w:pStyle w:val="BodyText3"/>
        <w:ind w:left="-2" w:right="358"/>
        <w:rPr>
          <w:rFonts w:ascii="Times New Roman" w:cs="Times New Roman"/>
          <w:sz w:val="24"/>
          <w:szCs w:val="24"/>
        </w:rPr>
      </w:pPr>
    </w:p>
    <w:p w:rsidR="00BA5ABA" w:rsidRPr="00010E1A" w:rsidRDefault="00BA5ABA" w:rsidP="00212081">
      <w:pPr>
        <w:pStyle w:val="BodyText3"/>
        <w:ind w:left="-2" w:right="358"/>
        <w:rPr>
          <w:rFonts w:ascii="Times New Roman" w:cs="Times New Roman"/>
          <w:sz w:val="24"/>
          <w:szCs w:val="24"/>
        </w:rPr>
      </w:pPr>
    </w:p>
    <w:p w:rsidR="00BA5ABA" w:rsidRPr="00010E1A" w:rsidRDefault="00BA5ABA" w:rsidP="00212081">
      <w:pPr>
        <w:pStyle w:val="BodyText3"/>
        <w:ind w:left="-2" w:right="358"/>
        <w:rPr>
          <w:rFonts w:ascii="Times New Roman" w:cs="Times New Roman"/>
          <w:sz w:val="24"/>
          <w:szCs w:val="24"/>
        </w:rPr>
      </w:pPr>
    </w:p>
    <w:p w:rsidR="00BA5ABA" w:rsidRPr="00010E1A" w:rsidRDefault="00BA5ABA" w:rsidP="00212081">
      <w:pPr>
        <w:pStyle w:val="BodyText3"/>
        <w:ind w:left="-2" w:right="358"/>
        <w:rPr>
          <w:rFonts w:ascii="Times New Roman" w:cs="Times New Roman"/>
          <w:sz w:val="24"/>
          <w:szCs w:val="24"/>
        </w:rPr>
      </w:pPr>
    </w:p>
    <w:p w:rsidR="00BA5ABA" w:rsidRPr="00010E1A" w:rsidRDefault="00BA5ABA" w:rsidP="00212081">
      <w:pPr>
        <w:pStyle w:val="BodyText3"/>
        <w:ind w:left="-2" w:right="358"/>
        <w:rPr>
          <w:rFonts w:ascii="Times New Roman" w:cs="Times New Roman"/>
          <w:sz w:val="24"/>
          <w:szCs w:val="24"/>
        </w:rPr>
      </w:pPr>
    </w:p>
    <w:p w:rsidR="00BA5ABA" w:rsidRPr="00010E1A" w:rsidRDefault="00BA5ABA" w:rsidP="00212081">
      <w:pPr>
        <w:pStyle w:val="BodyText3"/>
        <w:ind w:left="-2" w:right="358"/>
        <w:rPr>
          <w:rFonts w:ascii="Times New Roman" w:cs="Times New Roman"/>
          <w:sz w:val="24"/>
          <w:szCs w:val="24"/>
        </w:rPr>
      </w:pPr>
    </w:p>
    <w:p w:rsidR="00BA5ABA" w:rsidRPr="00010E1A" w:rsidRDefault="00BA5ABA" w:rsidP="00212081">
      <w:pPr>
        <w:pStyle w:val="BodyText3"/>
        <w:ind w:left="-2" w:right="358"/>
        <w:rPr>
          <w:rFonts w:ascii="Times New Roman" w:cs="Times New Roman"/>
          <w:sz w:val="24"/>
          <w:szCs w:val="24"/>
        </w:rPr>
      </w:pPr>
    </w:p>
    <w:p w:rsidR="00BA5ABA" w:rsidRPr="00010E1A" w:rsidRDefault="00BA5ABA" w:rsidP="00212081">
      <w:pPr>
        <w:pStyle w:val="BodyText3"/>
        <w:ind w:left="-2" w:right="358"/>
        <w:rPr>
          <w:rFonts w:ascii="Times New Roman" w:cs="Times New Roman"/>
          <w:sz w:val="24"/>
          <w:szCs w:val="24"/>
        </w:rPr>
      </w:pPr>
    </w:p>
    <w:p w:rsidR="00BA5ABA" w:rsidRPr="00010E1A" w:rsidRDefault="00BA5ABA" w:rsidP="00212081">
      <w:pPr>
        <w:pStyle w:val="BodyText3"/>
        <w:ind w:left="-2" w:right="358"/>
        <w:rPr>
          <w:rFonts w:ascii="Times New Roman" w:cs="Times New Roman"/>
          <w:sz w:val="24"/>
          <w:szCs w:val="24"/>
        </w:rPr>
      </w:pPr>
    </w:p>
    <w:p w:rsidR="00BA5ABA" w:rsidRPr="00010E1A" w:rsidRDefault="00BA5ABA" w:rsidP="00212081">
      <w:pPr>
        <w:pStyle w:val="BodyText3"/>
        <w:ind w:left="-2" w:right="358"/>
        <w:rPr>
          <w:rFonts w:ascii="Times New Roman" w:cs="Times New Roman"/>
          <w:sz w:val="24"/>
          <w:szCs w:val="24"/>
        </w:rPr>
      </w:pPr>
    </w:p>
    <w:p w:rsidR="00BA5ABA" w:rsidRPr="00010E1A" w:rsidRDefault="00BA5ABA" w:rsidP="00212081">
      <w:pPr>
        <w:pStyle w:val="BodyText3"/>
        <w:ind w:left="-2" w:right="358"/>
        <w:rPr>
          <w:rFonts w:ascii="Times New Roman" w:cs="Times New Roman"/>
          <w:sz w:val="24"/>
          <w:szCs w:val="24"/>
        </w:rPr>
      </w:pPr>
    </w:p>
    <w:p w:rsidR="00BA5ABA" w:rsidRPr="00010E1A" w:rsidRDefault="00BA5ABA" w:rsidP="00212081">
      <w:pPr>
        <w:pStyle w:val="BodyText3"/>
        <w:ind w:left="-2" w:right="358"/>
        <w:rPr>
          <w:rFonts w:ascii="Times New Roman" w:cs="Times New Roman"/>
          <w:sz w:val="24"/>
          <w:szCs w:val="24"/>
        </w:rPr>
      </w:pPr>
    </w:p>
    <w:p w:rsidR="00BA5ABA" w:rsidRPr="00010E1A" w:rsidRDefault="00BA5ABA" w:rsidP="00212081">
      <w:pPr>
        <w:pStyle w:val="BodyText3"/>
        <w:ind w:left="-2" w:right="358"/>
        <w:rPr>
          <w:rFonts w:ascii="Times New Roman" w:cs="Times New Roman"/>
          <w:sz w:val="24"/>
          <w:szCs w:val="24"/>
        </w:rPr>
      </w:pPr>
    </w:p>
    <w:p w:rsidR="00BA5ABA" w:rsidRPr="00010E1A" w:rsidRDefault="00BA5AB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A8511B" w:rsidRPr="00010E1A" w:rsidRDefault="00A8511B" w:rsidP="00212081">
      <w:pPr>
        <w:pStyle w:val="BodyText3"/>
        <w:ind w:left="-2" w:right="358"/>
        <w:rPr>
          <w:rFonts w:ascii="Times New Roman" w:cs="Times New Roman"/>
          <w:sz w:val="24"/>
          <w:szCs w:val="24"/>
        </w:rPr>
      </w:pPr>
    </w:p>
    <w:p w:rsidR="00A8511B" w:rsidRPr="00010E1A" w:rsidRDefault="00A8511B" w:rsidP="00212081">
      <w:pPr>
        <w:pStyle w:val="BodyText3"/>
        <w:ind w:left="-2" w:right="358"/>
        <w:rPr>
          <w:rFonts w:ascii="Times New Roman" w:cs="Times New Roman"/>
          <w:sz w:val="24"/>
          <w:szCs w:val="24"/>
        </w:rPr>
      </w:pPr>
    </w:p>
    <w:p w:rsidR="00A8511B" w:rsidRPr="00010E1A" w:rsidRDefault="00A8511B" w:rsidP="00212081">
      <w:pPr>
        <w:pStyle w:val="BodyText3"/>
        <w:ind w:left="-2" w:right="358"/>
        <w:rPr>
          <w:rFonts w:ascii="Times New Roman" w:cs="Times New Roman"/>
          <w:sz w:val="24"/>
          <w:szCs w:val="24"/>
        </w:rPr>
      </w:pPr>
    </w:p>
    <w:p w:rsidR="00A8511B" w:rsidRPr="00010E1A" w:rsidRDefault="00A8511B" w:rsidP="00212081">
      <w:pPr>
        <w:pStyle w:val="BodyText3"/>
        <w:ind w:left="-2" w:right="358"/>
        <w:rPr>
          <w:rFonts w:ascii="Times New Roman" w:cs="Times New Roman"/>
          <w:sz w:val="24"/>
          <w:szCs w:val="24"/>
        </w:rPr>
      </w:pPr>
    </w:p>
    <w:p w:rsidR="00152D3A" w:rsidRPr="00010E1A" w:rsidRDefault="00152D3A" w:rsidP="00212081">
      <w:pPr>
        <w:pStyle w:val="BodyText3"/>
        <w:ind w:left="-2" w:right="358"/>
        <w:rPr>
          <w:rFonts w:ascii="Times New Roman" w:cs="Times New Roman"/>
          <w:sz w:val="24"/>
          <w:szCs w:val="24"/>
        </w:rPr>
      </w:pPr>
    </w:p>
    <w:p w:rsidR="007117D1" w:rsidRPr="00010E1A" w:rsidRDefault="007117D1" w:rsidP="00212081">
      <w:pPr>
        <w:pStyle w:val="BodyText3"/>
        <w:ind w:left="-2" w:right="358"/>
        <w:rPr>
          <w:rFonts w:ascii="Times New Roman" w:cs="Times New Roman"/>
          <w:sz w:val="24"/>
          <w:szCs w:val="24"/>
        </w:rPr>
      </w:pPr>
    </w:p>
    <w:p w:rsidR="00BC0E0E" w:rsidRPr="00010E1A" w:rsidRDefault="00BC0E0E" w:rsidP="00212081">
      <w:pPr>
        <w:pStyle w:val="BodyText3"/>
        <w:ind w:left="-2" w:right="358"/>
        <w:rPr>
          <w:rFonts w:ascii="Times New Roman" w:cs="Times New Roman"/>
          <w:sz w:val="24"/>
          <w:szCs w:val="24"/>
        </w:rPr>
      </w:pPr>
    </w:p>
    <w:p w:rsidR="00140082" w:rsidRPr="00010E1A" w:rsidRDefault="00140082" w:rsidP="005E0A09">
      <w:pPr>
        <w:pStyle w:val="BodyText3"/>
        <w:ind w:right="358"/>
        <w:rPr>
          <w:rFonts w:ascii="Times New Roman" w:cs="Times New Roman"/>
          <w:sz w:val="24"/>
          <w:szCs w:val="24"/>
        </w:rPr>
      </w:pPr>
    </w:p>
    <w:p w:rsidR="001F4B56" w:rsidRDefault="001F4B56" w:rsidP="004116C8">
      <w:pPr>
        <w:pStyle w:val="BodyText3"/>
        <w:ind w:right="358"/>
        <w:rPr>
          <w:rFonts w:ascii="Times New Roman" w:cs="Times New Roman"/>
          <w:sz w:val="24"/>
          <w:szCs w:val="24"/>
        </w:rPr>
      </w:pPr>
    </w:p>
    <w:p w:rsidR="008A7BFC" w:rsidRPr="00010E1A" w:rsidRDefault="008A7BFC" w:rsidP="004116C8">
      <w:pPr>
        <w:pStyle w:val="BodyText3"/>
        <w:ind w:right="358"/>
        <w:rPr>
          <w:rFonts w:ascii="Times New Roman" w:cs="Times New Roman"/>
          <w:sz w:val="24"/>
          <w:szCs w:val="24"/>
        </w:rPr>
      </w:pPr>
    </w:p>
    <w:p w:rsidR="008B7FB3" w:rsidRDefault="008B7FB3" w:rsidP="004116C8">
      <w:pPr>
        <w:pStyle w:val="BodyText3"/>
        <w:ind w:right="358"/>
        <w:rPr>
          <w:rFonts w:ascii="Times New Roman" w:cs="Times New Roman"/>
          <w:sz w:val="24"/>
          <w:szCs w:val="24"/>
        </w:rPr>
      </w:pPr>
    </w:p>
    <w:p w:rsidR="00A17785" w:rsidRDefault="00A17785" w:rsidP="004116C8">
      <w:pPr>
        <w:pStyle w:val="BodyText3"/>
        <w:ind w:right="358"/>
        <w:rPr>
          <w:rFonts w:ascii="Times New Roman" w:cs="Times New Roman"/>
          <w:sz w:val="24"/>
          <w:szCs w:val="24"/>
        </w:rPr>
      </w:pPr>
    </w:p>
    <w:p w:rsidR="00A17785" w:rsidRDefault="00A17785" w:rsidP="004116C8">
      <w:pPr>
        <w:pStyle w:val="BodyText3"/>
        <w:ind w:right="358"/>
        <w:rPr>
          <w:rFonts w:ascii="Times New Roman" w:cs="Times New Roman"/>
          <w:sz w:val="24"/>
          <w:szCs w:val="24"/>
        </w:rPr>
      </w:pPr>
    </w:p>
    <w:p w:rsidR="00663073" w:rsidRDefault="00663073" w:rsidP="004116C8">
      <w:pPr>
        <w:pStyle w:val="BodyText3"/>
        <w:ind w:right="358"/>
        <w:rPr>
          <w:rFonts w:ascii="Times New Roman" w:cs="Times New Roman"/>
          <w:sz w:val="24"/>
          <w:szCs w:val="24"/>
        </w:rPr>
      </w:pPr>
    </w:p>
    <w:p w:rsidR="00A17785" w:rsidRPr="00010E1A" w:rsidRDefault="00A17785" w:rsidP="004116C8">
      <w:pPr>
        <w:pStyle w:val="BodyText3"/>
        <w:ind w:right="358"/>
        <w:rPr>
          <w:rFonts w:ascii="Times New Roman" w:cs="Times New Roman"/>
          <w:sz w:val="24"/>
          <w:szCs w:val="24"/>
        </w:rPr>
      </w:pPr>
    </w:p>
    <w:p w:rsidR="008B7FB3" w:rsidRPr="00010E1A" w:rsidRDefault="008B7FB3" w:rsidP="004116C8">
      <w:pPr>
        <w:pStyle w:val="BodyText3"/>
        <w:ind w:right="358"/>
        <w:rPr>
          <w:rFonts w:ascii="Times New Roman" w:cs="Times New Roman"/>
          <w:sz w:val="24"/>
          <w:szCs w:val="24"/>
        </w:rPr>
      </w:pPr>
    </w:p>
    <w:p w:rsidR="00212081" w:rsidRPr="00010E1A" w:rsidRDefault="009F6841" w:rsidP="00F2435F">
      <w:pPr>
        <w:bidi w:val="0"/>
        <w:jc w:val="center"/>
        <w:rPr>
          <w:b/>
          <w:bCs/>
          <w:sz w:val="28"/>
          <w:szCs w:val="28"/>
          <w:lang w:eastAsia="en-US"/>
        </w:rPr>
      </w:pPr>
      <w:r w:rsidRPr="00010E1A">
        <w:rPr>
          <w:b/>
          <w:bCs/>
          <w:sz w:val="28"/>
          <w:szCs w:val="28"/>
          <w:lang w:eastAsia="en-US"/>
        </w:rPr>
        <w:lastRenderedPageBreak/>
        <w:t>Terms and Indicators</w:t>
      </w:r>
    </w:p>
    <w:p w:rsidR="00212081" w:rsidRPr="00010E1A" w:rsidRDefault="00212081" w:rsidP="00212081">
      <w:pPr>
        <w:bidi w:val="0"/>
        <w:jc w:val="both"/>
        <w:rPr>
          <w:b/>
          <w:bCs/>
          <w:lang w:eastAsia="en-US"/>
        </w:rPr>
      </w:pPr>
    </w:p>
    <w:p w:rsidR="00212081" w:rsidRPr="00010E1A" w:rsidRDefault="00212081" w:rsidP="00212081">
      <w:pPr>
        <w:bidi w:val="0"/>
        <w:jc w:val="both"/>
        <w:rPr>
          <w:lang w:eastAsia="en-US"/>
        </w:rPr>
      </w:pPr>
      <w:r w:rsidRPr="00010E1A">
        <w:rPr>
          <w:b/>
          <w:bCs/>
          <w:lang w:eastAsia="en-US"/>
        </w:rPr>
        <w:t>Statistical Unit</w:t>
      </w:r>
      <w:r w:rsidR="009B2126" w:rsidRPr="00010E1A">
        <w:rPr>
          <w:lang w:eastAsia="en-US"/>
        </w:rPr>
        <w:t>:</w:t>
      </w:r>
    </w:p>
    <w:p w:rsidR="00212081" w:rsidRPr="00010E1A" w:rsidRDefault="00212081" w:rsidP="00AD2C43">
      <w:pPr>
        <w:bidi w:val="0"/>
        <w:jc w:val="both"/>
        <w:rPr>
          <w:lang w:eastAsia="en-US"/>
        </w:rPr>
      </w:pPr>
      <w:r w:rsidRPr="00010E1A">
        <w:rPr>
          <w:lang w:eastAsia="en-US"/>
        </w:rPr>
        <w:t xml:space="preserve"> The United Nations System of National Accounts</w:t>
      </w:r>
      <w:r w:rsidR="00276970" w:rsidRPr="00010E1A">
        <w:rPr>
          <w:lang w:eastAsia="en-US"/>
        </w:rPr>
        <w:t>,</w:t>
      </w:r>
      <w:r w:rsidRPr="00010E1A">
        <w:rPr>
          <w:lang w:eastAsia="en-US"/>
        </w:rPr>
        <w:t xml:space="preserve"> </w:t>
      </w:r>
      <w:r w:rsidR="00AD2C43" w:rsidRPr="00010E1A">
        <w:t>SNA' 2008</w:t>
      </w:r>
      <w:r w:rsidR="00276970" w:rsidRPr="00010E1A">
        <w:rPr>
          <w:lang w:eastAsia="en-US"/>
        </w:rPr>
        <w:t>,</w:t>
      </w:r>
      <w:r w:rsidRPr="00010E1A">
        <w:rPr>
          <w:lang w:eastAsia="en-US"/>
        </w:rPr>
        <w:t xml:space="preserve"> defines two main types of       statistical units:</w:t>
      </w:r>
    </w:p>
    <w:p w:rsidR="00212081" w:rsidRPr="00010E1A" w:rsidRDefault="00212081" w:rsidP="00212081">
      <w:pPr>
        <w:bidi w:val="0"/>
        <w:jc w:val="both"/>
        <w:rPr>
          <w:lang w:eastAsia="en-US"/>
        </w:rPr>
      </w:pPr>
    </w:p>
    <w:p w:rsidR="00212081" w:rsidRPr="00010E1A" w:rsidRDefault="00212081" w:rsidP="00212081">
      <w:pPr>
        <w:bidi w:val="0"/>
        <w:jc w:val="both"/>
        <w:rPr>
          <w:lang w:eastAsia="en-US"/>
        </w:rPr>
      </w:pPr>
      <w:r w:rsidRPr="00010E1A">
        <w:rPr>
          <w:b/>
          <w:bCs/>
          <w:lang w:eastAsia="en-US"/>
        </w:rPr>
        <w:t xml:space="preserve"> - Institutional Unit-Enterprise</w:t>
      </w:r>
    </w:p>
    <w:p w:rsidR="002D27EF" w:rsidRPr="00010E1A" w:rsidRDefault="002D27EF" w:rsidP="002D27EF">
      <w:pPr>
        <w:bidi w:val="0"/>
        <w:ind w:left="180" w:hanging="180"/>
        <w:jc w:val="both"/>
        <w:rPr>
          <w:lang w:eastAsia="en-US"/>
        </w:rPr>
      </w:pPr>
      <w:r w:rsidRPr="00010E1A">
        <w:rPr>
          <w:lang w:eastAsia="en-US"/>
        </w:rPr>
        <w:t xml:space="preserve">   It is an economic entity that is capable, in its own right, of owning assets, incurring liabilities and engaging in economic activities and in transactions with other entities.</w:t>
      </w:r>
    </w:p>
    <w:p w:rsidR="00276970" w:rsidRPr="00010E1A" w:rsidRDefault="00276970" w:rsidP="00276970">
      <w:pPr>
        <w:bidi w:val="0"/>
        <w:ind w:left="180" w:hanging="180"/>
        <w:jc w:val="both"/>
        <w:rPr>
          <w:lang w:eastAsia="en-US"/>
        </w:rPr>
      </w:pPr>
    </w:p>
    <w:p w:rsidR="00212081" w:rsidRPr="00010E1A" w:rsidRDefault="00212081" w:rsidP="00212081">
      <w:pPr>
        <w:bidi w:val="0"/>
        <w:jc w:val="both"/>
        <w:rPr>
          <w:lang w:eastAsia="en-US"/>
        </w:rPr>
      </w:pPr>
      <w:r w:rsidRPr="00010E1A">
        <w:rPr>
          <w:lang w:eastAsia="en-US"/>
        </w:rPr>
        <w:t xml:space="preserve"> - </w:t>
      </w:r>
      <w:r w:rsidRPr="00010E1A">
        <w:rPr>
          <w:b/>
          <w:bCs/>
          <w:lang w:eastAsia="en-US"/>
        </w:rPr>
        <w:t>Establishment</w:t>
      </w:r>
      <w:r w:rsidRPr="00010E1A">
        <w:rPr>
          <w:lang w:eastAsia="en-US"/>
        </w:rPr>
        <w:t xml:space="preserve"> </w:t>
      </w:r>
    </w:p>
    <w:p w:rsidR="00CA45A2" w:rsidRPr="00010E1A" w:rsidRDefault="00CA45A2" w:rsidP="00CA45A2">
      <w:pPr>
        <w:bidi w:val="0"/>
        <w:ind w:left="180" w:hanging="180"/>
        <w:jc w:val="both"/>
        <w:rPr>
          <w:lang w:eastAsia="en-US"/>
        </w:rPr>
      </w:pPr>
      <w:r w:rsidRPr="00010E1A">
        <w:rPr>
          <w:lang w:eastAsia="en-US"/>
        </w:rPr>
        <w:t xml:space="preserve">   An establishment is an enterprise, or part of an enterprise, that is situated in a single location and in which only a single (non-ancillary) productive activity is carried out or in which the principal productive activity accounts for most of the value added.</w:t>
      </w:r>
    </w:p>
    <w:p w:rsidR="00212081" w:rsidRPr="00010E1A" w:rsidRDefault="00212081" w:rsidP="00212081">
      <w:pPr>
        <w:bidi w:val="0"/>
        <w:jc w:val="both"/>
        <w:rPr>
          <w:lang w:eastAsia="en-US"/>
        </w:rPr>
      </w:pPr>
    </w:p>
    <w:p w:rsidR="00212081" w:rsidRPr="00010E1A" w:rsidRDefault="00212081" w:rsidP="00212081">
      <w:pPr>
        <w:bidi w:val="0"/>
        <w:jc w:val="both"/>
        <w:rPr>
          <w:b/>
          <w:bCs/>
          <w:lang w:eastAsia="en-US"/>
        </w:rPr>
      </w:pPr>
      <w:r w:rsidRPr="00010E1A">
        <w:rPr>
          <w:b/>
          <w:bCs/>
          <w:lang w:eastAsia="en-US"/>
        </w:rPr>
        <w:t>Economic Activity</w:t>
      </w:r>
      <w:r w:rsidR="009B2126" w:rsidRPr="00010E1A">
        <w:rPr>
          <w:b/>
          <w:bCs/>
          <w:lang w:eastAsia="en-US"/>
        </w:rPr>
        <w:t>:</w:t>
      </w:r>
    </w:p>
    <w:p w:rsidR="00212081" w:rsidRPr="00010E1A" w:rsidRDefault="00511A29" w:rsidP="00212081">
      <w:pPr>
        <w:bidi w:val="0"/>
        <w:jc w:val="both"/>
        <w:rPr>
          <w:lang w:eastAsia="en-US"/>
        </w:rPr>
      </w:pPr>
      <w:r w:rsidRPr="00010E1A">
        <w:rPr>
          <w:lang w:eastAsia="en-US"/>
        </w:rPr>
        <w:t>R</w:t>
      </w:r>
      <w:r w:rsidRPr="00010E1A">
        <w:rPr>
          <w:rFonts w:hint="cs"/>
          <w:lang w:eastAsia="en-US"/>
        </w:rPr>
        <w:t>eferring to a</w:t>
      </w:r>
      <w:r w:rsidRPr="00010E1A">
        <w:rPr>
          <w:rFonts w:hint="cs"/>
          <w:rtl/>
          <w:lang w:eastAsia="en-US"/>
        </w:rPr>
        <w:t xml:space="preserve"> </w:t>
      </w:r>
      <w:r w:rsidRPr="00010E1A">
        <w:rPr>
          <w:lang w:eastAsia="en-US"/>
        </w:rPr>
        <w:t>process, that is to say, to the combination of actions carried out by a certain entity</w:t>
      </w:r>
      <w:r w:rsidRPr="00010E1A">
        <w:rPr>
          <w:rFonts w:hint="cs"/>
          <w:rtl/>
          <w:lang w:eastAsia="en-US"/>
        </w:rPr>
        <w:t xml:space="preserve"> </w:t>
      </w:r>
      <w:r w:rsidRPr="00010E1A">
        <w:rPr>
          <w:lang w:eastAsia="en-US"/>
        </w:rPr>
        <w:t xml:space="preserve">that uses </w:t>
      </w:r>
      <w:r w:rsidR="00666144" w:rsidRPr="00010E1A">
        <w:rPr>
          <w:lang w:eastAsia="en-US"/>
        </w:rPr>
        <w:t>labor</w:t>
      </w:r>
      <w:r w:rsidRPr="00010E1A">
        <w:rPr>
          <w:lang w:eastAsia="en-US"/>
        </w:rPr>
        <w:t>, capital, goods and services to produce specific products (goods and</w:t>
      </w:r>
      <w:r w:rsidRPr="00010E1A">
        <w:rPr>
          <w:rFonts w:hint="cs"/>
          <w:rtl/>
          <w:lang w:eastAsia="en-US"/>
        </w:rPr>
        <w:t xml:space="preserve"> </w:t>
      </w:r>
      <w:r w:rsidRPr="00010E1A">
        <w:rPr>
          <w:lang w:eastAsia="en-US"/>
        </w:rPr>
        <w:t>services).</w:t>
      </w:r>
    </w:p>
    <w:p w:rsidR="00511A29" w:rsidRPr="00010E1A" w:rsidRDefault="00511A29" w:rsidP="00511A29">
      <w:pPr>
        <w:bidi w:val="0"/>
        <w:jc w:val="both"/>
        <w:rPr>
          <w:lang w:eastAsia="en-US"/>
        </w:rPr>
      </w:pPr>
    </w:p>
    <w:p w:rsidR="00AD2C43" w:rsidRPr="00010E1A" w:rsidRDefault="00AD2C43" w:rsidP="00AD2C43">
      <w:pPr>
        <w:bidi w:val="0"/>
        <w:jc w:val="both"/>
        <w:rPr>
          <w:b/>
          <w:bCs/>
          <w:lang w:eastAsia="en-US"/>
        </w:rPr>
      </w:pPr>
      <w:r w:rsidRPr="00010E1A">
        <w:rPr>
          <w:b/>
          <w:bCs/>
          <w:lang w:eastAsia="en-US"/>
        </w:rPr>
        <w:t xml:space="preserve">Production (Output): </w:t>
      </w:r>
    </w:p>
    <w:p w:rsidR="00291231" w:rsidRPr="00010E1A" w:rsidRDefault="00291231" w:rsidP="002F6959">
      <w:pPr>
        <w:bidi w:val="0"/>
        <w:ind w:left="58" w:right="187"/>
        <w:jc w:val="both"/>
        <w:rPr>
          <w:rtl/>
          <w:lang w:eastAsia="en-US"/>
        </w:rPr>
      </w:pPr>
      <w:r w:rsidRPr="00010E1A">
        <w:rPr>
          <w:lang w:eastAsia="en-US"/>
        </w:rPr>
        <w:t xml:space="preserve">the value of the final products of goods and services produced by a certain establishment capable of being provided to other units though they can be self-consumed or for the purposes of </w:t>
      </w:r>
      <w:r w:rsidR="00BA5ABA" w:rsidRPr="00010E1A">
        <w:rPr>
          <w:lang w:eastAsia="en-US"/>
        </w:rPr>
        <w:t>self-gross</w:t>
      </w:r>
      <w:r w:rsidRPr="00010E1A">
        <w:rPr>
          <w:lang w:eastAsia="en-US"/>
        </w:rPr>
        <w:t xml:space="preserve"> fixed capital formation. Production includes two categories: Final product</w:t>
      </w:r>
      <w:r w:rsidR="007057F6" w:rsidRPr="00010E1A">
        <w:rPr>
          <w:lang w:eastAsia="en-US"/>
        </w:rPr>
        <w:t>s and the so-called</w:t>
      </w:r>
      <w:r w:rsidRPr="00010E1A">
        <w:rPr>
          <w:lang w:eastAsia="en-US"/>
        </w:rPr>
        <w:t xml:space="preserve"> under-operating products, which means products that take a long time to produce such as livestock and establishment works. The value of the majority of goods can be estimated at the moment the production process is completed. However, the production of some goods may exceed the accounting period (such as the case of under-operating products). The value of such products is estimated and registered during that accounting period as, for example, the case of establishment works and winter crops. </w:t>
      </w:r>
    </w:p>
    <w:p w:rsidR="00212081" w:rsidRPr="00010E1A" w:rsidRDefault="00212081" w:rsidP="00212081">
      <w:pPr>
        <w:bidi w:val="0"/>
        <w:jc w:val="both"/>
        <w:rPr>
          <w:lang w:eastAsia="en-US"/>
        </w:rPr>
      </w:pPr>
    </w:p>
    <w:p w:rsidR="00212081" w:rsidRPr="00010E1A" w:rsidRDefault="00212081" w:rsidP="002F4AE5">
      <w:pPr>
        <w:bidi w:val="0"/>
        <w:jc w:val="both"/>
        <w:rPr>
          <w:b/>
          <w:bCs/>
          <w:lang w:eastAsia="en-US"/>
        </w:rPr>
      </w:pPr>
      <w:r w:rsidRPr="00010E1A">
        <w:rPr>
          <w:b/>
          <w:bCs/>
          <w:lang w:eastAsia="en-US"/>
        </w:rPr>
        <w:t xml:space="preserve">Value </w:t>
      </w:r>
      <w:r w:rsidR="002F4AE5" w:rsidRPr="00010E1A">
        <w:rPr>
          <w:b/>
          <w:bCs/>
          <w:lang w:eastAsia="en-US"/>
        </w:rPr>
        <w:t>A</w:t>
      </w:r>
      <w:r w:rsidRPr="00010E1A">
        <w:rPr>
          <w:b/>
          <w:bCs/>
          <w:lang w:eastAsia="en-US"/>
        </w:rPr>
        <w:t>dded</w:t>
      </w:r>
      <w:r w:rsidR="009B2126" w:rsidRPr="00010E1A">
        <w:rPr>
          <w:b/>
          <w:bCs/>
          <w:lang w:eastAsia="en-US"/>
        </w:rPr>
        <w:t>:</w:t>
      </w:r>
    </w:p>
    <w:p w:rsidR="00F96A36" w:rsidRPr="00010E1A" w:rsidRDefault="00F96A36" w:rsidP="00F96A36">
      <w:pPr>
        <w:bidi w:val="0"/>
        <w:jc w:val="both"/>
        <w:rPr>
          <w:lang w:eastAsia="en-US"/>
        </w:rPr>
      </w:pPr>
      <w:r w:rsidRPr="00010E1A">
        <w:rPr>
          <w:lang w:eastAsia="en-US"/>
        </w:rPr>
        <w:t>Value added is a central concept of production and refers to the generated value of any unit that carries out any productive activity. Gross value added is defined as the value of gross output less the value of intermediate consumption. The net value added is defined as the gross value less the value of fixed capital consumption.</w:t>
      </w:r>
    </w:p>
    <w:p w:rsidR="00212081" w:rsidRPr="00010E1A" w:rsidRDefault="00212081" w:rsidP="00212081">
      <w:pPr>
        <w:bidi w:val="0"/>
        <w:jc w:val="both"/>
        <w:rPr>
          <w:lang w:eastAsia="en-US"/>
        </w:rPr>
      </w:pPr>
    </w:p>
    <w:p w:rsidR="00AD2C43" w:rsidRPr="00010E1A" w:rsidRDefault="00AD2C43" w:rsidP="00AD2C43">
      <w:pPr>
        <w:bidi w:val="0"/>
        <w:jc w:val="both"/>
        <w:rPr>
          <w:b/>
          <w:bCs/>
          <w:lang w:eastAsia="en-US"/>
        </w:rPr>
      </w:pPr>
      <w:r w:rsidRPr="00010E1A">
        <w:rPr>
          <w:b/>
          <w:bCs/>
          <w:lang w:eastAsia="en-US"/>
        </w:rPr>
        <w:t>Gross Domestic Product or GDP (Indicator):</w:t>
      </w:r>
    </w:p>
    <w:p w:rsidR="00F16C01" w:rsidRPr="00010E1A" w:rsidRDefault="00F16C01" w:rsidP="002F6959">
      <w:pPr>
        <w:bidi w:val="0"/>
        <w:jc w:val="both"/>
      </w:pPr>
      <w:r w:rsidRPr="00010E1A">
        <w:t xml:space="preserve">Gross Domestic Product or GDP is intended to be a measure of the value created by the productive activity of resident institutional units during a certain period in time. Estimate of GDP, like the output and the value added, can vary according to taxes and subsidies taken into consideration. GDP is usually estimated at market prices, producers’ prices, or basic prices. </w:t>
      </w:r>
    </w:p>
    <w:p w:rsidR="00152D3A" w:rsidRPr="00010E1A" w:rsidRDefault="00F16C01" w:rsidP="00D929CD">
      <w:pPr>
        <w:bidi w:val="0"/>
        <w:jc w:val="both"/>
        <w:rPr>
          <w:rtl/>
        </w:rPr>
      </w:pPr>
      <w:r w:rsidRPr="00010E1A">
        <w:t xml:space="preserve">There are three approaches to estimate the GDP: Output or Production approach, Expenditure approach, and Income approach. </w:t>
      </w:r>
    </w:p>
    <w:p w:rsidR="00152D3A" w:rsidRPr="00010E1A" w:rsidRDefault="00152D3A" w:rsidP="00F16C01">
      <w:pPr>
        <w:jc w:val="right"/>
        <w:rPr>
          <w:rtl/>
          <w:lang w:eastAsia="en-US"/>
        </w:rPr>
      </w:pPr>
    </w:p>
    <w:p w:rsidR="00212081" w:rsidRPr="00010E1A" w:rsidRDefault="00212081" w:rsidP="00212081">
      <w:pPr>
        <w:bidi w:val="0"/>
        <w:jc w:val="both"/>
        <w:rPr>
          <w:b/>
          <w:bCs/>
        </w:rPr>
      </w:pPr>
      <w:r w:rsidRPr="00010E1A">
        <w:rPr>
          <w:b/>
          <w:bCs/>
        </w:rPr>
        <w:t>Deflating</w:t>
      </w:r>
      <w:r w:rsidR="009B2126" w:rsidRPr="00010E1A">
        <w:rPr>
          <w:b/>
          <w:bCs/>
        </w:rPr>
        <w:t>:</w:t>
      </w:r>
    </w:p>
    <w:p w:rsidR="00F96A36" w:rsidRPr="00010E1A" w:rsidRDefault="00F96A36" w:rsidP="00F96A36">
      <w:pPr>
        <w:bidi w:val="0"/>
        <w:ind w:left="58" w:right="187"/>
        <w:jc w:val="both"/>
        <w:rPr>
          <w:lang w:val="en-GB" w:eastAsia="en-US"/>
        </w:rPr>
      </w:pPr>
      <w:r w:rsidRPr="00010E1A">
        <w:rPr>
          <w:lang w:val="en-GB" w:eastAsia="en-US" w:bidi="ar-JO"/>
        </w:rPr>
        <w:t>It is the process of changing all data at current prices to constant prices by choosing the suitable indices by which the effect of prices on the data will be isolated, and this could be done by choosing suitable base year.</w:t>
      </w:r>
    </w:p>
    <w:p w:rsidR="00D929CD" w:rsidRPr="00010E1A" w:rsidRDefault="00D929CD" w:rsidP="00D929CD">
      <w:pPr>
        <w:bidi w:val="0"/>
        <w:ind w:left="58" w:right="187"/>
        <w:jc w:val="both"/>
        <w:rPr>
          <w:lang w:val="en-GB" w:eastAsia="en-US"/>
        </w:rPr>
      </w:pPr>
    </w:p>
    <w:p w:rsidR="00253CB3" w:rsidRPr="00010E1A" w:rsidRDefault="00253CB3" w:rsidP="00253CB3">
      <w:pPr>
        <w:bidi w:val="0"/>
        <w:ind w:left="58" w:right="187"/>
        <w:jc w:val="both"/>
        <w:rPr>
          <w:lang w:val="en-GB" w:eastAsia="en-US"/>
        </w:rPr>
      </w:pPr>
    </w:p>
    <w:p w:rsidR="00253CB3" w:rsidRPr="00010E1A" w:rsidRDefault="00253CB3" w:rsidP="00253CB3">
      <w:pPr>
        <w:bidi w:val="0"/>
        <w:ind w:left="58" w:right="187"/>
        <w:jc w:val="both"/>
        <w:rPr>
          <w:lang w:val="en-GB" w:eastAsia="en-US"/>
        </w:rPr>
      </w:pPr>
    </w:p>
    <w:p w:rsidR="00287734" w:rsidRPr="00010E1A" w:rsidRDefault="00287734" w:rsidP="00287734">
      <w:pPr>
        <w:bidi w:val="0"/>
        <w:ind w:left="58" w:right="187"/>
        <w:jc w:val="both"/>
        <w:rPr>
          <w:lang w:val="en-GB" w:eastAsia="en-US"/>
        </w:rPr>
      </w:pPr>
    </w:p>
    <w:p w:rsidR="00212081" w:rsidRPr="00010E1A" w:rsidRDefault="00212081" w:rsidP="00E674C5">
      <w:pPr>
        <w:bidi w:val="0"/>
        <w:jc w:val="both"/>
        <w:rPr>
          <w:b/>
          <w:bCs/>
          <w:lang w:eastAsia="en-US"/>
        </w:rPr>
      </w:pPr>
      <w:r w:rsidRPr="00010E1A">
        <w:rPr>
          <w:b/>
          <w:bCs/>
          <w:lang w:eastAsia="en-US"/>
        </w:rPr>
        <w:lastRenderedPageBreak/>
        <w:t>Short-</w:t>
      </w:r>
      <w:r w:rsidR="005D74D9" w:rsidRPr="00010E1A">
        <w:rPr>
          <w:b/>
          <w:bCs/>
          <w:lang w:eastAsia="en-US"/>
        </w:rPr>
        <w:t>T</w:t>
      </w:r>
      <w:r w:rsidRPr="00010E1A">
        <w:rPr>
          <w:b/>
          <w:bCs/>
          <w:lang w:eastAsia="en-US"/>
        </w:rPr>
        <w:t xml:space="preserve">erm </w:t>
      </w:r>
      <w:r w:rsidR="002F4AE5" w:rsidRPr="00010E1A">
        <w:rPr>
          <w:b/>
          <w:bCs/>
          <w:lang w:eastAsia="en-US"/>
        </w:rPr>
        <w:t>I</w:t>
      </w:r>
      <w:r w:rsidRPr="00010E1A">
        <w:rPr>
          <w:b/>
          <w:bCs/>
          <w:lang w:eastAsia="en-US"/>
        </w:rPr>
        <w:t>ndicators</w:t>
      </w:r>
      <w:r w:rsidR="008B02DD" w:rsidRPr="00010E1A">
        <w:rPr>
          <w:b/>
          <w:bCs/>
          <w:lang w:eastAsia="en-US"/>
        </w:rPr>
        <w:t>:</w:t>
      </w:r>
    </w:p>
    <w:p w:rsidR="00F5103A" w:rsidRPr="00010E1A" w:rsidRDefault="00F5103A" w:rsidP="00F5103A">
      <w:pPr>
        <w:bidi w:val="0"/>
        <w:ind w:left="58" w:right="187"/>
        <w:jc w:val="both"/>
        <w:rPr>
          <w:lang w:eastAsia="en-US"/>
        </w:rPr>
      </w:pPr>
      <w:r w:rsidRPr="00010E1A">
        <w:rPr>
          <w:lang w:eastAsia="en-US"/>
        </w:rPr>
        <w:t>All indicators that have a periodicity for less than a year, usually month or quarter.</w:t>
      </w:r>
    </w:p>
    <w:p w:rsidR="00212081" w:rsidRPr="00010E1A" w:rsidRDefault="00212081" w:rsidP="00212081">
      <w:pPr>
        <w:bidi w:val="0"/>
        <w:jc w:val="both"/>
        <w:rPr>
          <w:b/>
          <w:bCs/>
          <w:lang w:eastAsia="en-US"/>
        </w:rPr>
      </w:pPr>
    </w:p>
    <w:p w:rsidR="00212081" w:rsidRPr="00010E1A" w:rsidRDefault="00212081" w:rsidP="00212081">
      <w:pPr>
        <w:bidi w:val="0"/>
        <w:jc w:val="both"/>
        <w:rPr>
          <w:b/>
          <w:bCs/>
          <w:lang w:eastAsia="en-US"/>
        </w:rPr>
      </w:pPr>
      <w:r w:rsidRPr="00010E1A">
        <w:rPr>
          <w:b/>
          <w:bCs/>
          <w:lang w:eastAsia="en-US"/>
        </w:rPr>
        <w:t>Industrial Production Index</w:t>
      </w:r>
      <w:r w:rsidR="008B02DD" w:rsidRPr="00010E1A">
        <w:rPr>
          <w:b/>
          <w:bCs/>
          <w:lang w:eastAsia="en-US"/>
        </w:rPr>
        <w:t>:</w:t>
      </w:r>
    </w:p>
    <w:p w:rsidR="00212081" w:rsidRPr="00010E1A" w:rsidRDefault="00212081" w:rsidP="00212081">
      <w:pPr>
        <w:bidi w:val="0"/>
        <w:jc w:val="both"/>
        <w:rPr>
          <w:lang w:eastAsia="en-US"/>
        </w:rPr>
      </w:pPr>
      <w:r w:rsidRPr="00010E1A">
        <w:rPr>
          <w:lang w:eastAsia="en-US"/>
        </w:rPr>
        <w:t>A statistical tool used for measuring the change in volume of output of industrial activities during a certain period of time.  The index uses the change in volume of production for the largest establishments in each industry.</w:t>
      </w:r>
    </w:p>
    <w:p w:rsidR="00212081" w:rsidRPr="00010E1A" w:rsidRDefault="00212081" w:rsidP="00212081">
      <w:pPr>
        <w:bidi w:val="0"/>
        <w:jc w:val="both"/>
        <w:rPr>
          <w:b/>
          <w:bCs/>
          <w:lang w:eastAsia="en-US"/>
        </w:rPr>
      </w:pPr>
    </w:p>
    <w:p w:rsidR="00212081" w:rsidRPr="00010E1A" w:rsidRDefault="00212081" w:rsidP="00212081">
      <w:pPr>
        <w:bidi w:val="0"/>
        <w:jc w:val="both"/>
        <w:rPr>
          <w:b/>
          <w:bCs/>
          <w:lang w:eastAsia="en-US"/>
        </w:rPr>
      </w:pPr>
      <w:r w:rsidRPr="00010E1A">
        <w:rPr>
          <w:b/>
          <w:bCs/>
          <w:lang w:eastAsia="en-US"/>
        </w:rPr>
        <w:t>Financial Intermediation Services Indirectly Measured (FISIM)</w:t>
      </w:r>
      <w:r w:rsidR="008B02DD" w:rsidRPr="00010E1A">
        <w:rPr>
          <w:b/>
          <w:bCs/>
          <w:lang w:eastAsia="en-US"/>
        </w:rPr>
        <w:t>:</w:t>
      </w:r>
    </w:p>
    <w:p w:rsidR="00212081" w:rsidRPr="00010E1A" w:rsidRDefault="00E674C5" w:rsidP="00212081">
      <w:pPr>
        <w:pStyle w:val="Footer"/>
        <w:tabs>
          <w:tab w:val="clear" w:pos="4153"/>
          <w:tab w:val="clear" w:pos="8306"/>
        </w:tabs>
        <w:bidi w:val="0"/>
        <w:jc w:val="both"/>
        <w:rPr>
          <w:rFonts w:cs="Times New Roman"/>
          <w:sz w:val="24"/>
          <w:szCs w:val="24"/>
        </w:rPr>
      </w:pPr>
      <w:r w:rsidRPr="00010E1A">
        <w:rPr>
          <w:sz w:val="24"/>
          <w:szCs w:val="24"/>
        </w:rPr>
        <w:t>It's the difference between the rate paid to banks by borrowers and the reference rate plus the difference between the reference rate and the rate actually paid to depositors.</w:t>
      </w:r>
    </w:p>
    <w:p w:rsidR="00E674C5" w:rsidRPr="00010E1A" w:rsidRDefault="00E674C5" w:rsidP="00E674C5">
      <w:pPr>
        <w:pStyle w:val="Footer"/>
        <w:tabs>
          <w:tab w:val="clear" w:pos="4153"/>
          <w:tab w:val="clear" w:pos="8306"/>
        </w:tabs>
        <w:bidi w:val="0"/>
        <w:jc w:val="both"/>
        <w:rPr>
          <w:rFonts w:cs="Times New Roman"/>
          <w:sz w:val="24"/>
          <w:szCs w:val="24"/>
        </w:rPr>
      </w:pPr>
    </w:p>
    <w:p w:rsidR="007A57CB" w:rsidRPr="00010E1A" w:rsidRDefault="00E6327B" w:rsidP="00E6327B">
      <w:pPr>
        <w:bidi w:val="0"/>
        <w:jc w:val="lowKashida"/>
        <w:rPr>
          <w:b/>
          <w:bCs/>
        </w:rPr>
      </w:pPr>
      <w:r w:rsidRPr="00010E1A">
        <w:rPr>
          <w:b/>
          <w:bCs/>
        </w:rPr>
        <w:t xml:space="preserve">- </w:t>
      </w:r>
      <w:r w:rsidR="007A57CB" w:rsidRPr="00010E1A">
        <w:rPr>
          <w:b/>
          <w:bCs/>
        </w:rPr>
        <w:t xml:space="preserve">Final </w:t>
      </w:r>
      <w:r w:rsidR="005D74D9" w:rsidRPr="00010E1A">
        <w:rPr>
          <w:b/>
          <w:bCs/>
        </w:rPr>
        <w:t>C</w:t>
      </w:r>
      <w:r w:rsidR="007A57CB" w:rsidRPr="00010E1A">
        <w:rPr>
          <w:b/>
          <w:bCs/>
        </w:rPr>
        <w:t xml:space="preserve">onsumption </w:t>
      </w:r>
      <w:r w:rsidR="005D74D9" w:rsidRPr="00010E1A">
        <w:rPr>
          <w:b/>
          <w:bCs/>
        </w:rPr>
        <w:t>G</w:t>
      </w:r>
      <w:r w:rsidR="007A57CB" w:rsidRPr="00010E1A">
        <w:rPr>
          <w:b/>
          <w:bCs/>
        </w:rPr>
        <w:t>roups:</w:t>
      </w:r>
    </w:p>
    <w:p w:rsidR="007A57CB" w:rsidRPr="00010E1A" w:rsidRDefault="007A57CB" w:rsidP="007A57CB">
      <w:pPr>
        <w:bidi w:val="0"/>
        <w:ind w:firstLine="720"/>
        <w:jc w:val="lowKashida"/>
      </w:pPr>
    </w:p>
    <w:p w:rsidR="007A57CB" w:rsidRPr="00010E1A" w:rsidRDefault="007A57CB" w:rsidP="005D74D9">
      <w:pPr>
        <w:bidi w:val="0"/>
        <w:jc w:val="lowKashida"/>
        <w:rPr>
          <w:b/>
          <w:bCs/>
          <w:lang w:eastAsia="en-US"/>
        </w:rPr>
      </w:pPr>
      <w:r w:rsidRPr="00010E1A">
        <w:rPr>
          <w:b/>
          <w:bCs/>
          <w:lang w:eastAsia="en-US"/>
        </w:rPr>
        <w:t xml:space="preserve">Final </w:t>
      </w:r>
      <w:r w:rsidR="005D74D9" w:rsidRPr="00010E1A">
        <w:rPr>
          <w:b/>
          <w:bCs/>
          <w:lang w:eastAsia="en-US"/>
        </w:rPr>
        <w:t>C</w:t>
      </w:r>
      <w:r w:rsidRPr="00010E1A">
        <w:rPr>
          <w:b/>
          <w:bCs/>
          <w:lang w:eastAsia="en-US"/>
        </w:rPr>
        <w:t>onsumption:</w:t>
      </w:r>
    </w:p>
    <w:p w:rsidR="00BE755A" w:rsidRPr="00010E1A" w:rsidRDefault="00BE755A" w:rsidP="00195B58">
      <w:pPr>
        <w:bidi w:val="0"/>
        <w:jc w:val="both"/>
        <w:rPr>
          <w:lang w:eastAsia="en-US"/>
        </w:rPr>
      </w:pPr>
      <w:r w:rsidRPr="00010E1A">
        <w:rPr>
          <w:lang w:eastAsia="en-US"/>
        </w:rPr>
        <w:t>It is the consumption of households, government, and non-profit institutions. Therefore, the establishments’ consumption is not considered final consumption since products used in the production process are considered as intermediate consumption.</w:t>
      </w:r>
    </w:p>
    <w:p w:rsidR="007A57CB" w:rsidRPr="00010E1A" w:rsidRDefault="007A57CB" w:rsidP="007A57CB">
      <w:pPr>
        <w:bidi w:val="0"/>
        <w:jc w:val="lowKashida"/>
        <w:rPr>
          <w:b/>
          <w:bCs/>
          <w:lang w:eastAsia="en-US"/>
        </w:rPr>
      </w:pPr>
    </w:p>
    <w:p w:rsidR="00BE755A" w:rsidRPr="00010E1A" w:rsidRDefault="00F54346" w:rsidP="005D74D9">
      <w:pPr>
        <w:bidi w:val="0"/>
        <w:jc w:val="lowKashida"/>
        <w:rPr>
          <w:lang w:eastAsia="en-US"/>
        </w:rPr>
      </w:pPr>
      <w:r w:rsidRPr="00010E1A">
        <w:rPr>
          <w:b/>
          <w:bCs/>
          <w:lang w:eastAsia="en-US"/>
        </w:rPr>
        <w:t>Households</w:t>
      </w:r>
      <w:r w:rsidR="007A57CB" w:rsidRPr="00010E1A">
        <w:rPr>
          <w:b/>
          <w:bCs/>
          <w:lang w:eastAsia="en-US"/>
        </w:rPr>
        <w:t xml:space="preserve"> </w:t>
      </w:r>
      <w:r w:rsidR="005D74D9" w:rsidRPr="00010E1A">
        <w:rPr>
          <w:b/>
          <w:bCs/>
          <w:lang w:eastAsia="en-US"/>
        </w:rPr>
        <w:t>F</w:t>
      </w:r>
      <w:r w:rsidR="007A57CB" w:rsidRPr="00010E1A">
        <w:rPr>
          <w:b/>
          <w:bCs/>
          <w:lang w:eastAsia="en-US"/>
        </w:rPr>
        <w:t xml:space="preserve">inal </w:t>
      </w:r>
      <w:r w:rsidR="005D74D9" w:rsidRPr="00010E1A">
        <w:rPr>
          <w:b/>
          <w:bCs/>
          <w:lang w:eastAsia="en-US"/>
        </w:rPr>
        <w:t>C</w:t>
      </w:r>
      <w:r w:rsidR="007A57CB" w:rsidRPr="00010E1A">
        <w:rPr>
          <w:b/>
          <w:bCs/>
          <w:lang w:eastAsia="en-US"/>
        </w:rPr>
        <w:t>onsumption</w:t>
      </w:r>
      <w:r w:rsidR="00BE755A" w:rsidRPr="00010E1A">
        <w:rPr>
          <w:lang w:eastAsia="en-US"/>
        </w:rPr>
        <w:t>:</w:t>
      </w:r>
    </w:p>
    <w:p w:rsidR="00BE755A" w:rsidRPr="00010E1A" w:rsidRDefault="00BE755A" w:rsidP="00195B58">
      <w:pPr>
        <w:bidi w:val="0"/>
        <w:jc w:val="both"/>
        <w:rPr>
          <w:lang w:eastAsia="en-US"/>
        </w:rPr>
      </w:pPr>
      <w:r w:rsidRPr="00010E1A">
        <w:rPr>
          <w:lang w:eastAsia="en-US"/>
        </w:rPr>
        <w:t>It is the expenditure on all goods and services excluding expenditure on building and construction, which are considered gross fixed capital formation for the property owners. Renting accommodation is classified as final consumption spent by households.</w:t>
      </w:r>
    </w:p>
    <w:p w:rsidR="007A57CB" w:rsidRPr="00010E1A" w:rsidRDefault="007A57CB" w:rsidP="007A57CB">
      <w:pPr>
        <w:bidi w:val="0"/>
        <w:jc w:val="lowKashida"/>
        <w:rPr>
          <w:lang w:eastAsia="en-US"/>
        </w:rPr>
      </w:pPr>
    </w:p>
    <w:p w:rsidR="00A06DB9" w:rsidRPr="00010E1A" w:rsidRDefault="007A57CB" w:rsidP="005D74D9">
      <w:pPr>
        <w:bidi w:val="0"/>
        <w:jc w:val="lowKashida"/>
        <w:rPr>
          <w:lang w:eastAsia="en-US"/>
        </w:rPr>
      </w:pPr>
      <w:r w:rsidRPr="00010E1A">
        <w:rPr>
          <w:b/>
          <w:bCs/>
          <w:lang w:eastAsia="en-US"/>
        </w:rPr>
        <w:t xml:space="preserve">Government and </w:t>
      </w:r>
      <w:r w:rsidR="005D74D9" w:rsidRPr="00010E1A">
        <w:rPr>
          <w:b/>
          <w:bCs/>
          <w:lang w:eastAsia="en-US"/>
        </w:rPr>
        <w:t>N</w:t>
      </w:r>
      <w:r w:rsidRPr="00010E1A">
        <w:rPr>
          <w:b/>
          <w:bCs/>
          <w:lang w:eastAsia="en-US"/>
        </w:rPr>
        <w:t>on-</w:t>
      </w:r>
      <w:r w:rsidR="005D74D9" w:rsidRPr="00010E1A">
        <w:rPr>
          <w:b/>
          <w:bCs/>
          <w:lang w:eastAsia="en-US"/>
        </w:rPr>
        <w:t>P</w:t>
      </w:r>
      <w:r w:rsidRPr="00010E1A">
        <w:rPr>
          <w:b/>
          <w:bCs/>
          <w:lang w:eastAsia="en-US"/>
        </w:rPr>
        <w:t xml:space="preserve">rofit </w:t>
      </w:r>
      <w:r w:rsidR="005D74D9" w:rsidRPr="00010E1A">
        <w:rPr>
          <w:b/>
          <w:bCs/>
          <w:lang w:eastAsia="en-US"/>
        </w:rPr>
        <w:t>I</w:t>
      </w:r>
      <w:r w:rsidRPr="00010E1A">
        <w:rPr>
          <w:b/>
          <w:bCs/>
          <w:lang w:eastAsia="en-US"/>
        </w:rPr>
        <w:t xml:space="preserve">nstitutions </w:t>
      </w:r>
      <w:r w:rsidR="005D74D9" w:rsidRPr="00010E1A">
        <w:rPr>
          <w:b/>
          <w:bCs/>
          <w:lang w:eastAsia="en-US"/>
        </w:rPr>
        <w:t>C</w:t>
      </w:r>
      <w:r w:rsidRPr="00010E1A">
        <w:rPr>
          <w:b/>
          <w:bCs/>
          <w:lang w:eastAsia="en-US"/>
        </w:rPr>
        <w:t>onsumption</w:t>
      </w:r>
      <w:r w:rsidR="00A06DB9" w:rsidRPr="00010E1A">
        <w:rPr>
          <w:lang w:eastAsia="en-US"/>
        </w:rPr>
        <w:t>:</w:t>
      </w:r>
    </w:p>
    <w:p w:rsidR="00A06DB9" w:rsidRPr="00010E1A" w:rsidRDefault="00A06DB9" w:rsidP="00195B58">
      <w:pPr>
        <w:bidi w:val="0"/>
        <w:jc w:val="both"/>
        <w:rPr>
          <w:lang w:eastAsia="en-US"/>
        </w:rPr>
      </w:pPr>
      <w:r w:rsidRPr="00010E1A">
        <w:rPr>
          <w:lang w:eastAsia="en-US"/>
        </w:rPr>
        <w:t>Expenditure of the two sectors can be divided into two types: individual and collective. The first includes spending that benefits individuals on medical services, for instance. Collective expenditure has a public nature such as the government’s spending on defense and security.</w:t>
      </w:r>
    </w:p>
    <w:p w:rsidR="00212081" w:rsidRPr="00010E1A" w:rsidRDefault="00212081" w:rsidP="00212081">
      <w:pPr>
        <w:bidi w:val="0"/>
        <w:jc w:val="both"/>
        <w:rPr>
          <w:lang w:eastAsia="en-US"/>
        </w:rPr>
      </w:pPr>
    </w:p>
    <w:p w:rsidR="00D615C0" w:rsidRPr="00010E1A" w:rsidRDefault="003B693C" w:rsidP="005D74D9">
      <w:pPr>
        <w:bidi w:val="0"/>
        <w:jc w:val="lowKashida"/>
        <w:rPr>
          <w:b/>
          <w:bCs/>
          <w:lang w:eastAsia="en-US"/>
        </w:rPr>
      </w:pPr>
      <w:r w:rsidRPr="00010E1A">
        <w:rPr>
          <w:b/>
          <w:bCs/>
          <w:lang w:eastAsia="en-US"/>
        </w:rPr>
        <w:t xml:space="preserve">- </w:t>
      </w:r>
      <w:r w:rsidR="00D615C0" w:rsidRPr="00010E1A">
        <w:rPr>
          <w:b/>
          <w:bCs/>
          <w:lang w:eastAsia="en-US"/>
        </w:rPr>
        <w:t xml:space="preserve">Gross </w:t>
      </w:r>
      <w:r w:rsidR="005D74D9" w:rsidRPr="00010E1A">
        <w:rPr>
          <w:b/>
          <w:bCs/>
          <w:lang w:eastAsia="en-US"/>
        </w:rPr>
        <w:t>C</w:t>
      </w:r>
      <w:r w:rsidR="00D615C0" w:rsidRPr="00010E1A">
        <w:rPr>
          <w:b/>
          <w:bCs/>
          <w:lang w:eastAsia="en-US"/>
        </w:rPr>
        <w:t xml:space="preserve">apital </w:t>
      </w:r>
      <w:r w:rsidR="005D74D9" w:rsidRPr="00010E1A">
        <w:rPr>
          <w:b/>
          <w:bCs/>
          <w:lang w:eastAsia="en-US"/>
        </w:rPr>
        <w:t>F</w:t>
      </w:r>
      <w:r w:rsidR="00D615C0" w:rsidRPr="00010E1A">
        <w:rPr>
          <w:b/>
          <w:bCs/>
          <w:lang w:eastAsia="en-US"/>
        </w:rPr>
        <w:t>ormation:</w:t>
      </w:r>
    </w:p>
    <w:p w:rsidR="00CA227C" w:rsidRPr="00010E1A" w:rsidRDefault="00CA227C" w:rsidP="00CA227C">
      <w:pPr>
        <w:bidi w:val="0"/>
        <w:jc w:val="both"/>
        <w:rPr>
          <w:lang w:eastAsia="en-US"/>
        </w:rPr>
      </w:pPr>
      <w:r w:rsidRPr="00010E1A">
        <w:rPr>
          <w:lang w:eastAsia="en-US"/>
        </w:rPr>
        <w:t>Gross capital formation can be divided into three components: gross fixed capital formation, change in inventory, and net acquisitions of valuables. Henceforth, gross capital formation (or investment) can be defined as the total value of the three aforementioned components. It is measured at purchase price</w:t>
      </w:r>
      <w:r w:rsidRPr="00010E1A">
        <w:rPr>
          <w:rFonts w:hint="cs"/>
          <w:rtl/>
          <w:lang w:eastAsia="en-US"/>
        </w:rPr>
        <w:t>.</w:t>
      </w:r>
    </w:p>
    <w:p w:rsidR="00212081" w:rsidRPr="00010E1A" w:rsidRDefault="00212081" w:rsidP="00212081">
      <w:pPr>
        <w:pStyle w:val="BodyText"/>
        <w:bidi w:val="0"/>
        <w:jc w:val="both"/>
        <w:rPr>
          <w:rFonts w:cs="Times New Roman"/>
          <w:b/>
          <w:bCs/>
          <w:szCs w:val="24"/>
          <w:lang w:eastAsia="en-US"/>
        </w:rPr>
      </w:pPr>
    </w:p>
    <w:p w:rsidR="001345D6" w:rsidRPr="00010E1A" w:rsidRDefault="001345D6" w:rsidP="005D74D9">
      <w:pPr>
        <w:pStyle w:val="BodyText"/>
        <w:bidi w:val="0"/>
        <w:jc w:val="both"/>
        <w:rPr>
          <w:rFonts w:cs="Times New Roman"/>
          <w:b/>
          <w:bCs/>
          <w:szCs w:val="24"/>
          <w:lang w:eastAsia="en-US"/>
        </w:rPr>
      </w:pPr>
      <w:r w:rsidRPr="00010E1A">
        <w:rPr>
          <w:b/>
          <w:bCs/>
        </w:rPr>
        <w:t xml:space="preserve">Gross fixed </w:t>
      </w:r>
      <w:r w:rsidR="005D74D9" w:rsidRPr="00010E1A">
        <w:rPr>
          <w:b/>
          <w:bCs/>
        </w:rPr>
        <w:t>C</w:t>
      </w:r>
      <w:r w:rsidRPr="00010E1A">
        <w:rPr>
          <w:b/>
          <w:bCs/>
        </w:rPr>
        <w:t xml:space="preserve">apital </w:t>
      </w:r>
      <w:r w:rsidR="005D74D9" w:rsidRPr="00010E1A">
        <w:rPr>
          <w:b/>
          <w:bCs/>
        </w:rPr>
        <w:t>F</w:t>
      </w:r>
      <w:r w:rsidRPr="00010E1A">
        <w:rPr>
          <w:b/>
          <w:bCs/>
        </w:rPr>
        <w:t>ormation</w:t>
      </w:r>
      <w:r w:rsidRPr="00010E1A">
        <w:rPr>
          <w:rFonts w:cs="Times New Roman"/>
          <w:b/>
          <w:bCs/>
          <w:szCs w:val="24"/>
          <w:lang w:eastAsia="en-US"/>
        </w:rPr>
        <w:t>:</w:t>
      </w:r>
    </w:p>
    <w:p w:rsidR="001345D6" w:rsidRPr="00010E1A" w:rsidRDefault="001345D6" w:rsidP="00B9331B">
      <w:pPr>
        <w:pStyle w:val="BodyText"/>
        <w:bidi w:val="0"/>
        <w:jc w:val="both"/>
        <w:rPr>
          <w:rFonts w:cs="Times New Roman"/>
          <w:b/>
          <w:bCs/>
          <w:szCs w:val="24"/>
          <w:lang w:eastAsia="en-US"/>
        </w:rPr>
      </w:pPr>
      <w:r w:rsidRPr="00010E1A">
        <w:t>Is the total value of producers acquisitions less disposals of fixed asset during the accounting period plus certain addition to the value of non-produced assets released by the productive activity of institutional units, fixed assets are tangible or intangible assets produced as from process of production that are themselves used repeatedly or continuously in other process of production for more than one year.</w:t>
      </w:r>
    </w:p>
    <w:p w:rsidR="00152D3A" w:rsidRPr="00010E1A" w:rsidRDefault="00152D3A" w:rsidP="00152D3A">
      <w:pPr>
        <w:rPr>
          <w:rFonts w:asciiTheme="minorBidi" w:hAnsiTheme="minorBidi" w:cstheme="minorBidi"/>
          <w:sz w:val="20"/>
          <w:szCs w:val="20"/>
          <w:rtl/>
        </w:rPr>
      </w:pPr>
    </w:p>
    <w:p w:rsidR="00152D3A" w:rsidRPr="00010E1A" w:rsidRDefault="00152D3A" w:rsidP="00152D3A">
      <w:pPr>
        <w:rPr>
          <w:rFonts w:asciiTheme="minorBidi" w:hAnsiTheme="minorBidi" w:cstheme="minorBidi"/>
          <w:sz w:val="20"/>
          <w:szCs w:val="20"/>
          <w:rtl/>
        </w:rPr>
      </w:pPr>
    </w:p>
    <w:p w:rsidR="0062119F" w:rsidRPr="00010E1A" w:rsidRDefault="0062119F" w:rsidP="005D74D9">
      <w:pPr>
        <w:pStyle w:val="BodyText"/>
        <w:bidi w:val="0"/>
        <w:jc w:val="both"/>
        <w:rPr>
          <w:rFonts w:cs="Times New Roman"/>
          <w:b/>
          <w:bCs/>
          <w:szCs w:val="24"/>
          <w:lang w:eastAsia="en-US"/>
        </w:rPr>
      </w:pPr>
      <w:r w:rsidRPr="00010E1A">
        <w:rPr>
          <w:b/>
          <w:bCs/>
        </w:rPr>
        <w:t xml:space="preserve">Change in the </w:t>
      </w:r>
      <w:r w:rsidR="005D74D9" w:rsidRPr="00010E1A">
        <w:rPr>
          <w:b/>
          <w:bCs/>
        </w:rPr>
        <w:t>I</w:t>
      </w:r>
      <w:r w:rsidRPr="00010E1A">
        <w:rPr>
          <w:b/>
          <w:bCs/>
        </w:rPr>
        <w:t>nventory</w:t>
      </w:r>
      <w:r w:rsidRPr="00010E1A">
        <w:rPr>
          <w:rFonts w:cs="Times New Roman"/>
          <w:b/>
          <w:bCs/>
          <w:szCs w:val="24"/>
          <w:lang w:eastAsia="en-US"/>
        </w:rPr>
        <w:t>:</w:t>
      </w:r>
    </w:p>
    <w:p w:rsidR="0062119F" w:rsidRPr="00010E1A" w:rsidRDefault="0062119F" w:rsidP="0062119F">
      <w:pPr>
        <w:pStyle w:val="BodyText"/>
        <w:bidi w:val="0"/>
        <w:jc w:val="both"/>
        <w:rPr>
          <w:rFonts w:cs="Times New Roman"/>
          <w:b/>
          <w:bCs/>
          <w:szCs w:val="24"/>
          <w:lang w:eastAsia="en-US"/>
        </w:rPr>
      </w:pPr>
      <w:r w:rsidRPr="00010E1A">
        <w:t>the value of the goods entering the inventory less the value of the goods leaving the inventory. Goods must be valued at current prices, i.e., their prices at the time they enter or leave the inventory in order to avoid calculating unreal earnings of ownership. Change in the inventory also includes “under operating products”.</w:t>
      </w:r>
    </w:p>
    <w:p w:rsidR="00991085" w:rsidRPr="00010E1A" w:rsidRDefault="00991085" w:rsidP="00991085">
      <w:pPr>
        <w:pStyle w:val="BodyText"/>
        <w:bidi w:val="0"/>
        <w:jc w:val="both"/>
        <w:rPr>
          <w:rFonts w:cs="Times New Roman"/>
          <w:b/>
          <w:bCs/>
          <w:szCs w:val="24"/>
          <w:lang w:eastAsia="en-US"/>
        </w:rPr>
      </w:pPr>
    </w:p>
    <w:p w:rsidR="000D023D" w:rsidRPr="00010E1A" w:rsidRDefault="000D023D" w:rsidP="000D023D">
      <w:pPr>
        <w:pStyle w:val="BodyText"/>
        <w:bidi w:val="0"/>
        <w:jc w:val="both"/>
        <w:rPr>
          <w:rFonts w:cs="Times New Roman"/>
          <w:b/>
          <w:bCs/>
          <w:szCs w:val="24"/>
          <w:lang w:eastAsia="en-US"/>
        </w:rPr>
      </w:pPr>
    </w:p>
    <w:p w:rsidR="00253CB3" w:rsidRDefault="00253CB3" w:rsidP="00C06742">
      <w:pPr>
        <w:jc w:val="right"/>
        <w:rPr>
          <w:b/>
          <w:bCs/>
        </w:rPr>
      </w:pPr>
    </w:p>
    <w:p w:rsidR="00E52984" w:rsidRPr="00010E1A" w:rsidRDefault="00E52984" w:rsidP="00C06742">
      <w:pPr>
        <w:jc w:val="right"/>
        <w:rPr>
          <w:b/>
          <w:bCs/>
        </w:rPr>
      </w:pPr>
    </w:p>
    <w:p w:rsidR="00C06742" w:rsidRPr="00010E1A" w:rsidRDefault="00C06742" w:rsidP="00C06742">
      <w:pPr>
        <w:jc w:val="right"/>
        <w:rPr>
          <w:b/>
          <w:bCs/>
        </w:rPr>
      </w:pPr>
      <w:r w:rsidRPr="00010E1A">
        <w:rPr>
          <w:b/>
          <w:bCs/>
        </w:rPr>
        <w:lastRenderedPageBreak/>
        <w:t>Exports:</w:t>
      </w:r>
    </w:p>
    <w:p w:rsidR="00C06742" w:rsidRPr="00010E1A" w:rsidRDefault="00C06742" w:rsidP="00E52984">
      <w:pPr>
        <w:jc w:val="right"/>
        <w:rPr>
          <w:rtl/>
        </w:rPr>
      </w:pPr>
      <w:r w:rsidRPr="00010E1A">
        <w:t>It refers to whole commodities (goods and services) that are exported or re-exported outside the country, conditioned with ownership transcription to another   economy or to free customs regions as a discount from the notional economy which results from transaction wi</w:t>
      </w:r>
      <w:r w:rsidR="00287734" w:rsidRPr="00010E1A">
        <w:t xml:space="preserve">th a </w:t>
      </w:r>
      <w:r w:rsidR="00BA5ABA" w:rsidRPr="00010E1A">
        <w:t>non-resident</w:t>
      </w:r>
      <w:r w:rsidRPr="00010E1A">
        <w:t xml:space="preserve"> economy</w:t>
      </w:r>
      <w:r w:rsidR="000064BA" w:rsidRPr="00010E1A">
        <w:t>.</w:t>
      </w:r>
      <w:r w:rsidRPr="00010E1A">
        <w:t xml:space="preserve">  </w:t>
      </w:r>
    </w:p>
    <w:p w:rsidR="00C06742" w:rsidRPr="00010E1A" w:rsidRDefault="00C06742" w:rsidP="00C06742">
      <w:pPr>
        <w:jc w:val="right"/>
      </w:pPr>
    </w:p>
    <w:p w:rsidR="00C06742" w:rsidRPr="00010E1A" w:rsidRDefault="00C06742" w:rsidP="00C06742">
      <w:pPr>
        <w:jc w:val="right"/>
        <w:rPr>
          <w:b/>
          <w:bCs/>
        </w:rPr>
      </w:pPr>
      <w:r w:rsidRPr="00010E1A">
        <w:rPr>
          <w:b/>
          <w:bCs/>
        </w:rPr>
        <w:t>Imports:</w:t>
      </w:r>
    </w:p>
    <w:p w:rsidR="00C06742" w:rsidRPr="00010E1A" w:rsidRDefault="00C06742" w:rsidP="00E52984">
      <w:pPr>
        <w:jc w:val="right"/>
        <w:rPr>
          <w:rtl/>
        </w:rPr>
      </w:pPr>
      <w:r w:rsidRPr="00010E1A">
        <w:t> It refers to whole commodities (goods and services) entering the country by air, land and sea that are used in consumption, for conversion in the manufacturing sector and for re-exportation</w:t>
      </w:r>
      <w:r w:rsidR="000064BA" w:rsidRPr="00010E1A">
        <w:t>.</w:t>
      </w: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p w:rsidR="00D929CD" w:rsidRPr="00010E1A" w:rsidRDefault="00D929CD" w:rsidP="00D929CD">
      <w:pPr>
        <w:bidi w:val="0"/>
        <w:jc w:val="both"/>
        <w:rPr>
          <w:rFonts w:cs="Simplified Arabic"/>
          <w:szCs w:val="23"/>
        </w:rPr>
      </w:pPr>
    </w:p>
    <w:p w:rsidR="00D929CD" w:rsidRPr="00010E1A" w:rsidRDefault="00D929CD" w:rsidP="00D929CD">
      <w:pPr>
        <w:bidi w:val="0"/>
        <w:jc w:val="both"/>
        <w:rPr>
          <w:rFonts w:cs="Simplified Arabic"/>
          <w:szCs w:val="23"/>
        </w:rPr>
      </w:pPr>
    </w:p>
    <w:p w:rsidR="00D929CD" w:rsidRPr="00010E1A" w:rsidRDefault="00D929CD" w:rsidP="00D929CD">
      <w:pPr>
        <w:bidi w:val="0"/>
        <w:jc w:val="both"/>
        <w:rPr>
          <w:rFonts w:cs="Simplified Arabic"/>
          <w:szCs w:val="23"/>
        </w:rPr>
      </w:pPr>
    </w:p>
    <w:p w:rsidR="00D929CD" w:rsidRPr="00010E1A" w:rsidRDefault="00D929CD" w:rsidP="00D929CD">
      <w:pPr>
        <w:bidi w:val="0"/>
        <w:jc w:val="both"/>
        <w:rPr>
          <w:rFonts w:cs="Simplified Arabic"/>
          <w:szCs w:val="23"/>
        </w:rPr>
      </w:pPr>
    </w:p>
    <w:p w:rsidR="00D929CD" w:rsidRPr="00010E1A" w:rsidRDefault="00D929CD" w:rsidP="00D929CD">
      <w:pPr>
        <w:bidi w:val="0"/>
        <w:jc w:val="both"/>
        <w:rPr>
          <w:rFonts w:cs="Simplified Arabic"/>
          <w:szCs w:val="23"/>
        </w:rPr>
      </w:pPr>
    </w:p>
    <w:p w:rsidR="00D929CD" w:rsidRPr="00010E1A" w:rsidRDefault="00D929CD" w:rsidP="00D929CD">
      <w:pPr>
        <w:bidi w:val="0"/>
        <w:jc w:val="both"/>
        <w:rPr>
          <w:rFonts w:cs="Simplified Arabic"/>
          <w:szCs w:val="23"/>
        </w:rPr>
      </w:pPr>
    </w:p>
    <w:p w:rsidR="00D929CD" w:rsidRPr="00010E1A" w:rsidRDefault="00D929CD" w:rsidP="00D929CD">
      <w:pPr>
        <w:bidi w:val="0"/>
        <w:jc w:val="both"/>
        <w:rPr>
          <w:rFonts w:cs="Simplified Arabic"/>
          <w:szCs w:val="23"/>
        </w:rPr>
      </w:pPr>
    </w:p>
    <w:p w:rsidR="00152D3A" w:rsidRPr="00010E1A" w:rsidRDefault="00152D3A" w:rsidP="00152D3A">
      <w:pPr>
        <w:bidi w:val="0"/>
        <w:jc w:val="both"/>
        <w:rPr>
          <w:rFonts w:cs="Simplified Arabic"/>
          <w:szCs w:val="23"/>
        </w:rPr>
      </w:pPr>
    </w:p>
    <w:p w:rsidR="00152D3A" w:rsidRPr="00010E1A" w:rsidRDefault="00152D3A" w:rsidP="00152D3A">
      <w:pPr>
        <w:bidi w:val="0"/>
        <w:jc w:val="both"/>
        <w:rPr>
          <w:rFonts w:cs="Simplified Arabic"/>
          <w:szCs w:val="23"/>
        </w:rPr>
      </w:pPr>
    </w:p>
    <w:sectPr w:rsidR="00152D3A" w:rsidRPr="00010E1A" w:rsidSect="00D929CD">
      <w:headerReference w:type="even" r:id="rId14"/>
      <w:footerReference w:type="default" r:id="rId15"/>
      <w:pgSz w:w="11906" w:h="16838" w:code="9"/>
      <w:pgMar w:top="1418" w:right="1418" w:bottom="993" w:left="1418" w:header="709" w:footer="709" w:gutter="0"/>
      <w:pgNumType w:start="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D96" w:rsidRDefault="005C6D96" w:rsidP="00212081">
      <w:r>
        <w:separator/>
      </w:r>
    </w:p>
  </w:endnote>
  <w:endnote w:type="continuationSeparator" w:id="0">
    <w:p w:rsidR="005C6D96" w:rsidRDefault="005C6D96" w:rsidP="0021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081" w:rsidRDefault="00CE7962" w:rsidP="00DD0252">
    <w:pPr>
      <w:pStyle w:val="Footer"/>
      <w:framePr w:wrap="around" w:vAnchor="text" w:hAnchor="text" w:xAlign="center" w:y="1"/>
      <w:rPr>
        <w:rStyle w:val="PageNumber"/>
        <w:rtl/>
      </w:rPr>
    </w:pPr>
    <w:r>
      <w:rPr>
        <w:rStyle w:val="PageNumber"/>
        <w:rtl/>
      </w:rPr>
      <w:fldChar w:fldCharType="begin"/>
    </w:r>
    <w:r w:rsidR="00212081">
      <w:rPr>
        <w:rStyle w:val="PageNumber"/>
      </w:rPr>
      <w:instrText xml:space="preserve">PAGE  </w:instrText>
    </w:r>
    <w:r>
      <w:rPr>
        <w:rStyle w:val="PageNumber"/>
        <w:rtl/>
      </w:rPr>
      <w:fldChar w:fldCharType="end"/>
    </w:r>
  </w:p>
  <w:p w:rsidR="00212081" w:rsidRDefault="00212081" w:rsidP="00DD0252">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6E" w:rsidRDefault="002074E9" w:rsidP="0066506E">
    <w:pPr>
      <w:pStyle w:val="Footer"/>
    </w:pPr>
    <w:r>
      <mc:AlternateContent>
        <mc:Choice Requires="wps">
          <w:drawing>
            <wp:anchor distT="0" distB="0" distL="114300" distR="114300" simplePos="0" relativeHeight="251662336" behindDoc="0" locked="0" layoutInCell="1" allowOverlap="1">
              <wp:simplePos x="0" y="0"/>
              <wp:positionH relativeFrom="column">
                <wp:posOffset>4471670</wp:posOffset>
              </wp:positionH>
              <wp:positionV relativeFrom="paragraph">
                <wp:posOffset>-377190</wp:posOffset>
              </wp:positionV>
              <wp:extent cx="1381125" cy="2476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11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06E" w:rsidRDefault="0066506E">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52.1pt;margin-top:-29.7pt;width:108.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" filled="f" stroked="f">
              <v:path arrowok="t"/>
              <v:textbox>
                <w:txbxContent>
                  <w:p w:rsidR="0066506E" w:rsidRDefault="0066506E">
                    <w:pPr>
                      <w:rPr>
                        <w:rtl/>
                      </w:rPr>
                    </w:pPr>
                  </w:p>
                </w:txbxContent>
              </v:textbox>
            </v:shape>
          </w:pict>
        </mc:Fallback>
      </mc:AlternateContent>
    </w:r>
  </w:p>
  <w:p w:rsidR="00C909A3" w:rsidRDefault="00C909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509" w:rsidRDefault="0066506E" w:rsidP="00DD0252">
    <w:pPr>
      <w:pStyle w:val="Footer"/>
      <w:framePr w:wrap="around" w:vAnchor="text" w:hAnchor="text" w:xAlign="center" w:y="1"/>
      <w:bidi w:val="0"/>
    </w:pPr>
    <w:r w:rsidRPr="0066506E">
      <w:rPr>
        <w:rStyle w:val="PageNumber"/>
      </w:rPr>
      <w:t xml:space="preserve"> </w:t>
    </w:r>
    <w:r w:rsidR="00B15142">
      <w:rPr>
        <w:rStyle w:val="PageNumber"/>
      </w:rPr>
      <w:t>[</w:t>
    </w:r>
    <w:r w:rsidR="00CE7962">
      <w:rPr>
        <w:rStyle w:val="PageNumber"/>
        <w:rtl/>
      </w:rPr>
      <w:fldChar w:fldCharType="begin"/>
    </w:r>
    <w:r w:rsidR="00B15142">
      <w:rPr>
        <w:rStyle w:val="PageNumber"/>
      </w:rPr>
      <w:instrText xml:space="preserve">PAGE  </w:instrText>
    </w:r>
    <w:r w:rsidR="00CE7962">
      <w:rPr>
        <w:rStyle w:val="PageNumber"/>
        <w:rtl/>
      </w:rPr>
      <w:fldChar w:fldCharType="separate"/>
    </w:r>
    <w:r w:rsidR="009A45BB">
      <w:rPr>
        <w:rStyle w:val="PageNumber"/>
      </w:rPr>
      <w:t>11</w:t>
    </w:r>
    <w:r w:rsidR="00CE7962">
      <w:rPr>
        <w:rStyle w:val="PageNumber"/>
        <w:rtl/>
      </w:rPr>
      <w:fldChar w:fldCharType="end"/>
    </w:r>
    <w:r w:rsidR="00B15142">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D96" w:rsidRDefault="005C6D96" w:rsidP="00212081">
      <w:r>
        <w:separator/>
      </w:r>
    </w:p>
  </w:footnote>
  <w:footnote w:type="continuationSeparator" w:id="0">
    <w:p w:rsidR="005C6D96" w:rsidRDefault="005C6D96" w:rsidP="00212081">
      <w:r>
        <w:continuationSeparator/>
      </w:r>
    </w:p>
  </w:footnote>
  <w:footnote w:id="1">
    <w:p w:rsidR="00F740AE" w:rsidRDefault="00F740AE" w:rsidP="00F740AE">
      <w:pPr>
        <w:pStyle w:val="FootnoteText"/>
      </w:pPr>
      <w:r>
        <w:rPr>
          <w:rStyle w:val="FootnoteReference"/>
        </w:rPr>
        <w:footnoteRef/>
      </w:r>
      <w:r>
        <w:t xml:space="preserve"> </w:t>
      </w:r>
      <w:r w:rsidRPr="00E13A50">
        <w:rPr>
          <w:rFonts w:cs="Times New Roman"/>
          <w:snapToGrid w:val="0"/>
          <w:szCs w:val="20"/>
        </w:rPr>
        <w:t xml:space="preserve">The data excluded those parts of Jerusalem which were annexed </w:t>
      </w:r>
      <w:r w:rsidRPr="00E13A50">
        <w:rPr>
          <w:rFonts w:cs="Times New Roman"/>
          <w:szCs w:val="20"/>
          <w:lang w:eastAsia="en-US"/>
        </w:rPr>
        <w:t>by</w:t>
      </w:r>
      <w:r w:rsidRPr="00E13A50">
        <w:rPr>
          <w:rFonts w:cs="Times New Roman"/>
          <w:snapToGrid w:val="0"/>
          <w:szCs w:val="20"/>
        </w:rPr>
        <w:t xml:space="preserve"> Israeli Occupation </w:t>
      </w:r>
      <w:r w:rsidRPr="00E13A50">
        <w:rPr>
          <w:rFonts w:cs="Times New Roman"/>
          <w:szCs w:val="20"/>
          <w:lang w:eastAsia="en-US"/>
        </w:rPr>
        <w:t>in 1967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BF" w:rsidRPr="00152D3A" w:rsidRDefault="00152D3A" w:rsidP="00D42E4C">
    <w:pPr>
      <w:pStyle w:val="Header"/>
      <w:bidi w:val="0"/>
      <w:rPr>
        <w:sz w:val="16"/>
        <w:szCs w:val="16"/>
      </w:rPr>
    </w:pPr>
    <w:r w:rsidRPr="0011758A">
      <w:rPr>
        <w:sz w:val="16"/>
        <w:szCs w:val="16"/>
      </w:rPr>
      <w:t xml:space="preserve">PCBS: Press Report, Preliminary Estimates of Quarterly National Accounts </w:t>
    </w:r>
    <w:r>
      <w:rPr>
        <w:sz w:val="16"/>
        <w:szCs w:val="16"/>
      </w:rPr>
      <w:t>(</w:t>
    </w:r>
    <w:r w:rsidR="007B2FBF">
      <w:rPr>
        <w:sz w:val="16"/>
        <w:szCs w:val="16"/>
      </w:rPr>
      <w:t xml:space="preserve">First </w:t>
    </w:r>
    <w:r w:rsidRPr="0011758A">
      <w:rPr>
        <w:sz w:val="16"/>
        <w:szCs w:val="16"/>
      </w:rPr>
      <w:t xml:space="preserve">Quarter </w:t>
    </w:r>
    <w:r w:rsidR="00D42E4C">
      <w:rPr>
        <w:sz w:val="16"/>
        <w:szCs w:val="16"/>
      </w:rPr>
      <w:t>2025</w:t>
    </w:r>
    <w:r w:rsidRPr="0011758A">
      <w:rPr>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509" w:rsidRDefault="009A45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40755"/>
    <w:multiLevelType w:val="hybridMultilevel"/>
    <w:tmpl w:val="BA725DA2"/>
    <w:lvl w:ilvl="0" w:tplc="91BC71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867B2"/>
    <w:multiLevelType w:val="hybridMultilevel"/>
    <w:tmpl w:val="1E5C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D74F3"/>
    <w:multiLevelType w:val="hybridMultilevel"/>
    <w:tmpl w:val="E75C535E"/>
    <w:lvl w:ilvl="0" w:tplc="B2D4E8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75D36"/>
    <w:multiLevelType w:val="hybridMultilevel"/>
    <w:tmpl w:val="6DC0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1C64EB"/>
    <w:multiLevelType w:val="hybridMultilevel"/>
    <w:tmpl w:val="D338BDAE"/>
    <w:lvl w:ilvl="0" w:tplc="D74C23E6">
      <w:start w:val="4"/>
      <w:numFmt w:val="bullet"/>
      <w:lvlText w:val="-"/>
      <w:lvlJc w:val="left"/>
      <w:pPr>
        <w:tabs>
          <w:tab w:val="num" w:pos="358"/>
        </w:tabs>
        <w:ind w:left="358" w:right="358"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num w:numId="1">
    <w:abstractNumId w:val="4"/>
  </w:num>
  <w:num w:numId="2">
    <w:abstractNumId w:val="2"/>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81"/>
    <w:rsid w:val="00001867"/>
    <w:rsid w:val="00004729"/>
    <w:rsid w:val="00004E10"/>
    <w:rsid w:val="000053F7"/>
    <w:rsid w:val="000064BA"/>
    <w:rsid w:val="00006590"/>
    <w:rsid w:val="00007A6D"/>
    <w:rsid w:val="00010E1A"/>
    <w:rsid w:val="00010F30"/>
    <w:rsid w:val="00012024"/>
    <w:rsid w:val="00012D79"/>
    <w:rsid w:val="00014250"/>
    <w:rsid w:val="00014AD2"/>
    <w:rsid w:val="00015818"/>
    <w:rsid w:val="000159BA"/>
    <w:rsid w:val="0001767C"/>
    <w:rsid w:val="0002057C"/>
    <w:rsid w:val="00020C1C"/>
    <w:rsid w:val="0002273D"/>
    <w:rsid w:val="000232A6"/>
    <w:rsid w:val="000250E7"/>
    <w:rsid w:val="00026272"/>
    <w:rsid w:val="00030FED"/>
    <w:rsid w:val="00032239"/>
    <w:rsid w:val="000332C5"/>
    <w:rsid w:val="000337B1"/>
    <w:rsid w:val="0003594B"/>
    <w:rsid w:val="00036896"/>
    <w:rsid w:val="00036EC6"/>
    <w:rsid w:val="000406FA"/>
    <w:rsid w:val="000438D1"/>
    <w:rsid w:val="0004429E"/>
    <w:rsid w:val="00044396"/>
    <w:rsid w:val="00044436"/>
    <w:rsid w:val="00044579"/>
    <w:rsid w:val="000451BA"/>
    <w:rsid w:val="00046002"/>
    <w:rsid w:val="00052168"/>
    <w:rsid w:val="00052826"/>
    <w:rsid w:val="00052A00"/>
    <w:rsid w:val="00052D60"/>
    <w:rsid w:val="0005306E"/>
    <w:rsid w:val="00054746"/>
    <w:rsid w:val="00054BE8"/>
    <w:rsid w:val="00056A49"/>
    <w:rsid w:val="00057E4E"/>
    <w:rsid w:val="00061B8F"/>
    <w:rsid w:val="00061C91"/>
    <w:rsid w:val="0006660F"/>
    <w:rsid w:val="00066C0D"/>
    <w:rsid w:val="000711DC"/>
    <w:rsid w:val="00071EE4"/>
    <w:rsid w:val="000734F6"/>
    <w:rsid w:val="000739A5"/>
    <w:rsid w:val="00074CD1"/>
    <w:rsid w:val="00074E17"/>
    <w:rsid w:val="0007646D"/>
    <w:rsid w:val="00076A0E"/>
    <w:rsid w:val="000774C7"/>
    <w:rsid w:val="00080C7B"/>
    <w:rsid w:val="00081357"/>
    <w:rsid w:val="00081BFE"/>
    <w:rsid w:val="00082590"/>
    <w:rsid w:val="00083D10"/>
    <w:rsid w:val="000920A6"/>
    <w:rsid w:val="00093AE7"/>
    <w:rsid w:val="00093B77"/>
    <w:rsid w:val="0009640F"/>
    <w:rsid w:val="00097D60"/>
    <w:rsid w:val="000A1F74"/>
    <w:rsid w:val="000A27D4"/>
    <w:rsid w:val="000A358E"/>
    <w:rsid w:val="000A46B4"/>
    <w:rsid w:val="000A6CB0"/>
    <w:rsid w:val="000A7637"/>
    <w:rsid w:val="000A78D3"/>
    <w:rsid w:val="000B336B"/>
    <w:rsid w:val="000B35D1"/>
    <w:rsid w:val="000B5C72"/>
    <w:rsid w:val="000B6CBA"/>
    <w:rsid w:val="000C0838"/>
    <w:rsid w:val="000C1108"/>
    <w:rsid w:val="000C1C05"/>
    <w:rsid w:val="000C2A54"/>
    <w:rsid w:val="000C39C7"/>
    <w:rsid w:val="000C4243"/>
    <w:rsid w:val="000C5808"/>
    <w:rsid w:val="000C7BC2"/>
    <w:rsid w:val="000D023D"/>
    <w:rsid w:val="000D6997"/>
    <w:rsid w:val="000E0723"/>
    <w:rsid w:val="000E0CED"/>
    <w:rsid w:val="000E125A"/>
    <w:rsid w:val="000E233B"/>
    <w:rsid w:val="000E41C8"/>
    <w:rsid w:val="000E41DC"/>
    <w:rsid w:val="000E7DBB"/>
    <w:rsid w:val="000F0131"/>
    <w:rsid w:val="000F1803"/>
    <w:rsid w:val="000F1B8E"/>
    <w:rsid w:val="000F210C"/>
    <w:rsid w:val="000F2A6E"/>
    <w:rsid w:val="000F35D0"/>
    <w:rsid w:val="000F3770"/>
    <w:rsid w:val="000F4D70"/>
    <w:rsid w:val="000F5794"/>
    <w:rsid w:val="000F72AE"/>
    <w:rsid w:val="00101D28"/>
    <w:rsid w:val="00102933"/>
    <w:rsid w:val="00102FB8"/>
    <w:rsid w:val="00103668"/>
    <w:rsid w:val="00103B15"/>
    <w:rsid w:val="001046D7"/>
    <w:rsid w:val="00105C22"/>
    <w:rsid w:val="001065F4"/>
    <w:rsid w:val="0011005C"/>
    <w:rsid w:val="00112607"/>
    <w:rsid w:val="00113CA0"/>
    <w:rsid w:val="001149C3"/>
    <w:rsid w:val="00114BE9"/>
    <w:rsid w:val="00114DE9"/>
    <w:rsid w:val="00114EE2"/>
    <w:rsid w:val="001164E1"/>
    <w:rsid w:val="0011758A"/>
    <w:rsid w:val="00117CBA"/>
    <w:rsid w:val="00122146"/>
    <w:rsid w:val="00122C68"/>
    <w:rsid w:val="00123A69"/>
    <w:rsid w:val="0012502D"/>
    <w:rsid w:val="0012717A"/>
    <w:rsid w:val="001277B1"/>
    <w:rsid w:val="001302BA"/>
    <w:rsid w:val="00131F39"/>
    <w:rsid w:val="00131FC0"/>
    <w:rsid w:val="0013326A"/>
    <w:rsid w:val="0013360D"/>
    <w:rsid w:val="00133A50"/>
    <w:rsid w:val="00133E08"/>
    <w:rsid w:val="001345D6"/>
    <w:rsid w:val="001356BC"/>
    <w:rsid w:val="0013739C"/>
    <w:rsid w:val="00137BD4"/>
    <w:rsid w:val="00140082"/>
    <w:rsid w:val="00140996"/>
    <w:rsid w:val="00141780"/>
    <w:rsid w:val="001417A5"/>
    <w:rsid w:val="0014239E"/>
    <w:rsid w:val="00143DBF"/>
    <w:rsid w:val="00145387"/>
    <w:rsid w:val="00145B90"/>
    <w:rsid w:val="0015196D"/>
    <w:rsid w:val="001519A4"/>
    <w:rsid w:val="001524E2"/>
    <w:rsid w:val="00152D3A"/>
    <w:rsid w:val="001552D9"/>
    <w:rsid w:val="00163488"/>
    <w:rsid w:val="00163EF0"/>
    <w:rsid w:val="00164390"/>
    <w:rsid w:val="001647CF"/>
    <w:rsid w:val="00167F9C"/>
    <w:rsid w:val="00172592"/>
    <w:rsid w:val="00174C52"/>
    <w:rsid w:val="0017555A"/>
    <w:rsid w:val="00175AEB"/>
    <w:rsid w:val="001767CC"/>
    <w:rsid w:val="0018008D"/>
    <w:rsid w:val="00181820"/>
    <w:rsid w:val="001829AF"/>
    <w:rsid w:val="00184122"/>
    <w:rsid w:val="00184422"/>
    <w:rsid w:val="001869E0"/>
    <w:rsid w:val="00186E78"/>
    <w:rsid w:val="00191964"/>
    <w:rsid w:val="00192D5D"/>
    <w:rsid w:val="00195B58"/>
    <w:rsid w:val="00196D33"/>
    <w:rsid w:val="001A0B0C"/>
    <w:rsid w:val="001A1153"/>
    <w:rsid w:val="001A1187"/>
    <w:rsid w:val="001A2A32"/>
    <w:rsid w:val="001A7928"/>
    <w:rsid w:val="001B2B15"/>
    <w:rsid w:val="001B30E7"/>
    <w:rsid w:val="001B5387"/>
    <w:rsid w:val="001B7E8D"/>
    <w:rsid w:val="001C1B4B"/>
    <w:rsid w:val="001C477B"/>
    <w:rsid w:val="001C55C7"/>
    <w:rsid w:val="001C631A"/>
    <w:rsid w:val="001C68C7"/>
    <w:rsid w:val="001D000E"/>
    <w:rsid w:val="001D0427"/>
    <w:rsid w:val="001D0C5A"/>
    <w:rsid w:val="001D4139"/>
    <w:rsid w:val="001D4E08"/>
    <w:rsid w:val="001D4F49"/>
    <w:rsid w:val="001D63E6"/>
    <w:rsid w:val="001D71F5"/>
    <w:rsid w:val="001D7CE5"/>
    <w:rsid w:val="001E127C"/>
    <w:rsid w:val="001E3E59"/>
    <w:rsid w:val="001E71C3"/>
    <w:rsid w:val="001E76B7"/>
    <w:rsid w:val="001F026D"/>
    <w:rsid w:val="001F22B4"/>
    <w:rsid w:val="001F4B56"/>
    <w:rsid w:val="001F4D47"/>
    <w:rsid w:val="001F4F1D"/>
    <w:rsid w:val="001F5478"/>
    <w:rsid w:val="001F5E31"/>
    <w:rsid w:val="001F6FA8"/>
    <w:rsid w:val="001F6FF1"/>
    <w:rsid w:val="002004F2"/>
    <w:rsid w:val="00200A2C"/>
    <w:rsid w:val="002011E2"/>
    <w:rsid w:val="002052E4"/>
    <w:rsid w:val="00205B60"/>
    <w:rsid w:val="00207467"/>
    <w:rsid w:val="002074E9"/>
    <w:rsid w:val="00207CB5"/>
    <w:rsid w:val="00210D54"/>
    <w:rsid w:val="00210ED2"/>
    <w:rsid w:val="00211A76"/>
    <w:rsid w:val="00212081"/>
    <w:rsid w:val="0021349B"/>
    <w:rsid w:val="00213C78"/>
    <w:rsid w:val="0021433F"/>
    <w:rsid w:val="00214F38"/>
    <w:rsid w:val="002164EC"/>
    <w:rsid w:val="00223824"/>
    <w:rsid w:val="00224944"/>
    <w:rsid w:val="00225C3D"/>
    <w:rsid w:val="002302EF"/>
    <w:rsid w:val="00230E8C"/>
    <w:rsid w:val="00230EA5"/>
    <w:rsid w:val="0023342E"/>
    <w:rsid w:val="002341E7"/>
    <w:rsid w:val="00234A09"/>
    <w:rsid w:val="0024048B"/>
    <w:rsid w:val="00240F16"/>
    <w:rsid w:val="00242473"/>
    <w:rsid w:val="00242BA3"/>
    <w:rsid w:val="00243996"/>
    <w:rsid w:val="0024458B"/>
    <w:rsid w:val="00247487"/>
    <w:rsid w:val="00252F80"/>
    <w:rsid w:val="00253CB3"/>
    <w:rsid w:val="00257518"/>
    <w:rsid w:val="00257AD4"/>
    <w:rsid w:val="00257BFA"/>
    <w:rsid w:val="0026011E"/>
    <w:rsid w:val="00260FE4"/>
    <w:rsid w:val="0026154C"/>
    <w:rsid w:val="002661BA"/>
    <w:rsid w:val="00266298"/>
    <w:rsid w:val="0026663C"/>
    <w:rsid w:val="00267446"/>
    <w:rsid w:val="00272045"/>
    <w:rsid w:val="00274848"/>
    <w:rsid w:val="0027558F"/>
    <w:rsid w:val="00276893"/>
    <w:rsid w:val="00276970"/>
    <w:rsid w:val="00280939"/>
    <w:rsid w:val="00281C60"/>
    <w:rsid w:val="00281E6A"/>
    <w:rsid w:val="0028735F"/>
    <w:rsid w:val="00287536"/>
    <w:rsid w:val="00287734"/>
    <w:rsid w:val="00291076"/>
    <w:rsid w:val="00291231"/>
    <w:rsid w:val="0029292A"/>
    <w:rsid w:val="0029304A"/>
    <w:rsid w:val="0029597F"/>
    <w:rsid w:val="002959A3"/>
    <w:rsid w:val="00297A8D"/>
    <w:rsid w:val="002A3C77"/>
    <w:rsid w:val="002A4133"/>
    <w:rsid w:val="002A4974"/>
    <w:rsid w:val="002A5114"/>
    <w:rsid w:val="002A6211"/>
    <w:rsid w:val="002A7DD9"/>
    <w:rsid w:val="002B0BA9"/>
    <w:rsid w:val="002B0CF0"/>
    <w:rsid w:val="002B312D"/>
    <w:rsid w:val="002B50A6"/>
    <w:rsid w:val="002B6292"/>
    <w:rsid w:val="002B658A"/>
    <w:rsid w:val="002B7F3C"/>
    <w:rsid w:val="002C4B3B"/>
    <w:rsid w:val="002C5A81"/>
    <w:rsid w:val="002C5F1F"/>
    <w:rsid w:val="002D1353"/>
    <w:rsid w:val="002D1965"/>
    <w:rsid w:val="002D2776"/>
    <w:rsid w:val="002D27EF"/>
    <w:rsid w:val="002D7B98"/>
    <w:rsid w:val="002E2B34"/>
    <w:rsid w:val="002E34B0"/>
    <w:rsid w:val="002E77FB"/>
    <w:rsid w:val="002F2544"/>
    <w:rsid w:val="002F3D83"/>
    <w:rsid w:val="002F4AE5"/>
    <w:rsid w:val="002F5DF0"/>
    <w:rsid w:val="002F6959"/>
    <w:rsid w:val="002F747B"/>
    <w:rsid w:val="00304298"/>
    <w:rsid w:val="00305A5C"/>
    <w:rsid w:val="00307EBD"/>
    <w:rsid w:val="003105B1"/>
    <w:rsid w:val="00312120"/>
    <w:rsid w:val="00312B25"/>
    <w:rsid w:val="00312FB4"/>
    <w:rsid w:val="0031373F"/>
    <w:rsid w:val="003143EA"/>
    <w:rsid w:val="00316988"/>
    <w:rsid w:val="003178C2"/>
    <w:rsid w:val="0031796B"/>
    <w:rsid w:val="00317C13"/>
    <w:rsid w:val="003207F5"/>
    <w:rsid w:val="00322B77"/>
    <w:rsid w:val="00324223"/>
    <w:rsid w:val="00324EAD"/>
    <w:rsid w:val="00325F41"/>
    <w:rsid w:val="00326007"/>
    <w:rsid w:val="00326E9B"/>
    <w:rsid w:val="003277EA"/>
    <w:rsid w:val="0033206D"/>
    <w:rsid w:val="003331AE"/>
    <w:rsid w:val="003341C4"/>
    <w:rsid w:val="00336BD1"/>
    <w:rsid w:val="0034154C"/>
    <w:rsid w:val="0034248C"/>
    <w:rsid w:val="0034288D"/>
    <w:rsid w:val="00342FBA"/>
    <w:rsid w:val="00343F45"/>
    <w:rsid w:val="00344039"/>
    <w:rsid w:val="00344B3B"/>
    <w:rsid w:val="0034693D"/>
    <w:rsid w:val="00347E54"/>
    <w:rsid w:val="00350E2D"/>
    <w:rsid w:val="0035141F"/>
    <w:rsid w:val="00353338"/>
    <w:rsid w:val="00354515"/>
    <w:rsid w:val="0035567D"/>
    <w:rsid w:val="0035600E"/>
    <w:rsid w:val="00357551"/>
    <w:rsid w:val="00357AFA"/>
    <w:rsid w:val="00360DF0"/>
    <w:rsid w:val="00360DF8"/>
    <w:rsid w:val="00360F35"/>
    <w:rsid w:val="00361C41"/>
    <w:rsid w:val="00363DAE"/>
    <w:rsid w:val="00364650"/>
    <w:rsid w:val="00366438"/>
    <w:rsid w:val="003671C3"/>
    <w:rsid w:val="003672C5"/>
    <w:rsid w:val="003714A8"/>
    <w:rsid w:val="00372A2C"/>
    <w:rsid w:val="00381FB5"/>
    <w:rsid w:val="0038349E"/>
    <w:rsid w:val="00383E5F"/>
    <w:rsid w:val="003852E0"/>
    <w:rsid w:val="003865E1"/>
    <w:rsid w:val="00391D2F"/>
    <w:rsid w:val="00392E24"/>
    <w:rsid w:val="0039494A"/>
    <w:rsid w:val="00394F68"/>
    <w:rsid w:val="003A0385"/>
    <w:rsid w:val="003A0C87"/>
    <w:rsid w:val="003A173B"/>
    <w:rsid w:val="003B0CE7"/>
    <w:rsid w:val="003B1965"/>
    <w:rsid w:val="003B60AE"/>
    <w:rsid w:val="003B65F9"/>
    <w:rsid w:val="003B693C"/>
    <w:rsid w:val="003B7ACC"/>
    <w:rsid w:val="003C2E8D"/>
    <w:rsid w:val="003C4045"/>
    <w:rsid w:val="003C6BF7"/>
    <w:rsid w:val="003C6D63"/>
    <w:rsid w:val="003C6FEC"/>
    <w:rsid w:val="003C7F85"/>
    <w:rsid w:val="003D3046"/>
    <w:rsid w:val="003D34FF"/>
    <w:rsid w:val="003D4196"/>
    <w:rsid w:val="003D4277"/>
    <w:rsid w:val="003D42FA"/>
    <w:rsid w:val="003D46C9"/>
    <w:rsid w:val="003D582B"/>
    <w:rsid w:val="003D5BDE"/>
    <w:rsid w:val="003D6E51"/>
    <w:rsid w:val="003D7B72"/>
    <w:rsid w:val="003E339A"/>
    <w:rsid w:val="003F18B2"/>
    <w:rsid w:val="003F402C"/>
    <w:rsid w:val="003F4E1A"/>
    <w:rsid w:val="003F5314"/>
    <w:rsid w:val="003F597D"/>
    <w:rsid w:val="003F6016"/>
    <w:rsid w:val="00400208"/>
    <w:rsid w:val="00401BC6"/>
    <w:rsid w:val="00401C82"/>
    <w:rsid w:val="00402C3F"/>
    <w:rsid w:val="004035A4"/>
    <w:rsid w:val="004049BF"/>
    <w:rsid w:val="00404C65"/>
    <w:rsid w:val="00405081"/>
    <w:rsid w:val="0040627E"/>
    <w:rsid w:val="0040650A"/>
    <w:rsid w:val="004110BC"/>
    <w:rsid w:val="004116C8"/>
    <w:rsid w:val="0041209C"/>
    <w:rsid w:val="00412D51"/>
    <w:rsid w:val="00414BAF"/>
    <w:rsid w:val="00415920"/>
    <w:rsid w:val="004175C7"/>
    <w:rsid w:val="00420BD3"/>
    <w:rsid w:val="00420CB4"/>
    <w:rsid w:val="00422047"/>
    <w:rsid w:val="0042297D"/>
    <w:rsid w:val="00422E59"/>
    <w:rsid w:val="00425403"/>
    <w:rsid w:val="004256DC"/>
    <w:rsid w:val="00425C0A"/>
    <w:rsid w:val="0042654C"/>
    <w:rsid w:val="00427BC1"/>
    <w:rsid w:val="00430DBA"/>
    <w:rsid w:val="00431384"/>
    <w:rsid w:val="00434114"/>
    <w:rsid w:val="004343D2"/>
    <w:rsid w:val="00435550"/>
    <w:rsid w:val="00435F3D"/>
    <w:rsid w:val="00442A7E"/>
    <w:rsid w:val="0044325F"/>
    <w:rsid w:val="00443C3D"/>
    <w:rsid w:val="00443E01"/>
    <w:rsid w:val="00445EC7"/>
    <w:rsid w:val="004462D4"/>
    <w:rsid w:val="004469E8"/>
    <w:rsid w:val="00446F80"/>
    <w:rsid w:val="004502F0"/>
    <w:rsid w:val="004511AB"/>
    <w:rsid w:val="00453162"/>
    <w:rsid w:val="00453A6F"/>
    <w:rsid w:val="00454240"/>
    <w:rsid w:val="00455168"/>
    <w:rsid w:val="004551D2"/>
    <w:rsid w:val="004561E8"/>
    <w:rsid w:val="0045703B"/>
    <w:rsid w:val="004572AA"/>
    <w:rsid w:val="00462D73"/>
    <w:rsid w:val="00463ED5"/>
    <w:rsid w:val="004643F3"/>
    <w:rsid w:val="004657A3"/>
    <w:rsid w:val="00466613"/>
    <w:rsid w:val="0046743D"/>
    <w:rsid w:val="00470287"/>
    <w:rsid w:val="00470C4B"/>
    <w:rsid w:val="00471817"/>
    <w:rsid w:val="00472900"/>
    <w:rsid w:val="00473222"/>
    <w:rsid w:val="00473874"/>
    <w:rsid w:val="00474538"/>
    <w:rsid w:val="00481872"/>
    <w:rsid w:val="00483063"/>
    <w:rsid w:val="0048366F"/>
    <w:rsid w:val="0048512B"/>
    <w:rsid w:val="00486DAA"/>
    <w:rsid w:val="0049202F"/>
    <w:rsid w:val="00492679"/>
    <w:rsid w:val="00493776"/>
    <w:rsid w:val="00494EE3"/>
    <w:rsid w:val="00497165"/>
    <w:rsid w:val="004978FF"/>
    <w:rsid w:val="004A05A0"/>
    <w:rsid w:val="004A30FE"/>
    <w:rsid w:val="004A3605"/>
    <w:rsid w:val="004A3A68"/>
    <w:rsid w:val="004A68D5"/>
    <w:rsid w:val="004B138D"/>
    <w:rsid w:val="004B28FF"/>
    <w:rsid w:val="004B5564"/>
    <w:rsid w:val="004B5B89"/>
    <w:rsid w:val="004B6C58"/>
    <w:rsid w:val="004B7FB0"/>
    <w:rsid w:val="004C0382"/>
    <w:rsid w:val="004C261F"/>
    <w:rsid w:val="004C26C4"/>
    <w:rsid w:val="004C282E"/>
    <w:rsid w:val="004C2DF2"/>
    <w:rsid w:val="004C4AA2"/>
    <w:rsid w:val="004C5BC2"/>
    <w:rsid w:val="004C60DD"/>
    <w:rsid w:val="004C61A4"/>
    <w:rsid w:val="004C6C06"/>
    <w:rsid w:val="004C795F"/>
    <w:rsid w:val="004D238C"/>
    <w:rsid w:val="004D50D9"/>
    <w:rsid w:val="004D7322"/>
    <w:rsid w:val="004E0999"/>
    <w:rsid w:val="004E0B87"/>
    <w:rsid w:val="004E1335"/>
    <w:rsid w:val="004E1D98"/>
    <w:rsid w:val="004E1E17"/>
    <w:rsid w:val="004E21F7"/>
    <w:rsid w:val="004E2B1A"/>
    <w:rsid w:val="004E3480"/>
    <w:rsid w:val="004E4BA7"/>
    <w:rsid w:val="004E52F1"/>
    <w:rsid w:val="004E631B"/>
    <w:rsid w:val="004E65F7"/>
    <w:rsid w:val="004E6E89"/>
    <w:rsid w:val="004F0C27"/>
    <w:rsid w:val="004F1497"/>
    <w:rsid w:val="004F3845"/>
    <w:rsid w:val="004F437A"/>
    <w:rsid w:val="004F496D"/>
    <w:rsid w:val="004F56E0"/>
    <w:rsid w:val="004F6321"/>
    <w:rsid w:val="0050247E"/>
    <w:rsid w:val="005025D1"/>
    <w:rsid w:val="005026B3"/>
    <w:rsid w:val="00504322"/>
    <w:rsid w:val="005060F4"/>
    <w:rsid w:val="00511A29"/>
    <w:rsid w:val="0051357F"/>
    <w:rsid w:val="005141DF"/>
    <w:rsid w:val="005172DB"/>
    <w:rsid w:val="00527B47"/>
    <w:rsid w:val="00527B9A"/>
    <w:rsid w:val="00527CC8"/>
    <w:rsid w:val="0053112B"/>
    <w:rsid w:val="00531850"/>
    <w:rsid w:val="00536A5D"/>
    <w:rsid w:val="00537EA0"/>
    <w:rsid w:val="00540249"/>
    <w:rsid w:val="005408E3"/>
    <w:rsid w:val="0054282F"/>
    <w:rsid w:val="00542949"/>
    <w:rsid w:val="00542E33"/>
    <w:rsid w:val="0054424D"/>
    <w:rsid w:val="00545ABE"/>
    <w:rsid w:val="00546B66"/>
    <w:rsid w:val="00547A86"/>
    <w:rsid w:val="0055197D"/>
    <w:rsid w:val="005528E7"/>
    <w:rsid w:val="00552F28"/>
    <w:rsid w:val="00553BCC"/>
    <w:rsid w:val="0055451E"/>
    <w:rsid w:val="00555072"/>
    <w:rsid w:val="005554A0"/>
    <w:rsid w:val="00557268"/>
    <w:rsid w:val="00563F11"/>
    <w:rsid w:val="00564A0E"/>
    <w:rsid w:val="0056691F"/>
    <w:rsid w:val="0056752B"/>
    <w:rsid w:val="0056763C"/>
    <w:rsid w:val="00572CAB"/>
    <w:rsid w:val="005749BE"/>
    <w:rsid w:val="00574C0F"/>
    <w:rsid w:val="00575F9A"/>
    <w:rsid w:val="00580064"/>
    <w:rsid w:val="00581E9E"/>
    <w:rsid w:val="0058252F"/>
    <w:rsid w:val="005854AC"/>
    <w:rsid w:val="005862BA"/>
    <w:rsid w:val="00592164"/>
    <w:rsid w:val="0059277F"/>
    <w:rsid w:val="005927BD"/>
    <w:rsid w:val="00593BB2"/>
    <w:rsid w:val="00594696"/>
    <w:rsid w:val="005946F6"/>
    <w:rsid w:val="00594C94"/>
    <w:rsid w:val="005963AE"/>
    <w:rsid w:val="005A03A0"/>
    <w:rsid w:val="005A1229"/>
    <w:rsid w:val="005A3AA3"/>
    <w:rsid w:val="005A48D2"/>
    <w:rsid w:val="005A6059"/>
    <w:rsid w:val="005A60BE"/>
    <w:rsid w:val="005A64F7"/>
    <w:rsid w:val="005B01E4"/>
    <w:rsid w:val="005B3EA6"/>
    <w:rsid w:val="005B4838"/>
    <w:rsid w:val="005B550A"/>
    <w:rsid w:val="005B774A"/>
    <w:rsid w:val="005C20C2"/>
    <w:rsid w:val="005C6AE4"/>
    <w:rsid w:val="005C6D96"/>
    <w:rsid w:val="005C73B5"/>
    <w:rsid w:val="005C75BA"/>
    <w:rsid w:val="005C764D"/>
    <w:rsid w:val="005C7B0F"/>
    <w:rsid w:val="005D284E"/>
    <w:rsid w:val="005D2E4E"/>
    <w:rsid w:val="005D4CDA"/>
    <w:rsid w:val="005D52DE"/>
    <w:rsid w:val="005D65F1"/>
    <w:rsid w:val="005D74D9"/>
    <w:rsid w:val="005E08CE"/>
    <w:rsid w:val="005E0A09"/>
    <w:rsid w:val="005E3149"/>
    <w:rsid w:val="005E4118"/>
    <w:rsid w:val="005E472C"/>
    <w:rsid w:val="005E75AB"/>
    <w:rsid w:val="005E7EFE"/>
    <w:rsid w:val="005F18C9"/>
    <w:rsid w:val="005F271A"/>
    <w:rsid w:val="005F2C1A"/>
    <w:rsid w:val="005F310F"/>
    <w:rsid w:val="005F43A9"/>
    <w:rsid w:val="005F5D61"/>
    <w:rsid w:val="005F6D3F"/>
    <w:rsid w:val="005F6EF6"/>
    <w:rsid w:val="005F7E98"/>
    <w:rsid w:val="0060124D"/>
    <w:rsid w:val="006033BB"/>
    <w:rsid w:val="0060392C"/>
    <w:rsid w:val="00604141"/>
    <w:rsid w:val="00610E1E"/>
    <w:rsid w:val="00612A49"/>
    <w:rsid w:val="0061373E"/>
    <w:rsid w:val="00613E27"/>
    <w:rsid w:val="00614A93"/>
    <w:rsid w:val="00616163"/>
    <w:rsid w:val="00617455"/>
    <w:rsid w:val="006177D6"/>
    <w:rsid w:val="006206B0"/>
    <w:rsid w:val="00620914"/>
    <w:rsid w:val="0062119F"/>
    <w:rsid w:val="00621789"/>
    <w:rsid w:val="00621F94"/>
    <w:rsid w:val="006237EC"/>
    <w:rsid w:val="006241AE"/>
    <w:rsid w:val="006271E2"/>
    <w:rsid w:val="00627B22"/>
    <w:rsid w:val="00627D1F"/>
    <w:rsid w:val="006306B4"/>
    <w:rsid w:val="006312FC"/>
    <w:rsid w:val="00632D47"/>
    <w:rsid w:val="0063387B"/>
    <w:rsid w:val="00635017"/>
    <w:rsid w:val="00635646"/>
    <w:rsid w:val="006365E7"/>
    <w:rsid w:val="00640385"/>
    <w:rsid w:val="00640E6C"/>
    <w:rsid w:val="00641985"/>
    <w:rsid w:val="00641BC0"/>
    <w:rsid w:val="00643145"/>
    <w:rsid w:val="0064315E"/>
    <w:rsid w:val="0064495F"/>
    <w:rsid w:val="00644E2E"/>
    <w:rsid w:val="00645B0D"/>
    <w:rsid w:val="00645FEC"/>
    <w:rsid w:val="00646E05"/>
    <w:rsid w:val="00653628"/>
    <w:rsid w:val="00653759"/>
    <w:rsid w:val="00654010"/>
    <w:rsid w:val="00654E0F"/>
    <w:rsid w:val="00655246"/>
    <w:rsid w:val="00655651"/>
    <w:rsid w:val="00657F01"/>
    <w:rsid w:val="006604C7"/>
    <w:rsid w:val="00661DA0"/>
    <w:rsid w:val="00663073"/>
    <w:rsid w:val="0066506E"/>
    <w:rsid w:val="00666144"/>
    <w:rsid w:val="0066664F"/>
    <w:rsid w:val="00666D38"/>
    <w:rsid w:val="006671C6"/>
    <w:rsid w:val="0067012B"/>
    <w:rsid w:val="0067331E"/>
    <w:rsid w:val="00674995"/>
    <w:rsid w:val="0067614A"/>
    <w:rsid w:val="00676186"/>
    <w:rsid w:val="00677D47"/>
    <w:rsid w:val="00680D85"/>
    <w:rsid w:val="006814A8"/>
    <w:rsid w:val="0068197A"/>
    <w:rsid w:val="006831F8"/>
    <w:rsid w:val="006873D8"/>
    <w:rsid w:val="006905E2"/>
    <w:rsid w:val="00690BE7"/>
    <w:rsid w:val="006930CD"/>
    <w:rsid w:val="00693448"/>
    <w:rsid w:val="006944D8"/>
    <w:rsid w:val="00696093"/>
    <w:rsid w:val="00696B97"/>
    <w:rsid w:val="00696ED8"/>
    <w:rsid w:val="006979AE"/>
    <w:rsid w:val="006A13C2"/>
    <w:rsid w:val="006A3303"/>
    <w:rsid w:val="006A3851"/>
    <w:rsid w:val="006A3D03"/>
    <w:rsid w:val="006A4FE4"/>
    <w:rsid w:val="006A64AC"/>
    <w:rsid w:val="006A65A8"/>
    <w:rsid w:val="006A7973"/>
    <w:rsid w:val="006B00D0"/>
    <w:rsid w:val="006B0234"/>
    <w:rsid w:val="006B0AC0"/>
    <w:rsid w:val="006B0AFB"/>
    <w:rsid w:val="006B1907"/>
    <w:rsid w:val="006B24F2"/>
    <w:rsid w:val="006B2C9D"/>
    <w:rsid w:val="006B3962"/>
    <w:rsid w:val="006B3AE4"/>
    <w:rsid w:val="006B50E9"/>
    <w:rsid w:val="006B737F"/>
    <w:rsid w:val="006B74AB"/>
    <w:rsid w:val="006C1069"/>
    <w:rsid w:val="006D0F11"/>
    <w:rsid w:val="006D4570"/>
    <w:rsid w:val="006D6F74"/>
    <w:rsid w:val="006D73C1"/>
    <w:rsid w:val="006E20FB"/>
    <w:rsid w:val="006E4AAE"/>
    <w:rsid w:val="006F07FB"/>
    <w:rsid w:val="006F0AA4"/>
    <w:rsid w:val="006F2D8D"/>
    <w:rsid w:val="006F3AC6"/>
    <w:rsid w:val="006F435D"/>
    <w:rsid w:val="007003D2"/>
    <w:rsid w:val="00701459"/>
    <w:rsid w:val="00703495"/>
    <w:rsid w:val="007052A8"/>
    <w:rsid w:val="007057F6"/>
    <w:rsid w:val="00705E8F"/>
    <w:rsid w:val="007070D7"/>
    <w:rsid w:val="00710CD2"/>
    <w:rsid w:val="00711240"/>
    <w:rsid w:val="007117D1"/>
    <w:rsid w:val="0071280D"/>
    <w:rsid w:val="00712B0F"/>
    <w:rsid w:val="00714856"/>
    <w:rsid w:val="007150F2"/>
    <w:rsid w:val="007163FA"/>
    <w:rsid w:val="007174A4"/>
    <w:rsid w:val="00720368"/>
    <w:rsid w:val="00724136"/>
    <w:rsid w:val="0072430D"/>
    <w:rsid w:val="007253A4"/>
    <w:rsid w:val="0072765A"/>
    <w:rsid w:val="007309C8"/>
    <w:rsid w:val="00730D9E"/>
    <w:rsid w:val="00732929"/>
    <w:rsid w:val="00732E40"/>
    <w:rsid w:val="00734BDD"/>
    <w:rsid w:val="00734CA1"/>
    <w:rsid w:val="00734D56"/>
    <w:rsid w:val="007356DB"/>
    <w:rsid w:val="00735913"/>
    <w:rsid w:val="007359BB"/>
    <w:rsid w:val="007365EA"/>
    <w:rsid w:val="00737807"/>
    <w:rsid w:val="00740A8F"/>
    <w:rsid w:val="00741430"/>
    <w:rsid w:val="0074143D"/>
    <w:rsid w:val="00742487"/>
    <w:rsid w:val="00746E12"/>
    <w:rsid w:val="0074796A"/>
    <w:rsid w:val="00750831"/>
    <w:rsid w:val="00751605"/>
    <w:rsid w:val="00751F2C"/>
    <w:rsid w:val="00752A66"/>
    <w:rsid w:val="0075597A"/>
    <w:rsid w:val="0076080B"/>
    <w:rsid w:val="00760E04"/>
    <w:rsid w:val="00762B98"/>
    <w:rsid w:val="00762E92"/>
    <w:rsid w:val="00765C02"/>
    <w:rsid w:val="00765E5B"/>
    <w:rsid w:val="007667AB"/>
    <w:rsid w:val="0076733F"/>
    <w:rsid w:val="00767B5B"/>
    <w:rsid w:val="00767D78"/>
    <w:rsid w:val="00770F5B"/>
    <w:rsid w:val="00772AE3"/>
    <w:rsid w:val="00772DCF"/>
    <w:rsid w:val="00773E53"/>
    <w:rsid w:val="00775FB8"/>
    <w:rsid w:val="00780CC9"/>
    <w:rsid w:val="00783BAF"/>
    <w:rsid w:val="00783DF8"/>
    <w:rsid w:val="0078716D"/>
    <w:rsid w:val="0078743D"/>
    <w:rsid w:val="00792833"/>
    <w:rsid w:val="00793938"/>
    <w:rsid w:val="00794224"/>
    <w:rsid w:val="00794368"/>
    <w:rsid w:val="007A0A94"/>
    <w:rsid w:val="007A0FAE"/>
    <w:rsid w:val="007A10D9"/>
    <w:rsid w:val="007A23F6"/>
    <w:rsid w:val="007A5715"/>
    <w:rsid w:val="007A57CB"/>
    <w:rsid w:val="007A599D"/>
    <w:rsid w:val="007B0EBE"/>
    <w:rsid w:val="007B2FBF"/>
    <w:rsid w:val="007B37CC"/>
    <w:rsid w:val="007B3999"/>
    <w:rsid w:val="007B440C"/>
    <w:rsid w:val="007B6553"/>
    <w:rsid w:val="007B657E"/>
    <w:rsid w:val="007C02F9"/>
    <w:rsid w:val="007C10F3"/>
    <w:rsid w:val="007C1A3C"/>
    <w:rsid w:val="007C314F"/>
    <w:rsid w:val="007C44A3"/>
    <w:rsid w:val="007D0E0D"/>
    <w:rsid w:val="007D1625"/>
    <w:rsid w:val="007D17BF"/>
    <w:rsid w:val="007D18C8"/>
    <w:rsid w:val="007D26AE"/>
    <w:rsid w:val="007D34D1"/>
    <w:rsid w:val="007D3F77"/>
    <w:rsid w:val="007D48FF"/>
    <w:rsid w:val="007D49FD"/>
    <w:rsid w:val="007D5AA9"/>
    <w:rsid w:val="007D7961"/>
    <w:rsid w:val="007E0B6D"/>
    <w:rsid w:val="007E6831"/>
    <w:rsid w:val="007E703C"/>
    <w:rsid w:val="007E7D0E"/>
    <w:rsid w:val="007F0912"/>
    <w:rsid w:val="007F13BF"/>
    <w:rsid w:val="007F4596"/>
    <w:rsid w:val="007F4678"/>
    <w:rsid w:val="007F4911"/>
    <w:rsid w:val="007F6E26"/>
    <w:rsid w:val="007F72BC"/>
    <w:rsid w:val="008042EE"/>
    <w:rsid w:val="00804A1A"/>
    <w:rsid w:val="00804C80"/>
    <w:rsid w:val="008062F5"/>
    <w:rsid w:val="0080675F"/>
    <w:rsid w:val="00807CA2"/>
    <w:rsid w:val="0081110A"/>
    <w:rsid w:val="00811DB4"/>
    <w:rsid w:val="008127C6"/>
    <w:rsid w:val="0081301D"/>
    <w:rsid w:val="00815F8C"/>
    <w:rsid w:val="00816182"/>
    <w:rsid w:val="00816D74"/>
    <w:rsid w:val="00817370"/>
    <w:rsid w:val="00820218"/>
    <w:rsid w:val="00820B80"/>
    <w:rsid w:val="00821E23"/>
    <w:rsid w:val="00822861"/>
    <w:rsid w:val="00823C78"/>
    <w:rsid w:val="0082589D"/>
    <w:rsid w:val="00825C76"/>
    <w:rsid w:val="008264B3"/>
    <w:rsid w:val="00826EF0"/>
    <w:rsid w:val="0082700B"/>
    <w:rsid w:val="00830BFC"/>
    <w:rsid w:val="0083280B"/>
    <w:rsid w:val="008347EE"/>
    <w:rsid w:val="008369DC"/>
    <w:rsid w:val="00841405"/>
    <w:rsid w:val="0084143F"/>
    <w:rsid w:val="00841461"/>
    <w:rsid w:val="0084218B"/>
    <w:rsid w:val="00842489"/>
    <w:rsid w:val="00842B09"/>
    <w:rsid w:val="008445B6"/>
    <w:rsid w:val="00844A11"/>
    <w:rsid w:val="00845565"/>
    <w:rsid w:val="00846B8A"/>
    <w:rsid w:val="0085294E"/>
    <w:rsid w:val="00856421"/>
    <w:rsid w:val="00857E8A"/>
    <w:rsid w:val="008606DC"/>
    <w:rsid w:val="008607B8"/>
    <w:rsid w:val="00863FA8"/>
    <w:rsid w:val="00866956"/>
    <w:rsid w:val="008671BE"/>
    <w:rsid w:val="00877D17"/>
    <w:rsid w:val="008811C8"/>
    <w:rsid w:val="0088157F"/>
    <w:rsid w:val="00887484"/>
    <w:rsid w:val="00890620"/>
    <w:rsid w:val="00891282"/>
    <w:rsid w:val="00893F7B"/>
    <w:rsid w:val="00896C97"/>
    <w:rsid w:val="008A0AE6"/>
    <w:rsid w:val="008A0CD4"/>
    <w:rsid w:val="008A1514"/>
    <w:rsid w:val="008A1D0D"/>
    <w:rsid w:val="008A4C5C"/>
    <w:rsid w:val="008A6813"/>
    <w:rsid w:val="008A7BFC"/>
    <w:rsid w:val="008B02DD"/>
    <w:rsid w:val="008B1A3D"/>
    <w:rsid w:val="008B2243"/>
    <w:rsid w:val="008B282C"/>
    <w:rsid w:val="008B29FC"/>
    <w:rsid w:val="008B347D"/>
    <w:rsid w:val="008B376B"/>
    <w:rsid w:val="008B3CBE"/>
    <w:rsid w:val="008B5C7D"/>
    <w:rsid w:val="008B697B"/>
    <w:rsid w:val="008B7FB3"/>
    <w:rsid w:val="008C0A3C"/>
    <w:rsid w:val="008C2C51"/>
    <w:rsid w:val="008C48C6"/>
    <w:rsid w:val="008C5345"/>
    <w:rsid w:val="008C59A3"/>
    <w:rsid w:val="008C5AFB"/>
    <w:rsid w:val="008C6B69"/>
    <w:rsid w:val="008C711C"/>
    <w:rsid w:val="008D00EF"/>
    <w:rsid w:val="008D0334"/>
    <w:rsid w:val="008D0740"/>
    <w:rsid w:val="008D26A0"/>
    <w:rsid w:val="008D3D1D"/>
    <w:rsid w:val="008D48E6"/>
    <w:rsid w:val="008D7D97"/>
    <w:rsid w:val="008E29BE"/>
    <w:rsid w:val="008E3B06"/>
    <w:rsid w:val="008E5FB3"/>
    <w:rsid w:val="008E75D2"/>
    <w:rsid w:val="008F1148"/>
    <w:rsid w:val="008F15F1"/>
    <w:rsid w:val="008F1D0D"/>
    <w:rsid w:val="008F260A"/>
    <w:rsid w:val="008F3075"/>
    <w:rsid w:val="008F3C57"/>
    <w:rsid w:val="008F56B4"/>
    <w:rsid w:val="008F5F37"/>
    <w:rsid w:val="008F667F"/>
    <w:rsid w:val="008F76EB"/>
    <w:rsid w:val="008F7737"/>
    <w:rsid w:val="00900332"/>
    <w:rsid w:val="00900388"/>
    <w:rsid w:val="00902EDE"/>
    <w:rsid w:val="0090366C"/>
    <w:rsid w:val="0090491D"/>
    <w:rsid w:val="00905089"/>
    <w:rsid w:val="00905544"/>
    <w:rsid w:val="00906D6C"/>
    <w:rsid w:val="00912008"/>
    <w:rsid w:val="00912BF6"/>
    <w:rsid w:val="009138BE"/>
    <w:rsid w:val="00915F66"/>
    <w:rsid w:val="00916080"/>
    <w:rsid w:val="00920E55"/>
    <w:rsid w:val="0092315C"/>
    <w:rsid w:val="00927F5C"/>
    <w:rsid w:val="009329D6"/>
    <w:rsid w:val="009334EA"/>
    <w:rsid w:val="0093523C"/>
    <w:rsid w:val="0093649F"/>
    <w:rsid w:val="00937032"/>
    <w:rsid w:val="00937AA7"/>
    <w:rsid w:val="00941645"/>
    <w:rsid w:val="00941F1F"/>
    <w:rsid w:val="00942ED2"/>
    <w:rsid w:val="009431F0"/>
    <w:rsid w:val="009443F8"/>
    <w:rsid w:val="00944D7F"/>
    <w:rsid w:val="00945537"/>
    <w:rsid w:val="00945D3B"/>
    <w:rsid w:val="00946CCC"/>
    <w:rsid w:val="00947EA4"/>
    <w:rsid w:val="00950DCB"/>
    <w:rsid w:val="00951B77"/>
    <w:rsid w:val="009559B1"/>
    <w:rsid w:val="00955CDE"/>
    <w:rsid w:val="00956DD3"/>
    <w:rsid w:val="00957D07"/>
    <w:rsid w:val="009605F1"/>
    <w:rsid w:val="00961657"/>
    <w:rsid w:val="00962A92"/>
    <w:rsid w:val="009632C8"/>
    <w:rsid w:val="00963493"/>
    <w:rsid w:val="00963682"/>
    <w:rsid w:val="0096402B"/>
    <w:rsid w:val="0096531F"/>
    <w:rsid w:val="009671DB"/>
    <w:rsid w:val="00972C0F"/>
    <w:rsid w:val="009733AF"/>
    <w:rsid w:val="009740A6"/>
    <w:rsid w:val="009753B8"/>
    <w:rsid w:val="009769CB"/>
    <w:rsid w:val="0098057C"/>
    <w:rsid w:val="00982C42"/>
    <w:rsid w:val="00983C8F"/>
    <w:rsid w:val="0098419B"/>
    <w:rsid w:val="009845D2"/>
    <w:rsid w:val="00984DAF"/>
    <w:rsid w:val="00984FB4"/>
    <w:rsid w:val="0099052E"/>
    <w:rsid w:val="0099074B"/>
    <w:rsid w:val="009907F9"/>
    <w:rsid w:val="00991085"/>
    <w:rsid w:val="00991CDA"/>
    <w:rsid w:val="00992203"/>
    <w:rsid w:val="009922FF"/>
    <w:rsid w:val="00992B0A"/>
    <w:rsid w:val="00995DEE"/>
    <w:rsid w:val="009962D7"/>
    <w:rsid w:val="009A13E3"/>
    <w:rsid w:val="009A2333"/>
    <w:rsid w:val="009A2B7C"/>
    <w:rsid w:val="009A361F"/>
    <w:rsid w:val="009A45BB"/>
    <w:rsid w:val="009A480D"/>
    <w:rsid w:val="009A50B3"/>
    <w:rsid w:val="009A5F06"/>
    <w:rsid w:val="009B009C"/>
    <w:rsid w:val="009B0F07"/>
    <w:rsid w:val="009B1109"/>
    <w:rsid w:val="009B11BA"/>
    <w:rsid w:val="009B1406"/>
    <w:rsid w:val="009B2126"/>
    <w:rsid w:val="009B40A1"/>
    <w:rsid w:val="009B6247"/>
    <w:rsid w:val="009B697D"/>
    <w:rsid w:val="009C21D0"/>
    <w:rsid w:val="009C2658"/>
    <w:rsid w:val="009C28CC"/>
    <w:rsid w:val="009C2E25"/>
    <w:rsid w:val="009C2E84"/>
    <w:rsid w:val="009C374D"/>
    <w:rsid w:val="009C725E"/>
    <w:rsid w:val="009D1217"/>
    <w:rsid w:val="009D2F20"/>
    <w:rsid w:val="009D3CFC"/>
    <w:rsid w:val="009D3FEF"/>
    <w:rsid w:val="009D3FF7"/>
    <w:rsid w:val="009D5760"/>
    <w:rsid w:val="009D5B08"/>
    <w:rsid w:val="009D5E11"/>
    <w:rsid w:val="009D5F63"/>
    <w:rsid w:val="009D6013"/>
    <w:rsid w:val="009D6375"/>
    <w:rsid w:val="009D6AC2"/>
    <w:rsid w:val="009E17A0"/>
    <w:rsid w:val="009E236A"/>
    <w:rsid w:val="009E2E14"/>
    <w:rsid w:val="009F060D"/>
    <w:rsid w:val="009F066F"/>
    <w:rsid w:val="009F1566"/>
    <w:rsid w:val="009F1729"/>
    <w:rsid w:val="009F1C9E"/>
    <w:rsid w:val="009F2297"/>
    <w:rsid w:val="009F31EF"/>
    <w:rsid w:val="009F375A"/>
    <w:rsid w:val="009F4B4A"/>
    <w:rsid w:val="009F5EEB"/>
    <w:rsid w:val="009F601C"/>
    <w:rsid w:val="009F63A5"/>
    <w:rsid w:val="009F6841"/>
    <w:rsid w:val="009F6C28"/>
    <w:rsid w:val="009F6C3E"/>
    <w:rsid w:val="009F70CE"/>
    <w:rsid w:val="00A00F25"/>
    <w:rsid w:val="00A01224"/>
    <w:rsid w:val="00A013ED"/>
    <w:rsid w:val="00A0160E"/>
    <w:rsid w:val="00A04038"/>
    <w:rsid w:val="00A0485F"/>
    <w:rsid w:val="00A04A12"/>
    <w:rsid w:val="00A06DB9"/>
    <w:rsid w:val="00A07FB7"/>
    <w:rsid w:val="00A13430"/>
    <w:rsid w:val="00A13E44"/>
    <w:rsid w:val="00A141CE"/>
    <w:rsid w:val="00A15A80"/>
    <w:rsid w:val="00A1665F"/>
    <w:rsid w:val="00A17785"/>
    <w:rsid w:val="00A20BD9"/>
    <w:rsid w:val="00A213C7"/>
    <w:rsid w:val="00A21FD8"/>
    <w:rsid w:val="00A22739"/>
    <w:rsid w:val="00A232A0"/>
    <w:rsid w:val="00A233D7"/>
    <w:rsid w:val="00A239D0"/>
    <w:rsid w:val="00A247CC"/>
    <w:rsid w:val="00A257FE"/>
    <w:rsid w:val="00A26856"/>
    <w:rsid w:val="00A31EAD"/>
    <w:rsid w:val="00A322D8"/>
    <w:rsid w:val="00A32AEE"/>
    <w:rsid w:val="00A336A2"/>
    <w:rsid w:val="00A34185"/>
    <w:rsid w:val="00A34665"/>
    <w:rsid w:val="00A34C78"/>
    <w:rsid w:val="00A361AB"/>
    <w:rsid w:val="00A36A98"/>
    <w:rsid w:val="00A40677"/>
    <w:rsid w:val="00A40F31"/>
    <w:rsid w:val="00A412A7"/>
    <w:rsid w:val="00A41C76"/>
    <w:rsid w:val="00A4317E"/>
    <w:rsid w:val="00A43B3A"/>
    <w:rsid w:val="00A44C67"/>
    <w:rsid w:val="00A50169"/>
    <w:rsid w:val="00A509D3"/>
    <w:rsid w:val="00A512EE"/>
    <w:rsid w:val="00A5150A"/>
    <w:rsid w:val="00A51E85"/>
    <w:rsid w:val="00A544EE"/>
    <w:rsid w:val="00A55086"/>
    <w:rsid w:val="00A60197"/>
    <w:rsid w:val="00A60484"/>
    <w:rsid w:val="00A67A2E"/>
    <w:rsid w:val="00A7122A"/>
    <w:rsid w:val="00A7287D"/>
    <w:rsid w:val="00A730CB"/>
    <w:rsid w:val="00A731FD"/>
    <w:rsid w:val="00A73FDD"/>
    <w:rsid w:val="00A746B0"/>
    <w:rsid w:val="00A7650D"/>
    <w:rsid w:val="00A771EA"/>
    <w:rsid w:val="00A77894"/>
    <w:rsid w:val="00A800AD"/>
    <w:rsid w:val="00A80D15"/>
    <w:rsid w:val="00A81E31"/>
    <w:rsid w:val="00A8511B"/>
    <w:rsid w:val="00A86BA0"/>
    <w:rsid w:val="00A917BE"/>
    <w:rsid w:val="00A922F2"/>
    <w:rsid w:val="00A92340"/>
    <w:rsid w:val="00A92864"/>
    <w:rsid w:val="00A9441B"/>
    <w:rsid w:val="00A95279"/>
    <w:rsid w:val="00A95849"/>
    <w:rsid w:val="00A97C88"/>
    <w:rsid w:val="00A97D30"/>
    <w:rsid w:val="00AA0770"/>
    <w:rsid w:val="00AA0C34"/>
    <w:rsid w:val="00AA43D0"/>
    <w:rsid w:val="00AB0182"/>
    <w:rsid w:val="00AB028C"/>
    <w:rsid w:val="00AB036C"/>
    <w:rsid w:val="00AB09CF"/>
    <w:rsid w:val="00AB1DC6"/>
    <w:rsid w:val="00AB1EA0"/>
    <w:rsid w:val="00AB3F2A"/>
    <w:rsid w:val="00AB4E32"/>
    <w:rsid w:val="00AB5122"/>
    <w:rsid w:val="00AB573A"/>
    <w:rsid w:val="00AB5DBA"/>
    <w:rsid w:val="00AB77E7"/>
    <w:rsid w:val="00AC08D2"/>
    <w:rsid w:val="00AC1471"/>
    <w:rsid w:val="00AC16D7"/>
    <w:rsid w:val="00AC2538"/>
    <w:rsid w:val="00AC2A75"/>
    <w:rsid w:val="00AC45BA"/>
    <w:rsid w:val="00AC601C"/>
    <w:rsid w:val="00AD0D01"/>
    <w:rsid w:val="00AD1853"/>
    <w:rsid w:val="00AD2C43"/>
    <w:rsid w:val="00AD652F"/>
    <w:rsid w:val="00AD68BB"/>
    <w:rsid w:val="00AD6FB1"/>
    <w:rsid w:val="00AD73D2"/>
    <w:rsid w:val="00AD7DD6"/>
    <w:rsid w:val="00AE2271"/>
    <w:rsid w:val="00AE302E"/>
    <w:rsid w:val="00AE3E94"/>
    <w:rsid w:val="00AE531D"/>
    <w:rsid w:val="00AE5C5A"/>
    <w:rsid w:val="00AE61CA"/>
    <w:rsid w:val="00AE7A2A"/>
    <w:rsid w:val="00AF0458"/>
    <w:rsid w:val="00AF1C1F"/>
    <w:rsid w:val="00AF2CD8"/>
    <w:rsid w:val="00AF2D1B"/>
    <w:rsid w:val="00AF304B"/>
    <w:rsid w:val="00AF3626"/>
    <w:rsid w:val="00AF387B"/>
    <w:rsid w:val="00AF3A7C"/>
    <w:rsid w:val="00AF42E4"/>
    <w:rsid w:val="00AF49AE"/>
    <w:rsid w:val="00AF507E"/>
    <w:rsid w:val="00AF6985"/>
    <w:rsid w:val="00AF7051"/>
    <w:rsid w:val="00AF79CF"/>
    <w:rsid w:val="00B00457"/>
    <w:rsid w:val="00B008C8"/>
    <w:rsid w:val="00B01B46"/>
    <w:rsid w:val="00B02751"/>
    <w:rsid w:val="00B02A31"/>
    <w:rsid w:val="00B02AB8"/>
    <w:rsid w:val="00B02E26"/>
    <w:rsid w:val="00B05E06"/>
    <w:rsid w:val="00B070DB"/>
    <w:rsid w:val="00B1094C"/>
    <w:rsid w:val="00B1130A"/>
    <w:rsid w:val="00B13433"/>
    <w:rsid w:val="00B1380D"/>
    <w:rsid w:val="00B14E46"/>
    <w:rsid w:val="00B15142"/>
    <w:rsid w:val="00B16C47"/>
    <w:rsid w:val="00B207DF"/>
    <w:rsid w:val="00B22E06"/>
    <w:rsid w:val="00B30094"/>
    <w:rsid w:val="00B30432"/>
    <w:rsid w:val="00B30FBF"/>
    <w:rsid w:val="00B320BE"/>
    <w:rsid w:val="00B33195"/>
    <w:rsid w:val="00B344E4"/>
    <w:rsid w:val="00B345BC"/>
    <w:rsid w:val="00B35E73"/>
    <w:rsid w:val="00B36164"/>
    <w:rsid w:val="00B4193B"/>
    <w:rsid w:val="00B45147"/>
    <w:rsid w:val="00B46FC0"/>
    <w:rsid w:val="00B4722D"/>
    <w:rsid w:val="00B5184C"/>
    <w:rsid w:val="00B51DC0"/>
    <w:rsid w:val="00B550DB"/>
    <w:rsid w:val="00B57979"/>
    <w:rsid w:val="00B60937"/>
    <w:rsid w:val="00B60EEC"/>
    <w:rsid w:val="00B63FDE"/>
    <w:rsid w:val="00B64E47"/>
    <w:rsid w:val="00B65B0F"/>
    <w:rsid w:val="00B65D19"/>
    <w:rsid w:val="00B663CE"/>
    <w:rsid w:val="00B66D41"/>
    <w:rsid w:val="00B708FB"/>
    <w:rsid w:val="00B7188F"/>
    <w:rsid w:val="00B73EED"/>
    <w:rsid w:val="00B82C6E"/>
    <w:rsid w:val="00B83606"/>
    <w:rsid w:val="00B84E50"/>
    <w:rsid w:val="00B85B8A"/>
    <w:rsid w:val="00B905E2"/>
    <w:rsid w:val="00B9331B"/>
    <w:rsid w:val="00B95CA5"/>
    <w:rsid w:val="00B97985"/>
    <w:rsid w:val="00BA291D"/>
    <w:rsid w:val="00BA30CE"/>
    <w:rsid w:val="00BA3154"/>
    <w:rsid w:val="00BA4C94"/>
    <w:rsid w:val="00BA578D"/>
    <w:rsid w:val="00BA5ABA"/>
    <w:rsid w:val="00BB17CC"/>
    <w:rsid w:val="00BB1865"/>
    <w:rsid w:val="00BB238E"/>
    <w:rsid w:val="00BB496E"/>
    <w:rsid w:val="00BB49EE"/>
    <w:rsid w:val="00BB5360"/>
    <w:rsid w:val="00BB605A"/>
    <w:rsid w:val="00BB7AA1"/>
    <w:rsid w:val="00BB7CD1"/>
    <w:rsid w:val="00BC096F"/>
    <w:rsid w:val="00BC0E0E"/>
    <w:rsid w:val="00BC129E"/>
    <w:rsid w:val="00BC29F7"/>
    <w:rsid w:val="00BC57A5"/>
    <w:rsid w:val="00BC6060"/>
    <w:rsid w:val="00BD079A"/>
    <w:rsid w:val="00BD09B4"/>
    <w:rsid w:val="00BD200A"/>
    <w:rsid w:val="00BD52C7"/>
    <w:rsid w:val="00BD5660"/>
    <w:rsid w:val="00BD6A8D"/>
    <w:rsid w:val="00BD6BE4"/>
    <w:rsid w:val="00BD70DE"/>
    <w:rsid w:val="00BE0917"/>
    <w:rsid w:val="00BE1594"/>
    <w:rsid w:val="00BE26DD"/>
    <w:rsid w:val="00BE5AD1"/>
    <w:rsid w:val="00BE5BFD"/>
    <w:rsid w:val="00BE755A"/>
    <w:rsid w:val="00BF100B"/>
    <w:rsid w:val="00BF14BD"/>
    <w:rsid w:val="00BF1F16"/>
    <w:rsid w:val="00BF51CB"/>
    <w:rsid w:val="00BF7A2C"/>
    <w:rsid w:val="00C00010"/>
    <w:rsid w:val="00C00EEF"/>
    <w:rsid w:val="00C00FD9"/>
    <w:rsid w:val="00C044D5"/>
    <w:rsid w:val="00C055DD"/>
    <w:rsid w:val="00C05DBE"/>
    <w:rsid w:val="00C06742"/>
    <w:rsid w:val="00C10026"/>
    <w:rsid w:val="00C13BA8"/>
    <w:rsid w:val="00C14518"/>
    <w:rsid w:val="00C214A8"/>
    <w:rsid w:val="00C23958"/>
    <w:rsid w:val="00C26196"/>
    <w:rsid w:val="00C26E26"/>
    <w:rsid w:val="00C27E71"/>
    <w:rsid w:val="00C30A82"/>
    <w:rsid w:val="00C31F40"/>
    <w:rsid w:val="00C33465"/>
    <w:rsid w:val="00C338ED"/>
    <w:rsid w:val="00C33A6E"/>
    <w:rsid w:val="00C33D0D"/>
    <w:rsid w:val="00C36D34"/>
    <w:rsid w:val="00C40283"/>
    <w:rsid w:val="00C403DB"/>
    <w:rsid w:val="00C40438"/>
    <w:rsid w:val="00C4167A"/>
    <w:rsid w:val="00C41CE9"/>
    <w:rsid w:val="00C42320"/>
    <w:rsid w:val="00C42FE0"/>
    <w:rsid w:val="00C44F78"/>
    <w:rsid w:val="00C47943"/>
    <w:rsid w:val="00C523FD"/>
    <w:rsid w:val="00C5242A"/>
    <w:rsid w:val="00C53E7F"/>
    <w:rsid w:val="00C542BB"/>
    <w:rsid w:val="00C55359"/>
    <w:rsid w:val="00C55F90"/>
    <w:rsid w:val="00C57059"/>
    <w:rsid w:val="00C603DE"/>
    <w:rsid w:val="00C60D49"/>
    <w:rsid w:val="00C62CA6"/>
    <w:rsid w:val="00C63011"/>
    <w:rsid w:val="00C632AE"/>
    <w:rsid w:val="00C67894"/>
    <w:rsid w:val="00C704C6"/>
    <w:rsid w:val="00C70DB3"/>
    <w:rsid w:val="00C73D3D"/>
    <w:rsid w:val="00C752F0"/>
    <w:rsid w:val="00C77150"/>
    <w:rsid w:val="00C77863"/>
    <w:rsid w:val="00C778F1"/>
    <w:rsid w:val="00C811F7"/>
    <w:rsid w:val="00C81BC1"/>
    <w:rsid w:val="00C82500"/>
    <w:rsid w:val="00C84DDB"/>
    <w:rsid w:val="00C909A3"/>
    <w:rsid w:val="00C913E7"/>
    <w:rsid w:val="00C92604"/>
    <w:rsid w:val="00C92829"/>
    <w:rsid w:val="00C954DD"/>
    <w:rsid w:val="00C964ED"/>
    <w:rsid w:val="00C96853"/>
    <w:rsid w:val="00CA0921"/>
    <w:rsid w:val="00CA227C"/>
    <w:rsid w:val="00CA267F"/>
    <w:rsid w:val="00CA2B66"/>
    <w:rsid w:val="00CA3409"/>
    <w:rsid w:val="00CA45A2"/>
    <w:rsid w:val="00CB36D7"/>
    <w:rsid w:val="00CB52DF"/>
    <w:rsid w:val="00CB6BCD"/>
    <w:rsid w:val="00CC0370"/>
    <w:rsid w:val="00CC671B"/>
    <w:rsid w:val="00CC7068"/>
    <w:rsid w:val="00CC72ED"/>
    <w:rsid w:val="00CC7450"/>
    <w:rsid w:val="00CC7D08"/>
    <w:rsid w:val="00CD1FF9"/>
    <w:rsid w:val="00CD20E6"/>
    <w:rsid w:val="00CD2897"/>
    <w:rsid w:val="00CD3D30"/>
    <w:rsid w:val="00CD46FA"/>
    <w:rsid w:val="00CD4843"/>
    <w:rsid w:val="00CD6106"/>
    <w:rsid w:val="00CD68D7"/>
    <w:rsid w:val="00CE0824"/>
    <w:rsid w:val="00CE1868"/>
    <w:rsid w:val="00CE193C"/>
    <w:rsid w:val="00CE2BC9"/>
    <w:rsid w:val="00CE7962"/>
    <w:rsid w:val="00CF1E43"/>
    <w:rsid w:val="00CF41AC"/>
    <w:rsid w:val="00CF54C2"/>
    <w:rsid w:val="00CF7694"/>
    <w:rsid w:val="00D01A16"/>
    <w:rsid w:val="00D02878"/>
    <w:rsid w:val="00D02A01"/>
    <w:rsid w:val="00D05D11"/>
    <w:rsid w:val="00D06521"/>
    <w:rsid w:val="00D065E6"/>
    <w:rsid w:val="00D0664E"/>
    <w:rsid w:val="00D06AE5"/>
    <w:rsid w:val="00D06BDA"/>
    <w:rsid w:val="00D0761B"/>
    <w:rsid w:val="00D125E8"/>
    <w:rsid w:val="00D15309"/>
    <w:rsid w:val="00D15ACE"/>
    <w:rsid w:val="00D17820"/>
    <w:rsid w:val="00D20181"/>
    <w:rsid w:val="00D20222"/>
    <w:rsid w:val="00D2052C"/>
    <w:rsid w:val="00D20FF5"/>
    <w:rsid w:val="00D223B3"/>
    <w:rsid w:val="00D22D31"/>
    <w:rsid w:val="00D23CD0"/>
    <w:rsid w:val="00D24B12"/>
    <w:rsid w:val="00D24F35"/>
    <w:rsid w:val="00D2772E"/>
    <w:rsid w:val="00D30BE6"/>
    <w:rsid w:val="00D329FD"/>
    <w:rsid w:val="00D32DE2"/>
    <w:rsid w:val="00D334CC"/>
    <w:rsid w:val="00D34FE0"/>
    <w:rsid w:val="00D42A5E"/>
    <w:rsid w:val="00D42E4C"/>
    <w:rsid w:val="00D4417A"/>
    <w:rsid w:val="00D445D8"/>
    <w:rsid w:val="00D4471A"/>
    <w:rsid w:val="00D44FE7"/>
    <w:rsid w:val="00D45A87"/>
    <w:rsid w:val="00D4726B"/>
    <w:rsid w:val="00D517CF"/>
    <w:rsid w:val="00D52833"/>
    <w:rsid w:val="00D5390A"/>
    <w:rsid w:val="00D5395D"/>
    <w:rsid w:val="00D53B61"/>
    <w:rsid w:val="00D571A0"/>
    <w:rsid w:val="00D60FAA"/>
    <w:rsid w:val="00D615C0"/>
    <w:rsid w:val="00D61D31"/>
    <w:rsid w:val="00D62E8D"/>
    <w:rsid w:val="00D65906"/>
    <w:rsid w:val="00D67B03"/>
    <w:rsid w:val="00D7045E"/>
    <w:rsid w:val="00D7095C"/>
    <w:rsid w:val="00D72033"/>
    <w:rsid w:val="00D72183"/>
    <w:rsid w:val="00D7260D"/>
    <w:rsid w:val="00D729BF"/>
    <w:rsid w:val="00D72E26"/>
    <w:rsid w:val="00D7460E"/>
    <w:rsid w:val="00D752A0"/>
    <w:rsid w:val="00D753AB"/>
    <w:rsid w:val="00D75E4B"/>
    <w:rsid w:val="00D760E3"/>
    <w:rsid w:val="00D773BE"/>
    <w:rsid w:val="00D77A1B"/>
    <w:rsid w:val="00D84B61"/>
    <w:rsid w:val="00D8500E"/>
    <w:rsid w:val="00D859CE"/>
    <w:rsid w:val="00D85B27"/>
    <w:rsid w:val="00D87C8E"/>
    <w:rsid w:val="00D9171C"/>
    <w:rsid w:val="00D917F7"/>
    <w:rsid w:val="00D929CD"/>
    <w:rsid w:val="00D92FF4"/>
    <w:rsid w:val="00D9460A"/>
    <w:rsid w:val="00D94955"/>
    <w:rsid w:val="00D94D89"/>
    <w:rsid w:val="00D9632D"/>
    <w:rsid w:val="00DA0F1B"/>
    <w:rsid w:val="00DA20F7"/>
    <w:rsid w:val="00DA6E0C"/>
    <w:rsid w:val="00DA6FD5"/>
    <w:rsid w:val="00DA7095"/>
    <w:rsid w:val="00DB0439"/>
    <w:rsid w:val="00DB0906"/>
    <w:rsid w:val="00DB23AD"/>
    <w:rsid w:val="00DB4E66"/>
    <w:rsid w:val="00DB4EA1"/>
    <w:rsid w:val="00DB5073"/>
    <w:rsid w:val="00DB56F9"/>
    <w:rsid w:val="00DB6AF5"/>
    <w:rsid w:val="00DB7B82"/>
    <w:rsid w:val="00DC1465"/>
    <w:rsid w:val="00DC15AF"/>
    <w:rsid w:val="00DC260A"/>
    <w:rsid w:val="00DC626B"/>
    <w:rsid w:val="00DC6836"/>
    <w:rsid w:val="00DC720A"/>
    <w:rsid w:val="00DD0761"/>
    <w:rsid w:val="00DD2946"/>
    <w:rsid w:val="00DD7805"/>
    <w:rsid w:val="00DE167F"/>
    <w:rsid w:val="00DE4C2B"/>
    <w:rsid w:val="00DE541F"/>
    <w:rsid w:val="00DE5E8B"/>
    <w:rsid w:val="00DE63B0"/>
    <w:rsid w:val="00DE6C79"/>
    <w:rsid w:val="00DE765B"/>
    <w:rsid w:val="00DE76AB"/>
    <w:rsid w:val="00DF2525"/>
    <w:rsid w:val="00DF2E1F"/>
    <w:rsid w:val="00DF5112"/>
    <w:rsid w:val="00DF6656"/>
    <w:rsid w:val="00E014B4"/>
    <w:rsid w:val="00E03D64"/>
    <w:rsid w:val="00E04238"/>
    <w:rsid w:val="00E05EC7"/>
    <w:rsid w:val="00E12BC6"/>
    <w:rsid w:val="00E12E38"/>
    <w:rsid w:val="00E15F56"/>
    <w:rsid w:val="00E17174"/>
    <w:rsid w:val="00E17E3B"/>
    <w:rsid w:val="00E212A1"/>
    <w:rsid w:val="00E23C08"/>
    <w:rsid w:val="00E23F04"/>
    <w:rsid w:val="00E24475"/>
    <w:rsid w:val="00E2498E"/>
    <w:rsid w:val="00E31116"/>
    <w:rsid w:val="00E31311"/>
    <w:rsid w:val="00E3163A"/>
    <w:rsid w:val="00E31EE3"/>
    <w:rsid w:val="00E32845"/>
    <w:rsid w:val="00E32CC2"/>
    <w:rsid w:val="00E34018"/>
    <w:rsid w:val="00E3408A"/>
    <w:rsid w:val="00E3520D"/>
    <w:rsid w:val="00E362BE"/>
    <w:rsid w:val="00E41013"/>
    <w:rsid w:val="00E4158E"/>
    <w:rsid w:val="00E41EDF"/>
    <w:rsid w:val="00E42CF9"/>
    <w:rsid w:val="00E45C57"/>
    <w:rsid w:val="00E460EA"/>
    <w:rsid w:val="00E46345"/>
    <w:rsid w:val="00E471F4"/>
    <w:rsid w:val="00E50AD8"/>
    <w:rsid w:val="00E52984"/>
    <w:rsid w:val="00E5597A"/>
    <w:rsid w:val="00E563FB"/>
    <w:rsid w:val="00E6327B"/>
    <w:rsid w:val="00E674C5"/>
    <w:rsid w:val="00E71C9F"/>
    <w:rsid w:val="00E73A0E"/>
    <w:rsid w:val="00E748C0"/>
    <w:rsid w:val="00E758FB"/>
    <w:rsid w:val="00E7638E"/>
    <w:rsid w:val="00E76916"/>
    <w:rsid w:val="00E76F52"/>
    <w:rsid w:val="00E76FF1"/>
    <w:rsid w:val="00E80742"/>
    <w:rsid w:val="00E80971"/>
    <w:rsid w:val="00E82AB9"/>
    <w:rsid w:val="00E862F8"/>
    <w:rsid w:val="00E86CF3"/>
    <w:rsid w:val="00E95602"/>
    <w:rsid w:val="00E97F98"/>
    <w:rsid w:val="00EA1FF0"/>
    <w:rsid w:val="00EA41F6"/>
    <w:rsid w:val="00EA4653"/>
    <w:rsid w:val="00EA501C"/>
    <w:rsid w:val="00EA5C44"/>
    <w:rsid w:val="00EA7155"/>
    <w:rsid w:val="00EB0426"/>
    <w:rsid w:val="00EB1719"/>
    <w:rsid w:val="00EB4399"/>
    <w:rsid w:val="00EB4ADB"/>
    <w:rsid w:val="00EB6A3B"/>
    <w:rsid w:val="00EC0585"/>
    <w:rsid w:val="00EC0A04"/>
    <w:rsid w:val="00EC26CB"/>
    <w:rsid w:val="00EC328D"/>
    <w:rsid w:val="00EC3982"/>
    <w:rsid w:val="00EC60E3"/>
    <w:rsid w:val="00EC6366"/>
    <w:rsid w:val="00ED0C84"/>
    <w:rsid w:val="00ED1E55"/>
    <w:rsid w:val="00ED68D5"/>
    <w:rsid w:val="00ED6EFC"/>
    <w:rsid w:val="00ED73C5"/>
    <w:rsid w:val="00ED786F"/>
    <w:rsid w:val="00EE0454"/>
    <w:rsid w:val="00EE134A"/>
    <w:rsid w:val="00EE1C29"/>
    <w:rsid w:val="00EE420C"/>
    <w:rsid w:val="00EE4CDD"/>
    <w:rsid w:val="00EE7DE7"/>
    <w:rsid w:val="00EE7FE9"/>
    <w:rsid w:val="00EF2BD6"/>
    <w:rsid w:val="00EF2C97"/>
    <w:rsid w:val="00EF2CA1"/>
    <w:rsid w:val="00EF3030"/>
    <w:rsid w:val="00EF3AEF"/>
    <w:rsid w:val="00EF3B71"/>
    <w:rsid w:val="00EF6FCE"/>
    <w:rsid w:val="00EF7979"/>
    <w:rsid w:val="00F0209D"/>
    <w:rsid w:val="00F02BDB"/>
    <w:rsid w:val="00F05E1A"/>
    <w:rsid w:val="00F07C0C"/>
    <w:rsid w:val="00F07F8B"/>
    <w:rsid w:val="00F1070A"/>
    <w:rsid w:val="00F108DA"/>
    <w:rsid w:val="00F114C7"/>
    <w:rsid w:val="00F121D5"/>
    <w:rsid w:val="00F127C3"/>
    <w:rsid w:val="00F15D2C"/>
    <w:rsid w:val="00F16C01"/>
    <w:rsid w:val="00F1771C"/>
    <w:rsid w:val="00F17A94"/>
    <w:rsid w:val="00F20D27"/>
    <w:rsid w:val="00F2100F"/>
    <w:rsid w:val="00F2435F"/>
    <w:rsid w:val="00F24946"/>
    <w:rsid w:val="00F25AAD"/>
    <w:rsid w:val="00F26756"/>
    <w:rsid w:val="00F27B39"/>
    <w:rsid w:val="00F27CCB"/>
    <w:rsid w:val="00F3029F"/>
    <w:rsid w:val="00F31D0E"/>
    <w:rsid w:val="00F32A1B"/>
    <w:rsid w:val="00F35910"/>
    <w:rsid w:val="00F360B1"/>
    <w:rsid w:val="00F3761F"/>
    <w:rsid w:val="00F41937"/>
    <w:rsid w:val="00F41AAB"/>
    <w:rsid w:val="00F42004"/>
    <w:rsid w:val="00F42B59"/>
    <w:rsid w:val="00F439F5"/>
    <w:rsid w:val="00F45AAE"/>
    <w:rsid w:val="00F509F8"/>
    <w:rsid w:val="00F5103A"/>
    <w:rsid w:val="00F5164B"/>
    <w:rsid w:val="00F52ABF"/>
    <w:rsid w:val="00F52BF1"/>
    <w:rsid w:val="00F52FD5"/>
    <w:rsid w:val="00F54346"/>
    <w:rsid w:val="00F54AFD"/>
    <w:rsid w:val="00F54E33"/>
    <w:rsid w:val="00F55C79"/>
    <w:rsid w:val="00F57648"/>
    <w:rsid w:val="00F57A3A"/>
    <w:rsid w:val="00F60B4E"/>
    <w:rsid w:val="00F60F63"/>
    <w:rsid w:val="00F626C5"/>
    <w:rsid w:val="00F631AC"/>
    <w:rsid w:val="00F6320D"/>
    <w:rsid w:val="00F64253"/>
    <w:rsid w:val="00F678C7"/>
    <w:rsid w:val="00F67FE4"/>
    <w:rsid w:val="00F71365"/>
    <w:rsid w:val="00F73374"/>
    <w:rsid w:val="00F740AE"/>
    <w:rsid w:val="00F8105A"/>
    <w:rsid w:val="00F81B5D"/>
    <w:rsid w:val="00F83B98"/>
    <w:rsid w:val="00F85141"/>
    <w:rsid w:val="00F8562E"/>
    <w:rsid w:val="00F872E2"/>
    <w:rsid w:val="00F87EB4"/>
    <w:rsid w:val="00F87FD6"/>
    <w:rsid w:val="00F93DE7"/>
    <w:rsid w:val="00F95ED4"/>
    <w:rsid w:val="00F968CE"/>
    <w:rsid w:val="00F96A36"/>
    <w:rsid w:val="00F973CB"/>
    <w:rsid w:val="00FA0CD4"/>
    <w:rsid w:val="00FA0F63"/>
    <w:rsid w:val="00FA2A54"/>
    <w:rsid w:val="00FA3C89"/>
    <w:rsid w:val="00FA3EF2"/>
    <w:rsid w:val="00FA52A0"/>
    <w:rsid w:val="00FA58B5"/>
    <w:rsid w:val="00FA6438"/>
    <w:rsid w:val="00FA761C"/>
    <w:rsid w:val="00FA7968"/>
    <w:rsid w:val="00FB05C8"/>
    <w:rsid w:val="00FB3D81"/>
    <w:rsid w:val="00FB478B"/>
    <w:rsid w:val="00FB667F"/>
    <w:rsid w:val="00FB6A9B"/>
    <w:rsid w:val="00FB7A4D"/>
    <w:rsid w:val="00FC2D03"/>
    <w:rsid w:val="00FC4518"/>
    <w:rsid w:val="00FC4F8D"/>
    <w:rsid w:val="00FC5987"/>
    <w:rsid w:val="00FC73ED"/>
    <w:rsid w:val="00FD132F"/>
    <w:rsid w:val="00FD4332"/>
    <w:rsid w:val="00FD644E"/>
    <w:rsid w:val="00FD71BD"/>
    <w:rsid w:val="00FE0EC8"/>
    <w:rsid w:val="00FE1A70"/>
    <w:rsid w:val="00FE45EF"/>
    <w:rsid w:val="00FE49ED"/>
    <w:rsid w:val="00FE73CA"/>
    <w:rsid w:val="00FF3A3F"/>
    <w:rsid w:val="00FF73CF"/>
    <w:rsid w:val="00FF78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5DE8C7"/>
  <w15:docId w15:val="{7AD925E6-391F-470E-B9D2-E0E1086A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081"/>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212081"/>
    <w:pPr>
      <w:keepNext/>
      <w:bidi w:val="0"/>
      <w:spacing w:after="60"/>
      <w:outlineLvl w:val="0"/>
    </w:pPr>
    <w:rPr>
      <w:rFonts w:ascii="Arial" w:hAnsi="Arial" w:cs="Simplified Arabic"/>
      <w:b/>
      <w:bCs/>
      <w:snapToGrid w:val="0"/>
      <w:kern w:val="28"/>
      <w:sz w:val="32"/>
      <w:szCs w:val="33"/>
      <w:lang w:val="en-GB" w:eastAsia="en-US" w:bidi="ar-JO"/>
    </w:rPr>
  </w:style>
  <w:style w:type="paragraph" w:styleId="Heading2">
    <w:name w:val="heading 2"/>
    <w:basedOn w:val="Normal"/>
    <w:next w:val="Normal"/>
    <w:link w:val="Heading2Char"/>
    <w:qFormat/>
    <w:rsid w:val="00212081"/>
    <w:pPr>
      <w:keepNext/>
      <w:bidi w:val="0"/>
      <w:spacing w:after="60"/>
      <w:outlineLvl w:val="1"/>
    </w:pPr>
    <w:rPr>
      <w:rFonts w:ascii="Arial" w:hAnsi="Arial" w:cs="Simplified Arabic"/>
      <w:b/>
      <w:bCs/>
      <w:i/>
      <w:iCs/>
      <w:sz w:val="28"/>
      <w:szCs w:val="28"/>
      <w:lang w:val="en-GB" w:eastAsia="en-US" w:bidi="ar-JO"/>
    </w:rPr>
  </w:style>
  <w:style w:type="paragraph" w:styleId="Heading3">
    <w:name w:val="heading 3"/>
    <w:basedOn w:val="Normal"/>
    <w:next w:val="Normal"/>
    <w:link w:val="Heading3Char"/>
    <w:qFormat/>
    <w:rsid w:val="00212081"/>
    <w:pPr>
      <w:keepNext/>
      <w:overflowPunct w:val="0"/>
      <w:autoSpaceDE w:val="0"/>
      <w:autoSpaceDN w:val="0"/>
      <w:adjustRightInd w:val="0"/>
      <w:textAlignment w:val="baseline"/>
      <w:outlineLvl w:val="2"/>
    </w:pPr>
    <w:rPr>
      <w:rFonts w:cs="Traditional Arabic"/>
      <w:b/>
      <w:bCs/>
      <w:sz w:val="28"/>
      <w:szCs w:val="33"/>
      <w:u w:val="single"/>
      <w:lang w:val="en-GB" w:eastAsia="en-US" w:bidi="ar-JO"/>
    </w:rPr>
  </w:style>
  <w:style w:type="paragraph" w:styleId="Heading6">
    <w:name w:val="heading 6"/>
    <w:basedOn w:val="Normal"/>
    <w:next w:val="Normal"/>
    <w:link w:val="Heading6Char"/>
    <w:qFormat/>
    <w:rsid w:val="00212081"/>
    <w:pPr>
      <w:keepNext/>
      <w:spacing w:after="240"/>
      <w:ind w:left="288"/>
      <w:jc w:val="center"/>
      <w:outlineLvl w:val="5"/>
    </w:pPr>
    <w:rPr>
      <w:rFonts w:cs="Simplified Arabic"/>
      <w:b/>
      <w:bCs/>
      <w:szCs w:val="20"/>
      <w:lang w:eastAsia="en-US" w:bidi="ar-JO"/>
    </w:rPr>
  </w:style>
  <w:style w:type="paragraph" w:styleId="Heading7">
    <w:name w:val="heading 7"/>
    <w:basedOn w:val="Normal"/>
    <w:next w:val="Normal"/>
    <w:link w:val="Heading7Char"/>
    <w:qFormat/>
    <w:rsid w:val="00212081"/>
    <w:pPr>
      <w:keepNext/>
      <w:jc w:val="lowKashida"/>
      <w:outlineLvl w:val="6"/>
    </w:pPr>
    <w:rPr>
      <w:rFonts w:cs="Simplified Arab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081"/>
    <w:rPr>
      <w:rFonts w:ascii="Arial" w:eastAsia="Times New Roman" w:hAnsi="Arial" w:cs="Simplified Arabic"/>
      <w:b/>
      <w:bCs/>
      <w:snapToGrid w:val="0"/>
      <w:kern w:val="28"/>
      <w:sz w:val="32"/>
      <w:szCs w:val="33"/>
      <w:lang w:val="en-GB" w:bidi="ar-JO"/>
    </w:rPr>
  </w:style>
  <w:style w:type="character" w:customStyle="1" w:styleId="Heading2Char">
    <w:name w:val="Heading 2 Char"/>
    <w:basedOn w:val="DefaultParagraphFont"/>
    <w:link w:val="Heading2"/>
    <w:rsid w:val="00212081"/>
    <w:rPr>
      <w:rFonts w:ascii="Arial" w:eastAsia="Times New Roman" w:hAnsi="Arial" w:cs="Simplified Arabic"/>
      <w:b/>
      <w:bCs/>
      <w:i/>
      <w:iCs/>
      <w:sz w:val="28"/>
      <w:szCs w:val="28"/>
      <w:lang w:val="en-GB" w:bidi="ar-JO"/>
    </w:rPr>
  </w:style>
  <w:style w:type="character" w:customStyle="1" w:styleId="Heading3Char">
    <w:name w:val="Heading 3 Char"/>
    <w:basedOn w:val="DefaultParagraphFont"/>
    <w:link w:val="Heading3"/>
    <w:rsid w:val="00212081"/>
    <w:rPr>
      <w:rFonts w:ascii="Times New Roman" w:eastAsia="Times New Roman" w:hAnsi="Times New Roman" w:cs="Traditional Arabic"/>
      <w:b/>
      <w:bCs/>
      <w:sz w:val="28"/>
      <w:szCs w:val="33"/>
      <w:u w:val="single"/>
      <w:lang w:val="en-GB" w:bidi="ar-JO"/>
    </w:rPr>
  </w:style>
  <w:style w:type="character" w:customStyle="1" w:styleId="Heading6Char">
    <w:name w:val="Heading 6 Char"/>
    <w:basedOn w:val="DefaultParagraphFont"/>
    <w:link w:val="Heading6"/>
    <w:rsid w:val="00212081"/>
    <w:rPr>
      <w:rFonts w:ascii="Times New Roman" w:eastAsia="Times New Roman" w:hAnsi="Times New Roman" w:cs="Simplified Arabic"/>
      <w:b/>
      <w:bCs/>
      <w:sz w:val="24"/>
      <w:szCs w:val="20"/>
      <w:lang w:bidi="ar-JO"/>
    </w:rPr>
  </w:style>
  <w:style w:type="character" w:customStyle="1" w:styleId="Heading7Char">
    <w:name w:val="Heading 7 Char"/>
    <w:basedOn w:val="DefaultParagraphFont"/>
    <w:link w:val="Heading7"/>
    <w:rsid w:val="00212081"/>
    <w:rPr>
      <w:rFonts w:ascii="Times New Roman" w:eastAsia="Times New Roman" w:hAnsi="Times New Roman" w:cs="Simplified Arabic"/>
      <w:b/>
      <w:bCs/>
      <w:sz w:val="24"/>
      <w:szCs w:val="24"/>
      <w:lang w:eastAsia="ar-SA"/>
    </w:rPr>
  </w:style>
  <w:style w:type="paragraph" w:styleId="BodyText">
    <w:name w:val="Body Text"/>
    <w:basedOn w:val="Normal"/>
    <w:link w:val="BodyTextChar"/>
    <w:rsid w:val="00212081"/>
    <w:pPr>
      <w:jc w:val="lowKashida"/>
    </w:pPr>
    <w:rPr>
      <w:rFonts w:cs="Simplified Arabic"/>
      <w:szCs w:val="23"/>
    </w:rPr>
  </w:style>
  <w:style w:type="character" w:customStyle="1" w:styleId="BodyTextChar">
    <w:name w:val="Body Text Char"/>
    <w:basedOn w:val="DefaultParagraphFont"/>
    <w:link w:val="BodyText"/>
    <w:rsid w:val="00212081"/>
    <w:rPr>
      <w:rFonts w:ascii="Times New Roman" w:eastAsia="Times New Roman" w:hAnsi="Times New Roman" w:cs="Simplified Arabic"/>
      <w:sz w:val="24"/>
      <w:szCs w:val="23"/>
      <w:lang w:eastAsia="ar-SA"/>
    </w:rPr>
  </w:style>
  <w:style w:type="paragraph" w:styleId="Title">
    <w:name w:val="Title"/>
    <w:basedOn w:val="Normal"/>
    <w:next w:val="Normal"/>
    <w:link w:val="TitleChar"/>
    <w:qFormat/>
    <w:rsid w:val="00212081"/>
    <w:pPr>
      <w:bidi w:val="0"/>
      <w:spacing w:after="60"/>
      <w:jc w:val="center"/>
      <w:outlineLvl w:val="0"/>
    </w:pPr>
    <w:rPr>
      <w:rFonts w:ascii="Arial" w:cs="Simplified Arabic"/>
      <w:b/>
      <w:bCs/>
      <w:kern w:val="28"/>
      <w:sz w:val="32"/>
      <w:szCs w:val="38"/>
      <w:lang w:val="en-GB" w:eastAsia="en-US" w:bidi="ar-JO"/>
    </w:rPr>
  </w:style>
  <w:style w:type="character" w:customStyle="1" w:styleId="TitleChar">
    <w:name w:val="Title Char"/>
    <w:basedOn w:val="DefaultParagraphFont"/>
    <w:link w:val="Title"/>
    <w:rsid w:val="00212081"/>
    <w:rPr>
      <w:rFonts w:ascii="Arial" w:eastAsia="Times New Roman" w:hAnsi="Times New Roman" w:cs="Simplified Arabic"/>
      <w:b/>
      <w:bCs/>
      <w:kern w:val="28"/>
      <w:sz w:val="32"/>
      <w:szCs w:val="38"/>
      <w:lang w:val="en-GB" w:bidi="ar-JO"/>
    </w:rPr>
  </w:style>
  <w:style w:type="paragraph" w:styleId="BodyText2">
    <w:name w:val="Body Text 2"/>
    <w:basedOn w:val="Normal"/>
    <w:link w:val="BodyText2Char"/>
    <w:rsid w:val="00212081"/>
    <w:pPr>
      <w:jc w:val="center"/>
    </w:pPr>
    <w:rPr>
      <w:rFonts w:cs="Simplified Arabic"/>
      <w:b/>
      <w:bCs/>
      <w:sz w:val="44"/>
      <w:szCs w:val="44"/>
    </w:rPr>
  </w:style>
  <w:style w:type="character" w:customStyle="1" w:styleId="BodyText2Char">
    <w:name w:val="Body Text 2 Char"/>
    <w:basedOn w:val="DefaultParagraphFont"/>
    <w:link w:val="BodyText2"/>
    <w:rsid w:val="00212081"/>
    <w:rPr>
      <w:rFonts w:ascii="Times New Roman" w:eastAsia="Times New Roman" w:hAnsi="Times New Roman" w:cs="Simplified Arabic"/>
      <w:b/>
      <w:bCs/>
      <w:sz w:val="44"/>
      <w:szCs w:val="44"/>
      <w:lang w:eastAsia="ar-SA"/>
    </w:rPr>
  </w:style>
  <w:style w:type="paragraph" w:styleId="Footer">
    <w:name w:val="footer"/>
    <w:basedOn w:val="Normal"/>
    <w:link w:val="FooterChar"/>
    <w:uiPriority w:val="99"/>
    <w:rsid w:val="00212081"/>
    <w:pPr>
      <w:tabs>
        <w:tab w:val="center" w:pos="4153"/>
        <w:tab w:val="right" w:pos="8306"/>
      </w:tabs>
    </w:pPr>
    <w:rPr>
      <w:rFonts w:cs="Traditional Arabic"/>
      <w:noProof/>
      <w:sz w:val="20"/>
      <w:szCs w:val="20"/>
      <w:lang w:eastAsia="en-US"/>
    </w:rPr>
  </w:style>
  <w:style w:type="character" w:customStyle="1" w:styleId="FooterChar">
    <w:name w:val="Footer Char"/>
    <w:basedOn w:val="DefaultParagraphFont"/>
    <w:link w:val="Footer"/>
    <w:uiPriority w:val="99"/>
    <w:rsid w:val="00212081"/>
    <w:rPr>
      <w:rFonts w:ascii="Times New Roman" w:eastAsia="Times New Roman" w:hAnsi="Times New Roman" w:cs="Traditional Arabic"/>
      <w:noProof/>
      <w:sz w:val="20"/>
      <w:szCs w:val="20"/>
    </w:rPr>
  </w:style>
  <w:style w:type="paragraph" w:styleId="BodyText3">
    <w:name w:val="Body Text 3"/>
    <w:basedOn w:val="Normal"/>
    <w:link w:val="BodyText3Char"/>
    <w:rsid w:val="00212081"/>
    <w:pPr>
      <w:bidi w:val="0"/>
      <w:jc w:val="lowKashida"/>
    </w:pPr>
    <w:rPr>
      <w:rFonts w:ascii="Verdana" w:hAnsi="Verdana" w:cs="Traditional Arabic"/>
      <w:noProof/>
      <w:sz w:val="18"/>
      <w:szCs w:val="21"/>
    </w:rPr>
  </w:style>
  <w:style w:type="character" w:customStyle="1" w:styleId="BodyText3Char">
    <w:name w:val="Body Text 3 Char"/>
    <w:basedOn w:val="DefaultParagraphFont"/>
    <w:link w:val="BodyText3"/>
    <w:rsid w:val="00212081"/>
    <w:rPr>
      <w:rFonts w:ascii="Verdana" w:eastAsia="Times New Roman" w:hAnsi="Verdana" w:cs="Traditional Arabic"/>
      <w:noProof/>
      <w:sz w:val="18"/>
      <w:szCs w:val="21"/>
      <w:lang w:eastAsia="ar-SA"/>
    </w:rPr>
  </w:style>
  <w:style w:type="paragraph" w:styleId="FootnoteText">
    <w:name w:val="footnote text"/>
    <w:basedOn w:val="Normal"/>
    <w:link w:val="FootnoteTextChar"/>
    <w:semiHidden/>
    <w:rsid w:val="00212081"/>
    <w:pPr>
      <w:bidi w:val="0"/>
    </w:pPr>
    <w:rPr>
      <w:rFonts w:cs="Traditional Arabic"/>
      <w:noProof/>
      <w:sz w:val="20"/>
    </w:rPr>
  </w:style>
  <w:style w:type="character" w:customStyle="1" w:styleId="FootnoteTextChar">
    <w:name w:val="Footnote Text Char"/>
    <w:basedOn w:val="DefaultParagraphFont"/>
    <w:link w:val="FootnoteText"/>
    <w:semiHidden/>
    <w:rsid w:val="00212081"/>
    <w:rPr>
      <w:rFonts w:ascii="Times New Roman" w:eastAsia="Times New Roman" w:hAnsi="Times New Roman" w:cs="Traditional Arabic"/>
      <w:noProof/>
      <w:sz w:val="20"/>
      <w:szCs w:val="24"/>
      <w:lang w:eastAsia="ar-SA"/>
    </w:rPr>
  </w:style>
  <w:style w:type="character" w:styleId="FootnoteReference">
    <w:name w:val="footnote reference"/>
    <w:basedOn w:val="DefaultParagraphFont"/>
    <w:semiHidden/>
    <w:rsid w:val="00212081"/>
    <w:rPr>
      <w:vertAlign w:val="superscript"/>
    </w:rPr>
  </w:style>
  <w:style w:type="character" w:styleId="PageNumber">
    <w:name w:val="page number"/>
    <w:basedOn w:val="DefaultParagraphFont"/>
    <w:rsid w:val="00212081"/>
  </w:style>
  <w:style w:type="paragraph" w:styleId="ListParagraph">
    <w:name w:val="List Paragraph"/>
    <w:basedOn w:val="Normal"/>
    <w:uiPriority w:val="34"/>
    <w:qFormat/>
    <w:rsid w:val="00212081"/>
    <w:pPr>
      <w:ind w:left="720"/>
    </w:pPr>
  </w:style>
  <w:style w:type="paragraph" w:styleId="BalloonText">
    <w:name w:val="Balloon Text"/>
    <w:basedOn w:val="Normal"/>
    <w:link w:val="BalloonTextChar"/>
    <w:uiPriority w:val="99"/>
    <w:semiHidden/>
    <w:unhideWhenUsed/>
    <w:rsid w:val="00212081"/>
    <w:rPr>
      <w:rFonts w:ascii="Tahoma" w:hAnsi="Tahoma" w:cs="Tahoma"/>
      <w:sz w:val="16"/>
      <w:szCs w:val="16"/>
    </w:rPr>
  </w:style>
  <w:style w:type="character" w:customStyle="1" w:styleId="BalloonTextChar">
    <w:name w:val="Balloon Text Char"/>
    <w:basedOn w:val="DefaultParagraphFont"/>
    <w:link w:val="BalloonText"/>
    <w:uiPriority w:val="99"/>
    <w:semiHidden/>
    <w:rsid w:val="00212081"/>
    <w:rPr>
      <w:rFonts w:ascii="Tahoma" w:eastAsia="Times New Roman" w:hAnsi="Tahoma" w:cs="Tahoma"/>
      <w:sz w:val="16"/>
      <w:szCs w:val="16"/>
      <w:lang w:eastAsia="ar-SA"/>
    </w:rPr>
  </w:style>
  <w:style w:type="paragraph" w:styleId="BodyTextIndent2">
    <w:name w:val="Body Text Indent 2"/>
    <w:basedOn w:val="Normal"/>
    <w:link w:val="BodyTextIndent2Char"/>
    <w:uiPriority w:val="99"/>
    <w:unhideWhenUsed/>
    <w:rsid w:val="00621F94"/>
    <w:pPr>
      <w:spacing w:after="120" w:line="480" w:lineRule="auto"/>
      <w:ind w:left="283"/>
    </w:pPr>
  </w:style>
  <w:style w:type="character" w:customStyle="1" w:styleId="BodyTextIndent2Char">
    <w:name w:val="Body Text Indent 2 Char"/>
    <w:basedOn w:val="DefaultParagraphFont"/>
    <w:link w:val="BodyTextIndent2"/>
    <w:uiPriority w:val="99"/>
    <w:rsid w:val="00621F94"/>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26663C"/>
    <w:pPr>
      <w:tabs>
        <w:tab w:val="center" w:pos="4153"/>
        <w:tab w:val="right" w:pos="8306"/>
      </w:tabs>
    </w:pPr>
  </w:style>
  <w:style w:type="character" w:customStyle="1" w:styleId="HeaderChar">
    <w:name w:val="Header Char"/>
    <w:basedOn w:val="DefaultParagraphFont"/>
    <w:link w:val="Header"/>
    <w:uiPriority w:val="99"/>
    <w:rsid w:val="0026663C"/>
    <w:rPr>
      <w:rFonts w:ascii="Times New Roman" w:eastAsia="Times New Roman" w:hAnsi="Times New Roman" w:cs="Times New Roman"/>
      <w:sz w:val="24"/>
      <w:szCs w:val="24"/>
      <w:lang w:eastAsia="ar-SA"/>
    </w:rPr>
  </w:style>
  <w:style w:type="paragraph" w:styleId="EndnoteText">
    <w:name w:val="endnote text"/>
    <w:basedOn w:val="Normal"/>
    <w:link w:val="EndnoteTextChar"/>
    <w:uiPriority w:val="99"/>
    <w:semiHidden/>
    <w:unhideWhenUsed/>
    <w:rsid w:val="00696B97"/>
    <w:rPr>
      <w:sz w:val="20"/>
      <w:szCs w:val="20"/>
    </w:rPr>
  </w:style>
  <w:style w:type="character" w:customStyle="1" w:styleId="EndnoteTextChar">
    <w:name w:val="Endnote Text Char"/>
    <w:basedOn w:val="DefaultParagraphFont"/>
    <w:link w:val="EndnoteText"/>
    <w:uiPriority w:val="99"/>
    <w:semiHidden/>
    <w:rsid w:val="00696B97"/>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696B97"/>
    <w:rPr>
      <w:vertAlign w:val="superscript"/>
    </w:rPr>
  </w:style>
  <w:style w:type="paragraph" w:styleId="BlockText">
    <w:name w:val="Block Text"/>
    <w:basedOn w:val="Normal"/>
    <w:semiHidden/>
    <w:rsid w:val="00B73EED"/>
    <w:pPr>
      <w:tabs>
        <w:tab w:val="left" w:pos="4395"/>
      </w:tabs>
      <w:bidi w:val="0"/>
      <w:ind w:left="-90" w:right="27"/>
      <w:jc w:val="lowKashida"/>
    </w:pPr>
    <w:rPr>
      <w:b/>
      <w:bCs/>
      <w:noProof/>
      <w:lang w:eastAsia="en-US"/>
    </w:rPr>
  </w:style>
  <w:style w:type="table" w:styleId="TableGrid">
    <w:name w:val="Table Grid"/>
    <w:basedOn w:val="TableNormal"/>
    <w:uiPriority w:val="59"/>
    <w:rsid w:val="00B73EED"/>
    <w:pPr>
      <w:spacing w:after="0" w:line="240" w:lineRule="auto"/>
    </w:pPr>
    <w:rPr>
      <w:rFonts w:ascii="Times New Roman" w:eastAsia="Times New Roman" w:hAnsi="Times New Roman" w:cs="Traditional Arabic"/>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C63011"/>
    <w:rPr>
      <w:i/>
      <w:iCs/>
    </w:rPr>
  </w:style>
  <w:style w:type="character" w:customStyle="1" w:styleId="jlqj4b">
    <w:name w:val="jlqj4b"/>
    <w:basedOn w:val="DefaultParagraphFont"/>
    <w:rsid w:val="00336BD1"/>
  </w:style>
  <w:style w:type="paragraph" w:styleId="HTMLPreformatted">
    <w:name w:val="HTML Preformatted"/>
    <w:basedOn w:val="Normal"/>
    <w:link w:val="HTMLPreformattedChar"/>
    <w:uiPriority w:val="99"/>
    <w:semiHidden/>
    <w:unhideWhenUsed/>
    <w:rsid w:val="006D4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6D4570"/>
    <w:rPr>
      <w:rFonts w:ascii="Courier New" w:eastAsia="Times New Roman" w:hAnsi="Courier New" w:cs="Courier New"/>
      <w:sz w:val="20"/>
      <w:szCs w:val="20"/>
    </w:rPr>
  </w:style>
  <w:style w:type="character" w:customStyle="1" w:styleId="y2iqfc">
    <w:name w:val="y2iqfc"/>
    <w:basedOn w:val="DefaultParagraphFont"/>
    <w:rsid w:val="006D4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331907">
      <w:bodyDiv w:val="1"/>
      <w:marLeft w:val="0"/>
      <w:marRight w:val="0"/>
      <w:marTop w:val="0"/>
      <w:marBottom w:val="0"/>
      <w:divBdr>
        <w:top w:val="none" w:sz="0" w:space="0" w:color="auto"/>
        <w:left w:val="none" w:sz="0" w:space="0" w:color="auto"/>
        <w:bottom w:val="none" w:sz="0" w:space="0" w:color="auto"/>
        <w:right w:val="none" w:sz="0" w:space="0" w:color="auto"/>
      </w:divBdr>
    </w:div>
    <w:div w:id="486559170">
      <w:bodyDiv w:val="1"/>
      <w:marLeft w:val="0"/>
      <w:marRight w:val="0"/>
      <w:marTop w:val="0"/>
      <w:marBottom w:val="0"/>
      <w:divBdr>
        <w:top w:val="none" w:sz="0" w:space="0" w:color="auto"/>
        <w:left w:val="none" w:sz="0" w:space="0" w:color="auto"/>
        <w:bottom w:val="none" w:sz="0" w:space="0" w:color="auto"/>
        <w:right w:val="none" w:sz="0" w:space="0" w:color="auto"/>
      </w:divBdr>
    </w:div>
    <w:div w:id="934438289">
      <w:bodyDiv w:val="1"/>
      <w:marLeft w:val="0"/>
      <w:marRight w:val="0"/>
      <w:marTop w:val="0"/>
      <w:marBottom w:val="0"/>
      <w:divBdr>
        <w:top w:val="none" w:sz="0" w:space="0" w:color="auto"/>
        <w:left w:val="none" w:sz="0" w:space="0" w:color="auto"/>
        <w:bottom w:val="none" w:sz="0" w:space="0" w:color="auto"/>
        <w:right w:val="none" w:sz="0" w:space="0" w:color="auto"/>
      </w:divBdr>
    </w:div>
    <w:div w:id="10959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2207258237581"/>
          <c:y val="4.1278468329486687E-2"/>
          <c:w val="0.80987492345936063"/>
          <c:h val="0.67955528446268165"/>
        </c:manualLayout>
      </c:layout>
      <c:lineChart>
        <c:grouping val="stacked"/>
        <c:varyColors val="0"/>
        <c:ser>
          <c:idx val="1"/>
          <c:order val="0"/>
          <c:tx>
            <c:strRef>
              <c:f>Sheet1!$C$2</c:f>
              <c:strCache>
                <c:ptCount val="1"/>
                <c:pt idx="0">
                  <c:v>Column2</c:v>
                </c:pt>
              </c:strCache>
            </c:strRef>
          </c:tx>
          <c:dLbls>
            <c:dLbl>
              <c:idx val="0"/>
              <c:layout>
                <c:manualLayout>
                  <c:x val="-3.4571909026335376E-2"/>
                  <c:y val="-8.7719298245614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9AF-4BB5-BEC9-6E2A961D5F29}"/>
                </c:ext>
              </c:extLst>
            </c:dLbl>
            <c:dLbl>
              <c:idx val="16"/>
              <c:layout>
                <c:manualLayout>
                  <c:x val="-9.219776420421804E-3"/>
                  <c:y val="-0.1111111111111111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FB7-48C6-94E1-662EF4F36C09}"/>
                </c:ext>
              </c:extLst>
            </c:dLbl>
            <c:dLbl>
              <c:idx val="18"/>
              <c:layout>
                <c:manualLayout>
                  <c:x val="-1.1523969675445122E-2"/>
                  <c:y val="-8.771929824561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9AF-4BB5-BEC9-6E2A961D5F2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Sheet1!$A$3:$B$19</c:f>
              <c:multiLvlStrCache>
                <c:ptCount val="17"/>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lvl>
                <c:lvl>
                  <c:pt idx="0">
                    <c:v>2021</c:v>
                  </c:pt>
                  <c:pt idx="4">
                    <c:v>2022</c:v>
                  </c:pt>
                  <c:pt idx="8">
                    <c:v>2023</c:v>
                  </c:pt>
                  <c:pt idx="12">
                    <c:v>2024</c:v>
                  </c:pt>
                  <c:pt idx="16">
                    <c:v>2025</c:v>
                  </c:pt>
                </c:lvl>
              </c:multiLvlStrCache>
            </c:multiLvlStrRef>
          </c:cat>
          <c:val>
            <c:numRef>
              <c:f>Sheet1!$C$3:$C$19</c:f>
              <c:numCache>
                <c:formatCode>#,##0</c:formatCode>
                <c:ptCount val="17"/>
                <c:pt idx="0">
                  <c:v>3611.4</c:v>
                </c:pt>
                <c:pt idx="1">
                  <c:v>3735.7999999999997</c:v>
                </c:pt>
                <c:pt idx="2">
                  <c:v>3739.2</c:v>
                </c:pt>
                <c:pt idx="3">
                  <c:v>3935.3</c:v>
                </c:pt>
                <c:pt idx="4">
                  <c:v>3823.2</c:v>
                </c:pt>
                <c:pt idx="5">
                  <c:v>3867.6</c:v>
                </c:pt>
                <c:pt idx="6">
                  <c:v>3916</c:v>
                </c:pt>
                <c:pt idx="7">
                  <c:v>4028.2000000000003</c:v>
                </c:pt>
                <c:pt idx="8">
                  <c:v>3977.2000000000003</c:v>
                </c:pt>
                <c:pt idx="9">
                  <c:v>4007.7999999999997</c:v>
                </c:pt>
                <c:pt idx="10">
                  <c:v>4060.7</c:v>
                </c:pt>
                <c:pt idx="11">
                  <c:v>2877.6999999999994</c:v>
                </c:pt>
                <c:pt idx="12">
                  <c:v>2589.1999999999998</c:v>
                </c:pt>
                <c:pt idx="13">
                  <c:v>2712.8</c:v>
                </c:pt>
                <c:pt idx="14">
                  <c:v>2807.2999999999997</c:v>
                </c:pt>
                <c:pt idx="15">
                  <c:v>2850.3000000000011</c:v>
                </c:pt>
                <c:pt idx="16">
                  <c:v>2824.3</c:v>
                </c:pt>
              </c:numCache>
            </c:numRef>
          </c:val>
          <c:smooth val="0"/>
          <c:extLst>
            <c:ext xmlns:c16="http://schemas.microsoft.com/office/drawing/2014/chart" uri="{C3380CC4-5D6E-409C-BE32-E72D297353CC}">
              <c16:uniqueId val="{00000003-62A0-4535-BFB7-7C73800C5B32}"/>
            </c:ext>
          </c:extLst>
        </c:ser>
        <c:dLbls>
          <c:showLegendKey val="0"/>
          <c:showVal val="0"/>
          <c:showCatName val="0"/>
          <c:showSerName val="0"/>
          <c:showPercent val="0"/>
          <c:showBubbleSize val="0"/>
        </c:dLbls>
        <c:marker val="1"/>
        <c:smooth val="0"/>
        <c:axId val="90859776"/>
        <c:axId val="90864640"/>
      </c:lineChart>
      <c:catAx>
        <c:axId val="90859776"/>
        <c:scaling>
          <c:orientation val="minMax"/>
        </c:scaling>
        <c:delete val="0"/>
        <c:axPos val="b"/>
        <c:numFmt formatCode="General" sourceLinked="1"/>
        <c:majorTickMark val="out"/>
        <c:minorTickMark val="none"/>
        <c:tickLblPos val="nextTo"/>
        <c:txPr>
          <a:bodyPr rot="0" vert="horz"/>
          <a:lstStyle/>
          <a:p>
            <a:pPr rtl="0">
              <a:defRPr lang="ar-SA" sz="900">
                <a:latin typeface="Arial" pitchFamily="34" charset="0"/>
                <a:cs typeface="Arial" pitchFamily="34" charset="0"/>
              </a:defRPr>
            </a:pPr>
            <a:endParaRPr lang="en-US"/>
          </a:p>
        </c:txPr>
        <c:crossAx val="90864640"/>
        <c:crosses val="autoZero"/>
        <c:auto val="1"/>
        <c:lblAlgn val="ctr"/>
        <c:lblOffset val="100"/>
        <c:noMultiLvlLbl val="0"/>
      </c:catAx>
      <c:valAx>
        <c:axId val="90864640"/>
        <c:scaling>
          <c:orientation val="minMax"/>
          <c:max val="7000"/>
          <c:min val="0"/>
        </c:scaling>
        <c:delete val="0"/>
        <c:axPos val="l"/>
        <c:title>
          <c:tx>
            <c:rich>
              <a:bodyPr/>
              <a:lstStyle/>
              <a:p>
                <a:pPr>
                  <a:defRPr lang="ar-SA" sz="900">
                    <a:latin typeface="Arial" pitchFamily="34" charset="0"/>
                    <a:cs typeface="Arial" pitchFamily="34" charset="0"/>
                  </a:defRPr>
                </a:pPr>
                <a:r>
                  <a:rPr lang="en-US" sz="900" baseline="0">
                    <a:latin typeface="Arial" pitchFamily="34" charset="0"/>
                    <a:cs typeface="Arial" pitchFamily="34" charset="0"/>
                  </a:rPr>
                  <a:t>Million USD</a:t>
                </a:r>
                <a:endParaRPr lang="en-US" sz="900">
                  <a:latin typeface="Arial" pitchFamily="34" charset="0"/>
                  <a:cs typeface="Arial" pitchFamily="34" charset="0"/>
                </a:endParaRPr>
              </a:p>
            </c:rich>
          </c:tx>
          <c:layout/>
          <c:overlay val="0"/>
        </c:title>
        <c:numFmt formatCode="#,##0" sourceLinked="0"/>
        <c:majorTickMark val="out"/>
        <c:minorTickMark val="none"/>
        <c:tickLblPos val="nextTo"/>
        <c:txPr>
          <a:bodyPr/>
          <a:lstStyle/>
          <a:p>
            <a:pPr>
              <a:defRPr lang="ar-SA"/>
            </a:pPr>
            <a:endParaRPr lang="en-US"/>
          </a:p>
        </c:txPr>
        <c:crossAx val="90859776"/>
        <c:crossesAt val="1"/>
        <c:crossBetween val="between"/>
        <c:majorUnit val="1000"/>
      </c:valAx>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BB647-DAD6-432D-9CBC-7EE17EDF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1416</Words>
  <Characters>8114</Characters>
  <Application>Microsoft Office Word</Application>
  <DocSecurity>0</DocSecurity>
  <Lines>67</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aomar</dc:creator>
  <cp:lastModifiedBy>Ahmad  Omar</cp:lastModifiedBy>
  <cp:revision>12</cp:revision>
  <cp:lastPrinted>2025-07-07T11:33:00Z</cp:lastPrinted>
  <dcterms:created xsi:type="dcterms:W3CDTF">2024-06-25T06:00:00Z</dcterms:created>
  <dcterms:modified xsi:type="dcterms:W3CDTF">2025-07-09T07:33:00Z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4a994338458359b54aeed5c76c31df96a1636a9c2a1747ec81ad0d5bd64ec209</vt:lpwstr>
  </property>
</Properties>
</file>