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06" w:rsidRPr="00297E85" w:rsidRDefault="008F7C8A" w:rsidP="004C0A08">
      <w:pPr>
        <w:bidi/>
        <w:rPr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rtl/>
        </w:rPr>
        <w:t xml:space="preserve"> </w:t>
      </w:r>
      <w:r w:rsidR="00BB705A" w:rsidRPr="00297E85">
        <w:rPr>
          <w:b w:val="0"/>
          <w:bCs/>
          <w:i w:val="0"/>
          <w:iCs/>
          <w:rtl/>
        </w:rPr>
        <w:tab/>
      </w:r>
    </w:p>
    <w:p w:rsidR="00FA1467" w:rsidRDefault="00FA1467" w:rsidP="00FA1467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</w:p>
    <w:p w:rsidR="00FA1467" w:rsidRDefault="00FA1467" w:rsidP="00FA1467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FA1467" w:rsidRDefault="00FA1467" w:rsidP="00FA1467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1317C2" w:rsidRDefault="001317C2" w:rsidP="001317C2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</w:p>
    <w:p w:rsidR="00A82991" w:rsidRDefault="00A82991" w:rsidP="00A82991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2A2AEE">
        <w:rPr>
          <w:rFonts w:asciiTheme="majorBidi" w:hAnsiTheme="majorBidi" w:cstheme="majorBidi"/>
          <w:i w:val="0"/>
          <w:iCs/>
          <w:sz w:val="28"/>
          <w:szCs w:val="28"/>
        </w:rPr>
        <w:t xml:space="preserve">A sharp decline </w:t>
      </w:r>
      <w:r w:rsidRPr="002249E9">
        <w:rPr>
          <w:rFonts w:asciiTheme="majorBidi" w:hAnsiTheme="majorBidi" w:cstheme="majorBidi"/>
          <w:i w:val="0"/>
          <w:iCs/>
          <w:sz w:val="28"/>
          <w:szCs w:val="28"/>
        </w:rPr>
        <w:t>in the net current transfers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during the Fourth quarter of 2023 is attributed to the ongoing Israeli aggression on West Bank and </w:t>
      </w:r>
    </w:p>
    <w:p w:rsidR="00A82991" w:rsidRPr="002249E9" w:rsidRDefault="00A82991" w:rsidP="00A82991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>Gaza Strip</w:t>
      </w:r>
    </w:p>
    <w:p w:rsidR="00D539E6" w:rsidRPr="00297E85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bookmarkStart w:id="0" w:name="_GoBack"/>
      <w:bookmarkEnd w:id="0"/>
    </w:p>
    <w:p w:rsidR="00BB2DD0" w:rsidRPr="001317C2" w:rsidRDefault="00D8421E" w:rsidP="004215CC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317C2">
        <w:rPr>
          <w:rFonts w:asciiTheme="majorBidi" w:hAnsiTheme="majorBidi" w:cstheme="majorBidi"/>
          <w:sz w:val="26"/>
          <w:szCs w:val="26"/>
        </w:rPr>
        <w:t xml:space="preserve">The Palestinian Central Bureau of Statistics (PCBS) and the Palestine Monetary Authority (PMA) announced the preliminary results of the Palestinian Balance of Payments (BoP) for the </w:t>
      </w:r>
      <w:r w:rsidR="004215CC" w:rsidRPr="001317C2">
        <w:rPr>
          <w:rFonts w:asciiTheme="majorBidi" w:hAnsiTheme="majorBidi" w:cstheme="majorBidi"/>
          <w:sz w:val="26"/>
          <w:szCs w:val="26"/>
        </w:rPr>
        <w:t>fourth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Pr="001317C2">
        <w:rPr>
          <w:rFonts w:asciiTheme="majorBidi" w:hAnsiTheme="majorBidi" w:cstheme="majorBidi"/>
          <w:sz w:val="26"/>
          <w:szCs w:val="26"/>
        </w:rPr>
        <w:t xml:space="preserve">quarter of </w:t>
      </w:r>
      <w:r w:rsidR="00560CAB" w:rsidRPr="001317C2">
        <w:rPr>
          <w:rFonts w:asciiTheme="majorBidi" w:hAnsiTheme="majorBidi" w:cstheme="majorBidi"/>
          <w:sz w:val="26"/>
          <w:szCs w:val="26"/>
        </w:rPr>
        <w:t>2023</w:t>
      </w:r>
      <w:r w:rsidRPr="001317C2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1317C2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1317C2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1317C2">
        <w:rPr>
          <w:rFonts w:asciiTheme="majorBidi" w:hAnsiTheme="majorBidi" w:cstheme="majorBidi"/>
          <w:sz w:val="26"/>
          <w:szCs w:val="26"/>
        </w:rPr>
        <w:t>those</w:t>
      </w:r>
      <w:r w:rsidR="007E6926" w:rsidRPr="001317C2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1317C2">
        <w:rPr>
          <w:rFonts w:asciiTheme="majorBidi" w:hAnsiTheme="majorBidi" w:cstheme="majorBidi"/>
          <w:sz w:val="26"/>
          <w:szCs w:val="26"/>
        </w:rPr>
        <w:t>s</w:t>
      </w:r>
      <w:r w:rsidR="007E6926" w:rsidRPr="001317C2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1317C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1317C2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1317C2">
        <w:rPr>
          <w:rFonts w:asciiTheme="majorBidi" w:hAnsiTheme="majorBidi" w:cstheme="majorBidi"/>
          <w:sz w:val="26"/>
          <w:szCs w:val="26"/>
        </w:rPr>
        <w:t>were</w:t>
      </w:r>
      <w:r w:rsidR="007E6926" w:rsidRPr="001317C2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1317C2">
        <w:rPr>
          <w:rFonts w:asciiTheme="majorBidi" w:hAnsiTheme="majorBidi" w:cstheme="majorBidi"/>
          <w:sz w:val="26"/>
          <w:szCs w:val="26"/>
        </w:rPr>
        <w:t>i</w:t>
      </w:r>
      <w:r w:rsidR="007E6926" w:rsidRPr="001317C2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1317C2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FD7FA8" w:rsidRPr="001317C2" w:rsidRDefault="002A2AEE" w:rsidP="002A2AEE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1317C2">
        <w:rPr>
          <w:rFonts w:asciiTheme="majorBidi" w:hAnsiTheme="majorBidi" w:cstheme="majorBidi"/>
          <w:sz w:val="26"/>
          <w:szCs w:val="26"/>
          <w:lang w:val="en-GB"/>
        </w:rPr>
        <w:t xml:space="preserve">Preliminary data for the balance of payments in the fourth quarter of 2023 indicate a continued deficit in the current account (goods, services, income, and current transfers), amounting to </w:t>
      </w:r>
      <w:r w:rsidRPr="001317C2">
        <w:rPr>
          <w:rFonts w:asciiTheme="majorBidi" w:hAnsiTheme="majorBidi" w:cstheme="majorBidi"/>
          <w:sz w:val="26"/>
          <w:szCs w:val="26"/>
        </w:rPr>
        <w:t xml:space="preserve">USD </w:t>
      </w:r>
      <w:r w:rsidRPr="001317C2">
        <w:rPr>
          <w:rFonts w:asciiTheme="majorBidi" w:hAnsiTheme="majorBidi" w:cstheme="majorBidi"/>
          <w:sz w:val="26"/>
          <w:szCs w:val="26"/>
          <w:lang w:val="en-GB"/>
        </w:rPr>
        <w:t>1.105 billion. This represents an increase of 108% compared to the previous quarter. This surge in the deficit is primarily attributed to the ongoing Israeli occupation aggression and its repercussions on the West Bank.</w:t>
      </w:r>
    </w:p>
    <w:p w:rsidR="002A2AEE" w:rsidRPr="001317C2" w:rsidRDefault="002A2AEE" w:rsidP="002A2AEE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9812F7" w:rsidRPr="001317C2" w:rsidRDefault="002A2AEE" w:rsidP="002A2AEE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1317C2">
        <w:rPr>
          <w:rFonts w:asciiTheme="majorBidi" w:hAnsiTheme="majorBidi" w:cstheme="majorBidi"/>
          <w:sz w:val="26"/>
          <w:szCs w:val="26"/>
        </w:rPr>
        <w:t>The data indicates a decrease in the net income account during the fourth quarter of 2023, by 93% compared to the previous quarter, reaching USD 83 million. Meanwhile, foreign investment income amounted to USD 48 million, primarily resulting from interest earned on Palestinian deposits in foreign banks.</w:t>
      </w:r>
    </w:p>
    <w:p w:rsidR="002A2AEE" w:rsidRPr="001317C2" w:rsidRDefault="002A2AEE" w:rsidP="002A2AEE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</w:p>
    <w:p w:rsidR="00107AC2" w:rsidRPr="001317C2" w:rsidRDefault="00107AC2" w:rsidP="00E40AB8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317C2">
        <w:rPr>
          <w:rFonts w:asciiTheme="majorBidi" w:hAnsiTheme="majorBidi" w:cstheme="majorBidi"/>
          <w:b/>
          <w:iCs/>
          <w:sz w:val="26"/>
          <w:szCs w:val="26"/>
        </w:rPr>
        <w:t>A decrease of 49% was recorded in the net current transfers from abroad to other sectors (non-governmental) during the fourth quarter of 2023 compared to the previous quarter.</w:t>
      </w:r>
    </w:p>
    <w:p w:rsidR="00E40AB8" w:rsidRPr="001317C2" w:rsidRDefault="00107AC2" w:rsidP="00107AC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317C2">
        <w:rPr>
          <w:rFonts w:asciiTheme="majorBidi" w:hAnsiTheme="majorBidi" w:cstheme="majorBidi"/>
          <w:sz w:val="26"/>
          <w:szCs w:val="26"/>
        </w:rPr>
        <w:t xml:space="preserve">The data indicates a 48% decrease in the net current transfers, reaching USD 316 million. This decline is primarily attributed to the ongoing Israeli occupation aggression against Gaza </w:t>
      </w:r>
      <w:r w:rsidR="00B8100F" w:rsidRPr="001317C2">
        <w:rPr>
          <w:rFonts w:asciiTheme="majorBidi" w:hAnsiTheme="majorBidi" w:cstheme="majorBidi"/>
          <w:sz w:val="26"/>
          <w:szCs w:val="26"/>
        </w:rPr>
        <w:t xml:space="preserve">Strip </w:t>
      </w:r>
      <w:r w:rsidRPr="001317C2">
        <w:rPr>
          <w:rFonts w:asciiTheme="majorBidi" w:hAnsiTheme="majorBidi" w:cstheme="majorBidi"/>
          <w:sz w:val="26"/>
          <w:szCs w:val="26"/>
        </w:rPr>
        <w:t>and the West Bank, significantly affecting the financial and economic activities in the region. It is noted that current transfers to the government sector accounted for only 18% of the total current transfers from abroad, while transfers to other sectors constituted 82%. It is worth mentioning that donor transfers represented only about 23% of the total current transfers from abroad.</w:t>
      </w:r>
    </w:p>
    <w:p w:rsidR="00107AC2" w:rsidRPr="001317C2" w:rsidRDefault="00107AC2" w:rsidP="00107AC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86174" w:rsidRPr="001317C2" w:rsidRDefault="00E007BE" w:rsidP="00E816F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317C2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1317C2">
        <w:rPr>
          <w:rFonts w:asciiTheme="majorBidi" w:hAnsiTheme="majorBidi" w:cstheme="majorBidi"/>
          <w:sz w:val="26"/>
          <w:szCs w:val="26"/>
        </w:rPr>
        <w:t>preliminary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Pr="001317C2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1317C2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1317C2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1317C2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1317C2">
        <w:rPr>
          <w:rFonts w:asciiTheme="majorBidi" w:hAnsiTheme="majorBidi" w:cstheme="majorBidi"/>
          <w:sz w:val="26"/>
          <w:szCs w:val="26"/>
        </w:rPr>
        <w:t>ed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317C2">
        <w:rPr>
          <w:rFonts w:asciiTheme="majorBidi" w:hAnsiTheme="majorBidi" w:cstheme="majorBidi"/>
          <w:sz w:val="26"/>
          <w:szCs w:val="26"/>
        </w:rPr>
        <w:t xml:space="preserve">to USD </w:t>
      </w:r>
      <w:r w:rsidR="00E816FB" w:rsidRPr="001317C2">
        <w:rPr>
          <w:rFonts w:asciiTheme="majorBidi" w:hAnsiTheme="majorBidi" w:cstheme="majorBidi" w:hint="cs"/>
          <w:sz w:val="26"/>
          <w:szCs w:val="26"/>
          <w:rtl/>
        </w:rPr>
        <w:t>892</w:t>
      </w:r>
      <w:r w:rsidR="00024CA3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1317C2">
        <w:rPr>
          <w:rFonts w:asciiTheme="majorBidi" w:hAnsiTheme="majorBidi" w:cstheme="majorBidi"/>
          <w:sz w:val="26"/>
          <w:szCs w:val="26"/>
        </w:rPr>
        <w:t>million</w:t>
      </w:r>
      <w:r w:rsidR="0017537B" w:rsidRPr="001317C2">
        <w:rPr>
          <w:rFonts w:asciiTheme="majorBidi" w:hAnsiTheme="majorBidi" w:cstheme="majorBidi"/>
          <w:sz w:val="26"/>
          <w:szCs w:val="26"/>
        </w:rPr>
        <w:t>,</w:t>
      </w:r>
      <w:r w:rsidR="00024CA3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1317C2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1317C2">
        <w:rPr>
          <w:rFonts w:asciiTheme="majorBidi" w:hAnsiTheme="majorBidi" w:cstheme="majorBidi"/>
          <w:sz w:val="26"/>
          <w:szCs w:val="26"/>
        </w:rPr>
        <w:t>Financial</w:t>
      </w:r>
      <w:r w:rsidR="00BF4821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1317C2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E816FB" w:rsidRPr="001317C2">
        <w:rPr>
          <w:rFonts w:asciiTheme="majorBidi" w:hAnsiTheme="majorBidi" w:cstheme="majorBidi" w:hint="cs"/>
          <w:sz w:val="26"/>
          <w:szCs w:val="26"/>
          <w:rtl/>
        </w:rPr>
        <w:t>761</w:t>
      </w:r>
      <w:r w:rsidR="00F17FD5" w:rsidRPr="001317C2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1317C2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1317C2">
        <w:rPr>
          <w:rFonts w:asciiTheme="majorBidi" w:hAnsiTheme="majorBidi" w:cstheme="majorBidi"/>
          <w:sz w:val="26"/>
          <w:szCs w:val="26"/>
        </w:rPr>
        <w:t xml:space="preserve">There </w:t>
      </w:r>
      <w:r w:rsidRPr="001317C2">
        <w:rPr>
          <w:rFonts w:asciiTheme="majorBidi" w:hAnsiTheme="majorBidi" w:cstheme="majorBidi"/>
          <w:sz w:val="26"/>
          <w:szCs w:val="26"/>
        </w:rPr>
        <w:t>was a</w:t>
      </w:r>
      <w:r w:rsidR="00560CAB" w:rsidRPr="001317C2">
        <w:rPr>
          <w:rFonts w:asciiTheme="majorBidi" w:hAnsiTheme="majorBidi" w:cstheme="majorBidi"/>
          <w:sz w:val="26"/>
          <w:szCs w:val="26"/>
        </w:rPr>
        <w:t>n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1317C2">
        <w:rPr>
          <w:rFonts w:asciiTheme="majorBidi" w:hAnsiTheme="majorBidi" w:cstheme="majorBidi"/>
          <w:sz w:val="26"/>
          <w:szCs w:val="26"/>
        </w:rPr>
        <w:t>in</w:t>
      </w:r>
      <w:r w:rsidR="00BC6532" w:rsidRPr="001317C2">
        <w:rPr>
          <w:rFonts w:asciiTheme="majorBidi" w:hAnsiTheme="majorBidi" w:cstheme="majorBidi"/>
          <w:sz w:val="26"/>
          <w:szCs w:val="26"/>
        </w:rPr>
        <w:t>crease</w:t>
      </w:r>
      <w:r w:rsidR="00013A84" w:rsidRPr="001317C2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1317C2">
        <w:rPr>
          <w:rFonts w:asciiTheme="majorBidi" w:hAnsiTheme="majorBidi" w:cstheme="majorBidi"/>
          <w:sz w:val="26"/>
          <w:szCs w:val="26"/>
        </w:rPr>
        <w:t>r</w:t>
      </w:r>
      <w:r w:rsidR="001862D7" w:rsidRPr="001317C2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1317C2">
        <w:rPr>
          <w:rFonts w:asciiTheme="majorBidi" w:hAnsiTheme="majorBidi" w:cstheme="majorBidi"/>
          <w:sz w:val="26"/>
          <w:szCs w:val="26"/>
        </w:rPr>
        <w:t>a</w:t>
      </w:r>
      <w:r w:rsidR="001862D7" w:rsidRPr="001317C2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1317C2">
        <w:rPr>
          <w:rFonts w:asciiTheme="majorBidi" w:hAnsiTheme="majorBidi" w:cstheme="majorBidi"/>
          <w:sz w:val="26"/>
          <w:szCs w:val="26"/>
        </w:rPr>
        <w:t>at PMA</w:t>
      </w:r>
      <w:r w:rsidR="006239FE" w:rsidRPr="001317C2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1317C2">
        <w:rPr>
          <w:rFonts w:asciiTheme="majorBidi" w:hAnsiTheme="majorBidi" w:cstheme="majorBidi"/>
          <w:sz w:val="26"/>
          <w:szCs w:val="26"/>
        </w:rPr>
        <w:t>ed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317C2">
        <w:rPr>
          <w:rFonts w:asciiTheme="majorBidi" w:hAnsiTheme="majorBidi" w:cstheme="majorBidi"/>
          <w:sz w:val="26"/>
          <w:szCs w:val="26"/>
        </w:rPr>
        <w:t>to USD</w:t>
      </w:r>
      <w:r w:rsidR="00024CA3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4E55BF" w:rsidRPr="001317C2">
        <w:rPr>
          <w:rFonts w:asciiTheme="majorBidi" w:hAnsiTheme="majorBidi" w:cstheme="majorBidi" w:hint="cs"/>
          <w:sz w:val="26"/>
          <w:szCs w:val="26"/>
          <w:rtl/>
        </w:rPr>
        <w:t>85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317C2">
        <w:rPr>
          <w:rFonts w:asciiTheme="majorBidi" w:hAnsiTheme="majorBidi" w:cstheme="majorBidi"/>
          <w:sz w:val="26"/>
          <w:szCs w:val="26"/>
        </w:rPr>
        <w:t>million</w:t>
      </w:r>
      <w:r w:rsidR="000C156F" w:rsidRPr="001317C2">
        <w:rPr>
          <w:rFonts w:asciiTheme="majorBidi" w:hAnsiTheme="majorBidi" w:cstheme="majorBidi"/>
          <w:sz w:val="26"/>
          <w:szCs w:val="26"/>
        </w:rPr>
        <w:t>,</w:t>
      </w:r>
      <w:r w:rsidR="0061614B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1317C2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1317C2">
        <w:rPr>
          <w:rFonts w:asciiTheme="majorBidi" w:hAnsiTheme="majorBidi" w:cstheme="majorBidi"/>
          <w:sz w:val="26"/>
          <w:szCs w:val="26"/>
        </w:rPr>
        <w:t>a</w:t>
      </w:r>
      <w:r w:rsidR="00360EA9" w:rsidRPr="001317C2">
        <w:rPr>
          <w:rFonts w:asciiTheme="majorBidi" w:hAnsiTheme="majorBidi" w:cstheme="majorBidi"/>
          <w:sz w:val="26"/>
          <w:szCs w:val="26"/>
        </w:rPr>
        <w:t>n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360EA9" w:rsidRPr="001317C2">
        <w:rPr>
          <w:rFonts w:asciiTheme="majorBidi" w:hAnsiTheme="majorBidi" w:cstheme="majorBidi"/>
          <w:sz w:val="26"/>
          <w:szCs w:val="26"/>
        </w:rPr>
        <w:t>in</w:t>
      </w:r>
      <w:r w:rsidR="003D5B8B" w:rsidRPr="001317C2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1317C2">
        <w:rPr>
          <w:rFonts w:asciiTheme="majorBidi" w:hAnsiTheme="majorBidi" w:cstheme="majorBidi"/>
          <w:sz w:val="26"/>
          <w:szCs w:val="26"/>
        </w:rPr>
        <w:t>of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1317C2">
        <w:rPr>
          <w:rFonts w:asciiTheme="majorBidi" w:hAnsiTheme="majorBidi" w:cstheme="majorBidi"/>
          <w:sz w:val="26"/>
          <w:szCs w:val="26"/>
        </w:rPr>
        <w:t>USD</w:t>
      </w:r>
      <w:r w:rsidR="00024CA3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4E55BF" w:rsidRPr="001317C2">
        <w:rPr>
          <w:rFonts w:asciiTheme="majorBidi" w:hAnsiTheme="majorBidi" w:cstheme="majorBidi" w:hint="cs"/>
          <w:sz w:val="26"/>
          <w:szCs w:val="26"/>
          <w:rtl/>
        </w:rPr>
        <w:t>23</w:t>
      </w:r>
      <w:r w:rsidR="004E55BF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1317C2">
        <w:rPr>
          <w:rFonts w:asciiTheme="majorBidi" w:hAnsiTheme="majorBidi" w:cstheme="majorBidi"/>
          <w:sz w:val="26"/>
          <w:szCs w:val="26"/>
        </w:rPr>
        <w:t>million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1317C2">
        <w:rPr>
          <w:rFonts w:asciiTheme="majorBidi" w:hAnsiTheme="majorBidi" w:cstheme="majorBidi"/>
          <w:sz w:val="26"/>
          <w:szCs w:val="26"/>
        </w:rPr>
        <w:t>in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Pr="001317C2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1317C2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1317C2">
        <w:rPr>
          <w:rFonts w:asciiTheme="majorBidi" w:hAnsiTheme="majorBidi" w:cstheme="majorBidi"/>
          <w:sz w:val="26"/>
          <w:szCs w:val="26"/>
        </w:rPr>
        <w:t>.</w:t>
      </w:r>
    </w:p>
    <w:p w:rsidR="00591A90" w:rsidRPr="001317C2" w:rsidRDefault="00591A90" w:rsidP="00591A90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F8270B" w:rsidRPr="001317C2" w:rsidRDefault="00F8270B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D1601" w:rsidRDefault="003F586E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317C2">
        <w:rPr>
          <w:rFonts w:asciiTheme="majorBidi" w:hAnsiTheme="majorBidi" w:cstheme="majorBidi"/>
          <w:sz w:val="26"/>
          <w:szCs w:val="26"/>
        </w:rPr>
        <w:lastRenderedPageBreak/>
        <w:t>It is worth mentioning that t</w:t>
      </w:r>
      <w:r w:rsidR="00F2693C" w:rsidRPr="001317C2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1317C2">
        <w:rPr>
          <w:rFonts w:asciiTheme="majorBidi" w:hAnsiTheme="majorBidi" w:cstheme="majorBidi"/>
          <w:sz w:val="26"/>
          <w:szCs w:val="26"/>
        </w:rPr>
        <w:t>ts (B</w:t>
      </w:r>
      <w:r w:rsidR="00C5265D" w:rsidRPr="001317C2">
        <w:rPr>
          <w:rFonts w:asciiTheme="majorBidi" w:hAnsiTheme="majorBidi" w:cstheme="majorBidi"/>
          <w:sz w:val="26"/>
          <w:szCs w:val="26"/>
        </w:rPr>
        <w:t>o</w:t>
      </w:r>
      <w:r w:rsidR="003D6FF3" w:rsidRPr="001317C2">
        <w:rPr>
          <w:rFonts w:asciiTheme="majorBidi" w:hAnsiTheme="majorBidi" w:cstheme="majorBidi"/>
          <w:sz w:val="26"/>
          <w:szCs w:val="26"/>
        </w:rPr>
        <w:t xml:space="preserve">P) </w:t>
      </w:r>
      <w:r w:rsidR="003D6FF3" w:rsidRPr="001317C2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1317C2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1317C2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1317C2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1317C2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1317C2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1317C2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1317C2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1317C2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1317C2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1317C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1317C2">
        <w:rPr>
          <w:rFonts w:asciiTheme="majorBidi" w:hAnsiTheme="majorBidi" w:cstheme="majorBidi"/>
          <w:sz w:val="26"/>
          <w:szCs w:val="26"/>
        </w:rPr>
        <w:t>This</w:t>
      </w:r>
      <w:r w:rsidR="000042EC" w:rsidRPr="001317C2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317C2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1317C2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1317C2">
        <w:rPr>
          <w:rFonts w:asciiTheme="majorBidi" w:hAnsiTheme="majorBidi" w:cstheme="majorBidi"/>
          <w:sz w:val="26"/>
          <w:szCs w:val="26"/>
        </w:rPr>
        <w:t>to devise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317C2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1317C2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1317C2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1317C2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1317C2">
        <w:rPr>
          <w:rFonts w:asciiTheme="majorBidi" w:hAnsiTheme="majorBidi" w:cstheme="majorBidi"/>
          <w:sz w:val="26"/>
          <w:szCs w:val="26"/>
        </w:rPr>
        <w:t>external</w:t>
      </w:r>
      <w:r w:rsidR="00E16D50" w:rsidRPr="001317C2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1317C2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1317C2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1317C2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1317C2">
        <w:rPr>
          <w:rFonts w:asciiTheme="majorBidi" w:hAnsiTheme="majorBidi" w:cstheme="majorBidi"/>
          <w:sz w:val="26"/>
          <w:szCs w:val="26"/>
        </w:rPr>
        <w:t>. B</w:t>
      </w:r>
      <w:r w:rsidR="00C5265D" w:rsidRPr="001317C2">
        <w:rPr>
          <w:rFonts w:asciiTheme="majorBidi" w:hAnsiTheme="majorBidi" w:cstheme="majorBidi"/>
          <w:sz w:val="26"/>
          <w:szCs w:val="26"/>
        </w:rPr>
        <w:t>o</w:t>
      </w:r>
      <w:r w:rsidR="00F60F15" w:rsidRPr="001317C2">
        <w:rPr>
          <w:rFonts w:asciiTheme="majorBidi" w:hAnsiTheme="majorBidi" w:cstheme="majorBidi"/>
          <w:sz w:val="26"/>
          <w:szCs w:val="26"/>
        </w:rPr>
        <w:t>P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1317C2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1317C2">
        <w:rPr>
          <w:rFonts w:asciiTheme="majorBidi" w:hAnsiTheme="majorBidi" w:cstheme="majorBidi"/>
          <w:sz w:val="26"/>
          <w:szCs w:val="26"/>
        </w:rPr>
        <w:t>was</w:t>
      </w:r>
      <w:r w:rsidR="00F60F15" w:rsidRPr="001317C2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1317C2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1317C2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1317C2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1317C2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1317C2">
        <w:rPr>
          <w:rFonts w:asciiTheme="majorBidi" w:hAnsiTheme="majorBidi" w:cstheme="majorBidi"/>
          <w:sz w:val="26"/>
          <w:szCs w:val="26"/>
        </w:rPr>
        <w:t>situation</w:t>
      </w:r>
      <w:r w:rsidR="00613DED" w:rsidRPr="001317C2">
        <w:rPr>
          <w:rFonts w:asciiTheme="majorBidi" w:hAnsiTheme="majorBidi" w:cstheme="majorBidi"/>
          <w:sz w:val="26"/>
          <w:szCs w:val="26"/>
        </w:rPr>
        <w:t>.</w:t>
      </w: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66686" w:rsidRDefault="00166686" w:rsidP="00166686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317C2" w:rsidRDefault="001317C2" w:rsidP="001317C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317C2" w:rsidRDefault="001317C2" w:rsidP="001317C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317C2" w:rsidRDefault="001317C2" w:rsidP="001317C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545F69" w:rsidRPr="001317C2" w:rsidRDefault="00545F69" w:rsidP="00545F69">
      <w:pPr>
        <w:pStyle w:val="Footer"/>
        <w:rPr>
          <w:i w:val="0"/>
          <w:iCs/>
          <w:sz w:val="22"/>
          <w:szCs w:val="22"/>
        </w:rPr>
      </w:pPr>
      <w:r w:rsidRPr="001317C2">
        <w:rPr>
          <w:rFonts w:asciiTheme="majorBidi" w:hAnsiTheme="majorBidi" w:cstheme="majorBidi"/>
          <w:i w:val="0"/>
          <w:iCs/>
          <w:sz w:val="22"/>
          <w:szCs w:val="22"/>
        </w:rPr>
        <w:t>Issued on: 20/05/2024</w:t>
      </w: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317C2" w:rsidRDefault="001317C2" w:rsidP="001317C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1317C2" w:rsidRPr="001317C2" w:rsidRDefault="001317C2" w:rsidP="001317C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267CB" w:rsidRDefault="004267CB" w:rsidP="004267CB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45F69" w:rsidRDefault="00545F69" w:rsidP="00545F6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297E85" w:rsidTr="000818C0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297E85" w:rsidRDefault="00B578D2" w:rsidP="004215CC">
            <w:pPr>
              <w:jc w:val="center"/>
              <w:rPr>
                <w:rFonts w:ascii="Arial" w:hAnsi="Arial" w:cs="Arial"/>
                <w:bCs/>
                <w:i w:val="0"/>
              </w:rPr>
            </w:pPr>
            <w:r w:rsidRPr="00297E85">
              <w:rPr>
                <w:rFonts w:ascii="Arial" w:hAnsi="Arial" w:cs="Arial"/>
                <w:bCs/>
                <w:i w:val="0"/>
                <w:sz w:val="22"/>
                <w:szCs w:val="22"/>
              </w:rPr>
              <w:lastRenderedPageBreak/>
              <w:t xml:space="preserve">Table 1: Balance of Payments In Palestine* for the </w:t>
            </w:r>
            <w:r w:rsidR="004215CC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third </w:t>
            </w:r>
            <w:r w:rsidR="00560CA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and the </w:t>
            </w:r>
            <w:r w:rsidR="004215CC">
              <w:rPr>
                <w:rFonts w:ascii="Arial" w:hAnsi="Arial" w:cs="Arial"/>
                <w:bCs/>
                <w:i w:val="0"/>
                <w:sz w:val="22"/>
                <w:szCs w:val="22"/>
              </w:rPr>
              <w:t>fourth</w:t>
            </w:r>
            <w:r w:rsidR="00560CA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quarter 2023</w:t>
            </w:r>
          </w:p>
        </w:tc>
      </w:tr>
    </w:tbl>
    <w:p w:rsidR="00B769D0" w:rsidRPr="00297E85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7522" w:type="dxa"/>
        <w:jc w:val="center"/>
        <w:tblLook w:val="04A0" w:firstRow="1" w:lastRow="0" w:firstColumn="1" w:lastColumn="0" w:noHBand="0" w:noVBand="1"/>
      </w:tblPr>
      <w:tblGrid>
        <w:gridCol w:w="5237"/>
        <w:gridCol w:w="1099"/>
        <w:gridCol w:w="1186"/>
      </w:tblGrid>
      <w:tr w:rsidR="00297E85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1317C2" w:rsidRDefault="0058621D" w:rsidP="0058621D">
            <w:pPr>
              <w:rPr>
                <w:rFonts w:asciiTheme="minorBidi" w:hAnsiTheme="minorBidi" w:cstheme="minorBidi"/>
                <w:i w:val="0"/>
                <w:iCs/>
              </w:rPr>
            </w:pPr>
            <w:r w:rsidRPr="001317C2">
              <w:rPr>
                <w:rFonts w:asciiTheme="minorBidi" w:hAnsiTheme="minorBidi" w:cstheme="minorBidi"/>
                <w:i w:val="0"/>
                <w:iCs/>
                <w:sz w:val="22"/>
                <w:szCs w:val="22"/>
              </w:rPr>
              <w:t>(Value in million USD)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297E85" w:rsidRDefault="0058621D" w:rsidP="0058621D">
            <w:pP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297E85" w:rsidRDefault="0058621D" w:rsidP="0058621D">
            <w:pP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jc w:val="center"/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sz w:val="18"/>
                <w:szCs w:val="18"/>
              </w:rPr>
              <w:t>Indicator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bidi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3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 xml:space="preserve">- 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2023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bidi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4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 xml:space="preserve">- 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</w:rPr>
              <w:t>2023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1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Current account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-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530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0E2A47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-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1,</w:t>
            </w:r>
            <w:r w:rsidR="000E2A47">
              <w:rPr>
                <w:rFonts w:cs="Simplified Arabic"/>
                <w:bCs/>
                <w:i w:val="0"/>
                <w:sz w:val="20"/>
                <w:szCs w:val="20"/>
              </w:rPr>
              <w:t>105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1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Goods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-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2</w:t>
            </w: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,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000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-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1</w:t>
            </w: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,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306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Exports (fob)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679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509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Imports (fob)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i w:val="0"/>
                <w:sz w:val="20"/>
                <w:szCs w:val="20"/>
              </w:rPr>
              <w:t>2,</w:t>
            </w:r>
            <w:r>
              <w:rPr>
                <w:rFonts w:cs="Simplified Arabic"/>
                <w:b w:val="0"/>
                <w:i w:val="0"/>
                <w:sz w:val="20"/>
                <w:szCs w:val="20"/>
              </w:rPr>
              <w:t>679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</w:t>
            </w:r>
            <w:r w:rsidRPr="00456C49">
              <w:rPr>
                <w:rFonts w:cs="Simplified Arabic"/>
                <w:b w:val="0"/>
                <w:i w:val="0"/>
                <w:sz w:val="20"/>
                <w:szCs w:val="20"/>
              </w:rPr>
              <w:t>,</w:t>
            </w:r>
            <w:r>
              <w:rPr>
                <w:rFonts w:cs="Simplified Arabic"/>
                <w:b w:val="0"/>
                <w:i w:val="0"/>
                <w:sz w:val="20"/>
                <w:szCs w:val="20"/>
              </w:rPr>
              <w:t>815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1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Services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-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317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  <w:r w:rsidRPr="00456C49">
              <w:rPr>
                <w:rFonts w:cs="Simplified Arabic"/>
                <w:bCs/>
                <w:i w:val="0"/>
                <w:sz w:val="20"/>
                <w:szCs w:val="20"/>
              </w:rPr>
              <w:t>-</w:t>
            </w:r>
            <w:r>
              <w:rPr>
                <w:rFonts w:cs="Simplified Arabic"/>
                <w:bCs/>
                <w:i w:val="0"/>
                <w:sz w:val="20"/>
                <w:szCs w:val="20"/>
              </w:rPr>
              <w:t>198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Exports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237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177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Imports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554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375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1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 xml:space="preserve">  Income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1,182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83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Receipts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1,207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140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Compensation of employees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1,097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  <w:rtl/>
              </w:rPr>
            </w:pPr>
            <w:r>
              <w:rPr>
                <w:rFonts w:cs="Simplified Arabic" w:hint="cs"/>
                <w:b w:val="0"/>
                <w:i w:val="0"/>
                <w:sz w:val="20"/>
                <w:szCs w:val="20"/>
                <w:rtl/>
              </w:rPr>
              <w:t>92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 Of which from Israel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iCs/>
                <w:sz w:val="20"/>
                <w:szCs w:val="20"/>
              </w:rPr>
              <w:t>1,084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iCs/>
                <w:sz w:val="20"/>
                <w:szCs w:val="20"/>
              </w:rPr>
              <w:t>79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 Investment income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110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48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Payments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25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57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1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 Current transfers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605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316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Inflows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715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370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 To the government sector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114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65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of which from Donors transfers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48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60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  To the other sectors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601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305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         of which from Donors transfers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Cs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iCs/>
                <w:sz w:val="20"/>
                <w:szCs w:val="20"/>
              </w:rPr>
              <w:t>25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Cs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iCs/>
                <w:sz w:val="20"/>
                <w:szCs w:val="20"/>
              </w:rPr>
              <w:t>25</w:t>
            </w:r>
          </w:p>
        </w:tc>
      </w:tr>
      <w:tr w:rsidR="007079B1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="Arial" w:hAnsi="Arial" w:cs="Arial"/>
                <w:b w:val="0"/>
                <w:bCs/>
                <w:i w:val="0"/>
                <w:iCs/>
                <w:sz w:val="18"/>
                <w:szCs w:val="18"/>
              </w:rPr>
              <w:t xml:space="preserve">    Outflows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110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B1" w:rsidRPr="00456C49" w:rsidRDefault="007079B1" w:rsidP="007079B1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54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Capital and financial account (net)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320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892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Capital account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107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</w:rPr>
            </w:pPr>
            <w:r>
              <w:rPr>
                <w:rFonts w:cs="Simplified Arabic"/>
                <w:bCs/>
                <w:i w:val="0"/>
                <w:sz w:val="20"/>
                <w:szCs w:val="20"/>
              </w:rPr>
              <w:t>131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Capital transfers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107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131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Inflows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107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131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   To the government sector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37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77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    of which from Donors transfers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iCs/>
                <w:sz w:val="20"/>
                <w:szCs w:val="20"/>
              </w:rPr>
              <w:t>37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iCs/>
                <w:sz w:val="20"/>
                <w:szCs w:val="20"/>
              </w:rPr>
              <w:t>77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   To the other sectors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70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/>
                <w:b w:val="0"/>
                <w:i w:val="0"/>
                <w:sz w:val="20"/>
                <w:szCs w:val="20"/>
              </w:rPr>
              <w:t>54</w:t>
            </w:r>
          </w:p>
        </w:tc>
      </w:tr>
      <w:tr w:rsidR="00B4498B" w:rsidRPr="00297E85" w:rsidTr="00160692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 Outflows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i w:val="0"/>
                <w:sz w:val="20"/>
                <w:szCs w:val="20"/>
              </w:rPr>
              <w:t>0</w:t>
            </w:r>
          </w:p>
        </w:tc>
      </w:tr>
      <w:tr w:rsidR="00B4498B" w:rsidRPr="00297E85" w:rsidTr="00160692">
        <w:trPr>
          <w:trHeight w:val="337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8B" w:rsidRPr="00297E85" w:rsidRDefault="00B4498B" w:rsidP="00B4498B">
            <w:pPr>
              <w:ind w:left="295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Acquisition / disposal of non-Produced, non-financial assets non-financial assets (net)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 w:hint="cs"/>
                <w:b w:val="0"/>
                <w:i w:val="0"/>
                <w:sz w:val="20"/>
                <w:szCs w:val="20"/>
                <w:rtl/>
              </w:rPr>
              <w:t>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i w:val="0"/>
                <w:sz w:val="20"/>
                <w:szCs w:val="20"/>
              </w:rPr>
            </w:pPr>
            <w:r>
              <w:rPr>
                <w:rFonts w:cs="Simplified Arabic" w:hint="cs"/>
                <w:b w:val="0"/>
                <w:i w:val="0"/>
                <w:sz w:val="20"/>
                <w:szCs w:val="20"/>
                <w:rtl/>
              </w:rPr>
              <w:t>0</w:t>
            </w:r>
          </w:p>
        </w:tc>
      </w:tr>
    </w:tbl>
    <w:p w:rsidR="00295C09" w:rsidRPr="00297E85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0E04F8" w:rsidRDefault="000E04F8" w:rsidP="000E04F8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0E04F8" w:rsidRDefault="000E04F8" w:rsidP="000E04F8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0E04F8" w:rsidRDefault="000E04F8" w:rsidP="000E04F8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0E04F8" w:rsidRDefault="000E04F8" w:rsidP="000E04F8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0E04F8" w:rsidRDefault="000E04F8" w:rsidP="000E04F8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297E85" w:rsidRPr="00297E85" w:rsidTr="00021DB6">
        <w:trPr>
          <w:trHeight w:val="379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8D2" w:rsidRPr="00297E85" w:rsidRDefault="00B578D2" w:rsidP="00021DB6">
            <w:pPr>
              <w:bidi/>
              <w:rPr>
                <w:rFonts w:cs="Simplified Arabic"/>
                <w:bCs/>
                <w:i w:val="0"/>
              </w:rPr>
            </w:pPr>
          </w:p>
        </w:tc>
      </w:tr>
      <w:tr w:rsidR="00B578D2" w:rsidRPr="00297E85" w:rsidTr="00021DB6">
        <w:trPr>
          <w:trHeight w:val="36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F69" w:rsidRDefault="00B578D2" w:rsidP="005D4F61">
            <w:pPr>
              <w:jc w:val="center"/>
              <w:rPr>
                <w:rFonts w:ascii="Arial" w:hAnsi="Arial" w:cs="Arial"/>
                <w:bCs/>
                <w:i w:val="0"/>
              </w:rPr>
            </w:pPr>
            <w:r w:rsidRPr="00297E85">
              <w:rPr>
                <w:rFonts w:ascii="Arial" w:hAnsi="Arial" w:cs="Arial"/>
                <w:bCs/>
                <w:i w:val="0"/>
                <w:sz w:val="22"/>
                <w:szCs w:val="22"/>
              </w:rPr>
              <w:lastRenderedPageBreak/>
              <w:t xml:space="preserve">Table 1 (Cont.): Balance of Payments In Palestine* </w:t>
            </w:r>
            <w:r w:rsidR="00515BEE" w:rsidRPr="00297E85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for the </w:t>
            </w:r>
            <w:r w:rsidR="004215CC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third </w:t>
            </w:r>
            <w:r w:rsidR="00560CAB">
              <w:rPr>
                <w:rFonts w:ascii="Arial" w:hAnsi="Arial" w:cs="Arial"/>
                <w:bCs/>
                <w:i w:val="0"/>
                <w:sz w:val="22"/>
                <w:szCs w:val="22"/>
              </w:rPr>
              <w:t>and the</w:t>
            </w:r>
          </w:p>
          <w:p w:rsidR="00B578D2" w:rsidRPr="00297E85" w:rsidRDefault="00560CAB" w:rsidP="005D4F61">
            <w:pPr>
              <w:jc w:val="center"/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</w:t>
            </w:r>
            <w:r w:rsidR="004215CC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fourth </w:t>
            </w:r>
            <w:r>
              <w:rPr>
                <w:rFonts w:ascii="Arial" w:hAnsi="Arial" w:cs="Arial"/>
                <w:bCs/>
                <w:i w:val="0"/>
                <w:sz w:val="22"/>
                <w:szCs w:val="22"/>
              </w:rPr>
              <w:t>quarter 2023</w:t>
            </w:r>
          </w:p>
        </w:tc>
      </w:tr>
    </w:tbl>
    <w:p w:rsidR="00BB40CB" w:rsidRPr="00297E85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7064" w:type="dxa"/>
        <w:jc w:val="center"/>
        <w:tblLook w:val="04A0" w:firstRow="1" w:lastRow="0" w:firstColumn="1" w:lastColumn="0" w:noHBand="0" w:noVBand="1"/>
      </w:tblPr>
      <w:tblGrid>
        <w:gridCol w:w="4973"/>
        <w:gridCol w:w="1002"/>
        <w:gridCol w:w="1089"/>
      </w:tblGrid>
      <w:tr w:rsidR="00297E85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1317C2" w:rsidRDefault="0058621D" w:rsidP="0058621D">
            <w:pPr>
              <w:rPr>
                <w:rFonts w:ascii="Arial" w:hAnsi="Arial" w:cs="Arial"/>
                <w:i w:val="0"/>
                <w:iCs/>
              </w:rPr>
            </w:pPr>
            <w:r w:rsidRPr="001317C2">
              <w:rPr>
                <w:rFonts w:ascii="Arial" w:hAnsi="Arial" w:cs="Arial"/>
                <w:i w:val="0"/>
                <w:iCs/>
                <w:sz w:val="22"/>
                <w:szCs w:val="22"/>
              </w:rPr>
              <w:t>(Value in million USD)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21D" w:rsidRPr="00297E85" w:rsidRDefault="0058621D" w:rsidP="0058621D">
            <w:pPr>
              <w:rPr>
                <w:rFonts w:asciiTheme="majorBidi" w:hAnsiTheme="majorBidi" w:cstheme="majorBidi"/>
                <w:b w:val="0"/>
                <w:i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21D" w:rsidRPr="00297E85" w:rsidRDefault="0058621D" w:rsidP="0058621D">
            <w:pPr>
              <w:rPr>
                <w:rFonts w:asciiTheme="majorBidi" w:hAnsiTheme="majorBidi" w:cstheme="majorBidi"/>
                <w:b w:val="0"/>
                <w:i w:val="0"/>
                <w:sz w:val="18"/>
                <w:szCs w:val="18"/>
              </w:rPr>
            </w:pPr>
          </w:p>
        </w:tc>
      </w:tr>
      <w:tr w:rsidR="007079B1" w:rsidRPr="00297E85" w:rsidTr="00F140D0">
        <w:trPr>
          <w:trHeight w:val="64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jc w:val="center"/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Indicator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B1" w:rsidRPr="00297E85" w:rsidRDefault="007079B1" w:rsidP="007079B1">
            <w:pPr>
              <w:bidi/>
              <w:ind w:firstLineChars="9" w:firstLine="16"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  <w:rtl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3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B1" w:rsidRPr="00297E85" w:rsidRDefault="007079B1" w:rsidP="007079B1">
            <w:pPr>
              <w:bidi/>
              <w:ind w:firstLineChars="9" w:firstLine="16"/>
              <w:jc w:val="center"/>
              <w:rPr>
                <w:rFonts w:asciiTheme="minorBidi" w:hAnsiTheme="minorBidi" w:cstheme="minorBidi"/>
                <w:bCs/>
                <w:i w:val="0"/>
                <w:sz w:val="18"/>
                <w:szCs w:val="18"/>
                <w:rtl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Q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4</w:t>
            </w:r>
            <w:r w:rsidRPr="00297E85"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Theme="minorBidi" w:hAnsiTheme="minorBidi" w:cstheme="minorBidi"/>
                <w:bCs/>
                <w:i w:val="0"/>
                <w:sz w:val="18"/>
                <w:szCs w:val="18"/>
                <w:lang w:val="en-GB"/>
              </w:rPr>
              <w:t>2023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Financial account (net)**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i w:val="0"/>
                <w:iCs/>
                <w:sz w:val="20"/>
                <w:szCs w:val="20"/>
              </w:rPr>
              <w:t>213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i w:val="0"/>
                <w:iCs/>
                <w:sz w:val="20"/>
                <w:szCs w:val="20"/>
              </w:rPr>
              <w:t>761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  Foreign Direct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i w:val="0"/>
                <w:iCs/>
                <w:sz w:val="20"/>
                <w:szCs w:val="20"/>
              </w:rPr>
              <w:t>-18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i w:val="0"/>
                <w:iCs/>
                <w:sz w:val="20"/>
                <w:szCs w:val="20"/>
              </w:rPr>
              <w:t>47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investment abroad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0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investment in Palestine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-18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47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  Foreign  Portfolio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 w:rsidRPr="00456C49">
              <w:rPr>
                <w:rFonts w:cs="Simplified Arabic"/>
                <w:i w:val="0"/>
                <w:iCs/>
                <w:sz w:val="20"/>
                <w:szCs w:val="20"/>
              </w:rPr>
              <w:t>-</w:t>
            </w:r>
            <w:r>
              <w:rPr>
                <w:rFonts w:cs="Simplified Arabic"/>
                <w:i w:val="0"/>
                <w:iCs/>
                <w:sz w:val="20"/>
                <w:szCs w:val="20"/>
              </w:rPr>
              <w:t>52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 w:rsidRPr="00456C49">
              <w:rPr>
                <w:rFonts w:cs="Simplified Arabic"/>
                <w:i w:val="0"/>
                <w:iCs/>
                <w:sz w:val="20"/>
                <w:szCs w:val="20"/>
              </w:rPr>
              <w:t>-</w:t>
            </w:r>
            <w:r>
              <w:rPr>
                <w:rFonts w:cs="Simplified Arabic"/>
                <w:i w:val="0"/>
                <w:iCs/>
                <w:sz w:val="20"/>
                <w:szCs w:val="20"/>
              </w:rPr>
              <w:t>155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A82EDA" w:rsidRDefault="00B4498B" w:rsidP="00B4498B">
            <w:pPr>
              <w:bidi/>
              <w:ind w:firstLineChars="100" w:firstLine="200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7E22D4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 w:rsidRPr="007E22D4"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-</w:t>
            </w: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115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-56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-40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 xml:space="preserve">     Foreign Other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i w:val="0"/>
                <w:iCs/>
                <w:sz w:val="20"/>
                <w:szCs w:val="20"/>
              </w:rPr>
              <w:t>306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i w:val="0"/>
                <w:iCs/>
                <w:sz w:val="20"/>
                <w:szCs w:val="20"/>
              </w:rPr>
              <w:t>954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294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945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Of which Currency and deposits***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 w:hint="cs"/>
                <w:i w:val="0"/>
                <w:iCs/>
                <w:sz w:val="20"/>
                <w:szCs w:val="20"/>
                <w:rtl/>
              </w:rPr>
              <w:t>351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98B" w:rsidRPr="007E22D4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sz w:val="20"/>
                <w:szCs w:val="20"/>
              </w:rPr>
            </w:pPr>
            <w:r w:rsidRPr="007E22D4">
              <w:rPr>
                <w:rFonts w:cs="Simplified Arabic"/>
                <w:b w:val="0"/>
                <w:bCs/>
                <w:sz w:val="20"/>
                <w:szCs w:val="20"/>
              </w:rPr>
              <w:t>1,</w:t>
            </w:r>
            <w:r>
              <w:rPr>
                <w:rFonts w:cs="Simplified Arabic"/>
                <w:b w:val="0"/>
                <w:bCs/>
                <w:sz w:val="20"/>
                <w:szCs w:val="20"/>
              </w:rPr>
              <w:t>238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9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Of which Loans nonresidents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bCs/>
                <w:sz w:val="20"/>
                <w:szCs w:val="20"/>
              </w:rPr>
              <w:t>-</w:t>
            </w:r>
            <w:r>
              <w:rPr>
                <w:rFonts w:cs="Simplified Arabic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sz w:val="20"/>
                <w:szCs w:val="20"/>
              </w:rPr>
            </w:pPr>
            <w:r>
              <w:rPr>
                <w:rFonts w:cs="Simplified Arabic"/>
                <w:b w:val="0"/>
                <w:bCs/>
                <w:sz w:val="20"/>
                <w:szCs w:val="20"/>
              </w:rPr>
              <w:t>15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sz w:val="18"/>
                <w:szCs w:val="18"/>
              </w:rPr>
              <w:t xml:space="preserve">            Of which Currency and deposits****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A82EDA" w:rsidRDefault="00B4498B" w:rsidP="00B4498B">
            <w:pPr>
              <w:bidi/>
              <w:ind w:firstLineChars="100" w:firstLine="200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 w:hint="cs"/>
                <w:i w:val="0"/>
                <w:iCs/>
                <w:sz w:val="20"/>
                <w:szCs w:val="20"/>
                <w:rtl/>
              </w:rPr>
              <w:t>14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F47FF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sz w:val="20"/>
                <w:szCs w:val="20"/>
              </w:rPr>
            </w:pPr>
            <w:r w:rsidRPr="002F47FF">
              <w:rPr>
                <w:rFonts w:cs="Simplified Arabic"/>
                <w:b w:val="0"/>
                <w:bCs/>
                <w:sz w:val="20"/>
                <w:szCs w:val="20"/>
              </w:rPr>
              <w:t>-8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Net errors and omissions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DE4B63" w:rsidRDefault="00B4498B" w:rsidP="00B4498B">
            <w:pPr>
              <w:bidi/>
              <w:ind w:firstLineChars="100" w:firstLine="201"/>
              <w:rPr>
                <w:rFonts w:cs="Simplified Arabic"/>
                <w:b w:val="0"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 w:val="0"/>
                <w:bCs/>
                <w:sz w:val="20"/>
                <w:szCs w:val="20"/>
                <w:rtl/>
              </w:rPr>
              <w:t>210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98B" w:rsidRPr="002F47FF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i w:val="0"/>
                <w:iCs/>
                <w:sz w:val="20"/>
                <w:szCs w:val="20"/>
              </w:rPr>
              <w:t>213</w:t>
            </w:r>
          </w:p>
        </w:tc>
      </w:tr>
      <w:tr w:rsidR="00B4498B" w:rsidRPr="00297E85" w:rsidTr="00F140D0">
        <w:trPr>
          <w:trHeight w:val="406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Overall balance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85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 xml:space="preserve">Financing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 w:rsidRPr="00456C49"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-</w:t>
            </w: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  <w:rtl/>
              </w:rPr>
            </w:pPr>
            <w:r w:rsidRPr="00456C49"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-</w:t>
            </w:r>
            <w:r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85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  <w:t>Exceptional financing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0"/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</w:pPr>
            <w:r w:rsidRPr="00456C49">
              <w:rPr>
                <w:rFonts w:cs="Simplified Arabic"/>
                <w:b w:val="0"/>
                <w:bCs/>
                <w:i w:val="0"/>
                <w:iCs/>
                <w:sz w:val="20"/>
                <w:szCs w:val="20"/>
              </w:rPr>
              <w:t>0</w:t>
            </w:r>
          </w:p>
        </w:tc>
      </w:tr>
      <w:tr w:rsidR="00B4498B" w:rsidRPr="00297E85" w:rsidTr="00F140D0">
        <w:trPr>
          <w:trHeight w:val="330"/>
          <w:jc w:val="center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B" w:rsidRPr="00297E85" w:rsidRDefault="00B4498B" w:rsidP="00B4498B">
            <w:pPr>
              <w:rPr>
                <w:rFonts w:asciiTheme="minorBidi" w:hAnsiTheme="minorBidi" w:cstheme="minorBidi"/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rFonts w:asciiTheme="minorBidi" w:hAnsiTheme="minorBidi" w:cstheme="minorBidi"/>
                <w:bCs/>
                <w:i w:val="0"/>
                <w:iCs/>
                <w:sz w:val="18"/>
                <w:szCs w:val="18"/>
              </w:rPr>
              <w:t>Change in Reserve assets (- = Increase/+= decrease)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 w:rsidRPr="00456C49">
              <w:rPr>
                <w:rFonts w:cs="Simplified Arabic"/>
                <w:i w:val="0"/>
                <w:iCs/>
                <w:sz w:val="20"/>
                <w:szCs w:val="20"/>
              </w:rPr>
              <w:t>-</w:t>
            </w:r>
            <w:r>
              <w:rPr>
                <w:rFonts w:cs="Simplified Arabic"/>
                <w:i w:val="0"/>
                <w:iCs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8B" w:rsidRPr="00456C49" w:rsidRDefault="00B4498B" w:rsidP="00B4498B">
            <w:pPr>
              <w:bidi/>
              <w:ind w:firstLineChars="100" w:firstLine="201"/>
              <w:rPr>
                <w:rFonts w:cs="Simplified Arabic"/>
                <w:i w:val="0"/>
                <w:iCs/>
                <w:sz w:val="20"/>
                <w:szCs w:val="20"/>
                <w:rtl/>
              </w:rPr>
            </w:pPr>
            <w:r w:rsidRPr="00456C49">
              <w:rPr>
                <w:rFonts w:cs="Simplified Arabic"/>
                <w:i w:val="0"/>
                <w:iCs/>
                <w:sz w:val="20"/>
                <w:szCs w:val="20"/>
              </w:rPr>
              <w:t>-</w:t>
            </w:r>
            <w:r>
              <w:rPr>
                <w:rFonts w:cs="Simplified Arabic"/>
                <w:i w:val="0"/>
                <w:iCs/>
                <w:sz w:val="20"/>
                <w:szCs w:val="20"/>
              </w:rPr>
              <w:t>85</w:t>
            </w:r>
          </w:p>
        </w:tc>
      </w:tr>
    </w:tbl>
    <w:p w:rsidR="00021DB6" w:rsidRPr="00297E85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7541" w:type="dxa"/>
        <w:jc w:val="center"/>
        <w:tblLayout w:type="fixed"/>
        <w:tblLook w:val="0000" w:firstRow="0" w:lastRow="0" w:firstColumn="0" w:lastColumn="0" w:noHBand="0" w:noVBand="0"/>
      </w:tblPr>
      <w:tblGrid>
        <w:gridCol w:w="7541"/>
      </w:tblGrid>
      <w:tr w:rsidR="00297E85" w:rsidRPr="00297E85" w:rsidTr="00327CC3">
        <w:trPr>
          <w:trHeight w:val="594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327CC3">
            <w:pPr>
              <w:pStyle w:val="FootnoteText"/>
              <w:rPr>
                <w:b w:val="0"/>
                <w:bCs/>
                <w:i w:val="0"/>
                <w:iCs/>
                <w:noProof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noProof/>
                <w:sz w:val="18"/>
                <w:szCs w:val="18"/>
              </w:rPr>
              <w:t>*The data excludes those part of Jerusalem which were annexed by Israeli occupation in 1967.</w:t>
            </w:r>
          </w:p>
        </w:tc>
      </w:tr>
      <w:tr w:rsidR="00297E85" w:rsidRPr="00297E85" w:rsidTr="00327CC3">
        <w:trPr>
          <w:trHeight w:val="288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327CC3">
            <w:pPr>
              <w:ind w:left="24" w:hanging="24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>** Include reserve assets.</w:t>
            </w:r>
          </w:p>
        </w:tc>
      </w:tr>
      <w:tr w:rsidR="00297E85" w:rsidRPr="00297E85" w:rsidTr="00327CC3">
        <w:trPr>
          <w:trHeight w:val="288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C916C6">
            <w:pPr>
              <w:ind w:left="27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 xml:space="preserve">***Currency and deposits: Including the cash of foreign currency in the banks and the deposits </w:t>
            </w:r>
          </w:p>
          <w:p w:rsidR="00327CC3" w:rsidRPr="00297E85" w:rsidRDefault="00327CC3" w:rsidP="00C916C6">
            <w:pPr>
              <w:ind w:left="27"/>
              <w:jc w:val="lowKashida"/>
              <w:rPr>
                <w:b w:val="0"/>
                <w:bCs/>
                <w:i w:val="0"/>
                <w:iCs/>
                <w:sz w:val="18"/>
                <w:szCs w:val="18"/>
                <w:rtl/>
                <w:lang w:val="en-GB"/>
              </w:rPr>
            </w:pPr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>of the Palestinian institutions deposited abroad.</w:t>
            </w:r>
          </w:p>
        </w:tc>
      </w:tr>
      <w:tr w:rsidR="00327CC3" w:rsidRPr="00297E85" w:rsidTr="00327CC3">
        <w:trPr>
          <w:trHeight w:val="340"/>
          <w:jc w:val="center"/>
        </w:trPr>
        <w:tc>
          <w:tcPr>
            <w:tcW w:w="9836" w:type="dxa"/>
            <w:vAlign w:val="center"/>
          </w:tcPr>
          <w:p w:rsidR="00327CC3" w:rsidRPr="00297E85" w:rsidRDefault="00327CC3" w:rsidP="00A234E7">
            <w:pPr>
              <w:ind w:left="27" w:right="209"/>
              <w:jc w:val="lowKashida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297E85">
              <w:rPr>
                <w:b w:val="0"/>
                <w:bCs/>
                <w:i w:val="0"/>
                <w:iCs/>
                <w:sz w:val="18"/>
                <w:szCs w:val="18"/>
              </w:rPr>
              <w:t>****Currency and deposits: Includes the deposits of non-residents deposited in Local banks.</w:t>
            </w:r>
          </w:p>
        </w:tc>
      </w:tr>
    </w:tbl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RPr="00297E85" w:rsidSect="00132B7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BD" w:rsidRDefault="00132BBD" w:rsidP="00885BEC">
      <w:r>
        <w:separator/>
      </w:r>
    </w:p>
  </w:endnote>
  <w:endnote w:type="continuationSeparator" w:id="0">
    <w:p w:rsidR="00132BBD" w:rsidRDefault="00132BBD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BD" w:rsidRDefault="00132BBD" w:rsidP="00885BEC">
      <w:r>
        <w:separator/>
      </w:r>
    </w:p>
  </w:footnote>
  <w:footnote w:type="continuationSeparator" w:id="0">
    <w:p w:rsidR="00132BBD" w:rsidRDefault="00132BBD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8AD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04F8"/>
    <w:rsid w:val="000E2A47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07AC2"/>
    <w:rsid w:val="0011133D"/>
    <w:rsid w:val="0011238A"/>
    <w:rsid w:val="00122B0F"/>
    <w:rsid w:val="001243F4"/>
    <w:rsid w:val="00124431"/>
    <w:rsid w:val="00126E34"/>
    <w:rsid w:val="00127CA6"/>
    <w:rsid w:val="00130495"/>
    <w:rsid w:val="001317C2"/>
    <w:rsid w:val="00132B71"/>
    <w:rsid w:val="00132BBD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692"/>
    <w:rsid w:val="001609E2"/>
    <w:rsid w:val="00161954"/>
    <w:rsid w:val="00162E38"/>
    <w:rsid w:val="00166686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A7542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1CA0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475C9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AEE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0EA9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3F7C5F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15CC"/>
    <w:rsid w:val="0042254C"/>
    <w:rsid w:val="004246CA"/>
    <w:rsid w:val="004267CB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06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3944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205"/>
    <w:rsid w:val="004D1601"/>
    <w:rsid w:val="004D31DC"/>
    <w:rsid w:val="004D5A71"/>
    <w:rsid w:val="004E120D"/>
    <w:rsid w:val="004E2CDA"/>
    <w:rsid w:val="004E3896"/>
    <w:rsid w:val="004E55BF"/>
    <w:rsid w:val="004E625A"/>
    <w:rsid w:val="004F052B"/>
    <w:rsid w:val="004F0D99"/>
    <w:rsid w:val="004F1498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45F69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4F61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079B1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6A5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75C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250"/>
    <w:rsid w:val="008F6F10"/>
    <w:rsid w:val="008F7C8A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43C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991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4498B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100F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0A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3A0"/>
    <w:rsid w:val="00C92770"/>
    <w:rsid w:val="00C9485F"/>
    <w:rsid w:val="00C95F13"/>
    <w:rsid w:val="00C973BB"/>
    <w:rsid w:val="00CA0BCF"/>
    <w:rsid w:val="00CA131A"/>
    <w:rsid w:val="00CA323C"/>
    <w:rsid w:val="00CA332B"/>
    <w:rsid w:val="00CA33C3"/>
    <w:rsid w:val="00CA3918"/>
    <w:rsid w:val="00CA3989"/>
    <w:rsid w:val="00CA642A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0AB8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816FB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467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5A2"/>
    <w:rsid w:val="00FC2F0B"/>
    <w:rsid w:val="00FD4E2D"/>
    <w:rsid w:val="00FD50F5"/>
    <w:rsid w:val="00FD5154"/>
    <w:rsid w:val="00FD574D"/>
    <w:rsid w:val="00FD7FA8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43F7-0C0A-4F7E-8E56-6AF026E0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LOAY SHEHADEH</cp:lastModifiedBy>
  <cp:revision>169</cp:revision>
  <cp:lastPrinted>2024-05-13T06:24:00Z</cp:lastPrinted>
  <dcterms:created xsi:type="dcterms:W3CDTF">2019-06-20T12:10:00Z</dcterms:created>
  <dcterms:modified xsi:type="dcterms:W3CDTF">2024-05-15T08:10:00Z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