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E4" w:rsidRDefault="00E13FE4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54A0" w:rsidRDefault="001F54A0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54A0" w:rsidRPr="00CF67B2" w:rsidRDefault="001F54A0" w:rsidP="00CF67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A0" w:rsidRDefault="001F54A0" w:rsidP="005E78B3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A0" w:rsidRDefault="001F54A0" w:rsidP="001F54A0">
      <w:pPr>
        <w:pStyle w:val="Heading1"/>
        <w:jc w:val="center"/>
        <w:rPr>
          <w:rFonts w:eastAsia="Times New Roman"/>
          <w:sz w:val="32"/>
          <w:szCs w:val="32"/>
        </w:rPr>
      </w:pPr>
    </w:p>
    <w:p w:rsidR="001F54A0" w:rsidRPr="001F54A0" w:rsidRDefault="001F54A0" w:rsidP="001F54A0">
      <w:pPr>
        <w:pStyle w:val="Heading1"/>
        <w:jc w:val="center"/>
        <w:rPr>
          <w:rFonts w:eastAsia="Times New Roman"/>
          <w:sz w:val="32"/>
          <w:szCs w:val="32"/>
        </w:rPr>
      </w:pPr>
      <w:r w:rsidRPr="001F54A0">
        <w:rPr>
          <w:rFonts w:eastAsia="Times New Roman"/>
          <w:sz w:val="32"/>
          <w:szCs w:val="32"/>
        </w:rPr>
        <w:t>Palestinian Central Bureau of Statistics (PCBS)</w:t>
      </w:r>
    </w:p>
    <w:p w:rsidR="001F54A0" w:rsidRPr="000F1EFD" w:rsidRDefault="001F54A0" w:rsidP="001F54A0">
      <w:pPr>
        <w:pStyle w:val="Heading1"/>
        <w:jc w:val="center"/>
        <w:rPr>
          <w:rFonts w:eastAsia="Times New Roman"/>
          <w:b w:val="0"/>
          <w:bCs w:val="0"/>
          <w:sz w:val="16"/>
          <w:szCs w:val="16"/>
          <w:rtl/>
        </w:rPr>
      </w:pPr>
    </w:p>
    <w:p w:rsidR="001F54A0" w:rsidRPr="001F54A0" w:rsidRDefault="001F54A0" w:rsidP="001F54A0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F54A0">
        <w:rPr>
          <w:rFonts w:ascii="Times New Roman" w:hAnsi="Times New Roman"/>
          <w:b/>
          <w:bCs/>
          <w:sz w:val="28"/>
          <w:szCs w:val="28"/>
        </w:rPr>
        <w:t>Palestinian Producer Price Index,</w:t>
      </w:r>
      <w:r w:rsidRPr="001F54A0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 w:rsidRPr="001F54A0">
        <w:rPr>
          <w:rFonts w:ascii="Times New Roman" w:hAnsi="Times New Roman"/>
          <w:b/>
          <w:bCs/>
          <w:sz w:val="28"/>
          <w:szCs w:val="28"/>
        </w:rPr>
        <w:t xml:space="preserve"> ,11/2017</w:t>
      </w:r>
    </w:p>
    <w:p w:rsidR="001F54A0" w:rsidRPr="001F54A0" w:rsidRDefault="001F54A0" w:rsidP="001F54A0">
      <w:pPr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54A0" w:rsidRPr="001F54A0" w:rsidRDefault="001F54A0" w:rsidP="005E78B3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E13FE4" w:rsidRPr="001F54A0" w:rsidRDefault="005E78B3" w:rsidP="005E78B3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5"/>
          <w:szCs w:val="25"/>
        </w:rPr>
      </w:pPr>
      <w:r w:rsidRPr="001F54A0">
        <w:rPr>
          <w:rFonts w:ascii="Times New Roman" w:hAnsi="Times New Roman" w:cs="Times New Roman"/>
          <w:b/>
          <w:bCs/>
          <w:sz w:val="25"/>
          <w:szCs w:val="25"/>
        </w:rPr>
        <w:t>De</w:t>
      </w:r>
      <w:r w:rsidR="00E13FE4" w:rsidRPr="001F54A0">
        <w:rPr>
          <w:rFonts w:ascii="Times New Roman" w:hAnsi="Times New Roman" w:cs="Times New Roman"/>
          <w:b/>
          <w:bCs/>
          <w:sz w:val="25"/>
          <w:szCs w:val="25"/>
        </w:rPr>
        <w:t>crease in the Producer Price</w:t>
      </w:r>
      <w:r w:rsidR="00AC54F7" w:rsidRPr="001F54A0">
        <w:rPr>
          <w:rStyle w:val="FootnoteReference"/>
          <w:rFonts w:ascii="Times New Roman" w:hAnsi="Times New Roman" w:cs="Times New Roman"/>
          <w:b/>
          <w:bCs/>
          <w:sz w:val="25"/>
          <w:szCs w:val="25"/>
        </w:rPr>
        <w:footnoteReference w:id="1"/>
      </w:r>
      <w:r w:rsidR="00E13FE4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Index during </w:t>
      </w:r>
      <w:r w:rsidRPr="001F54A0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E13FE4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E13FE4" w:rsidRPr="00CF67B2" w:rsidRDefault="00E13FE4" w:rsidP="005E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B2">
        <w:rPr>
          <w:rFonts w:ascii="Times New Roman" w:hAnsi="Times New Roman" w:cs="Times New Roman"/>
          <w:sz w:val="24"/>
          <w:szCs w:val="24"/>
        </w:rPr>
        <w:t xml:space="preserve">The overall Producer Price Index (PPI) for  Palestine with its base month (December 2015=100) reached </w:t>
      </w:r>
      <w:r w:rsidR="005E78B3">
        <w:rPr>
          <w:rFonts w:ascii="Times New Roman" w:hAnsi="Times New Roman" w:cs="Times New Roman"/>
          <w:sz w:val="24"/>
          <w:szCs w:val="24"/>
        </w:rPr>
        <w:t xml:space="preserve">99.48 </w:t>
      </w:r>
      <w:r w:rsidR="00B25F02" w:rsidRPr="00CF67B2">
        <w:rPr>
          <w:rFonts w:ascii="Times New Roman" w:hAnsi="Times New Roman" w:cs="Times New Roman"/>
          <w:sz w:val="24"/>
          <w:szCs w:val="24"/>
        </w:rPr>
        <w:t xml:space="preserve">in </w:t>
      </w:r>
      <w:r w:rsidR="005E78B3">
        <w:rPr>
          <w:rFonts w:ascii="Times New Roman" w:hAnsi="Times New Roman" w:cs="Times New Roman"/>
          <w:sz w:val="24"/>
          <w:szCs w:val="24"/>
        </w:rPr>
        <w:t>November</w:t>
      </w:r>
      <w:r w:rsidR="00CB681B">
        <w:rPr>
          <w:rFonts w:ascii="Times New Roman" w:hAnsi="Times New Roman" w:cs="Times New Roman"/>
          <w:sz w:val="24"/>
          <w:szCs w:val="24"/>
        </w:rPr>
        <w:t xml:space="preserve"> 2017, as it </w:t>
      </w:r>
      <w:r w:rsidR="005E78B3">
        <w:rPr>
          <w:rFonts w:ascii="Times New Roman" w:hAnsi="Times New Roman" w:cs="Times New Roman"/>
          <w:sz w:val="24"/>
          <w:szCs w:val="24"/>
        </w:rPr>
        <w:t>de</w:t>
      </w:r>
      <w:r w:rsidRPr="00CF67B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5E78B3">
        <w:rPr>
          <w:rFonts w:ascii="Times New Roman" w:hAnsi="Times New Roman" w:cs="Times New Roman"/>
          <w:sz w:val="24"/>
          <w:szCs w:val="24"/>
        </w:rPr>
        <w:t>1.98</w:t>
      </w:r>
      <w:r w:rsidRPr="00CF67B2">
        <w:rPr>
          <w:rFonts w:ascii="Times New Roman" w:hAnsi="Times New Roman" w:cs="Times New Roman"/>
          <w:sz w:val="24"/>
          <w:szCs w:val="24"/>
        </w:rPr>
        <w:t xml:space="preserve">% compared to </w:t>
      </w:r>
      <w:r w:rsidR="005E78B3">
        <w:rPr>
          <w:rFonts w:ascii="Times New Roman" w:hAnsi="Times New Roman" w:cs="Times New Roman"/>
          <w:sz w:val="24"/>
          <w:szCs w:val="24"/>
        </w:rPr>
        <w:t>October</w:t>
      </w:r>
      <w:r w:rsidR="000E2F3A">
        <w:rPr>
          <w:rFonts w:ascii="Times New Roman" w:hAnsi="Times New Roman" w:cs="Times New Roman"/>
          <w:sz w:val="24"/>
          <w:szCs w:val="24"/>
        </w:rPr>
        <w:t xml:space="preserve"> </w:t>
      </w:r>
      <w:r w:rsidRPr="00CF67B2">
        <w:rPr>
          <w:rFonts w:ascii="Times New Roman" w:hAnsi="Times New Roman" w:cs="Times New Roman"/>
          <w:sz w:val="24"/>
          <w:szCs w:val="24"/>
        </w:rPr>
        <w:t>2017.</w:t>
      </w:r>
    </w:p>
    <w:p w:rsidR="00E13FE4" w:rsidRPr="001F54A0" w:rsidRDefault="00E13FE4" w:rsidP="00CF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3FE4" w:rsidRPr="00CF67B2" w:rsidRDefault="00E13FE4" w:rsidP="005E78B3">
      <w:pPr>
        <w:pStyle w:val="BodyText2"/>
        <w:bidi w:val="0"/>
        <w:spacing w:after="0" w:line="240" w:lineRule="auto"/>
        <w:jc w:val="both"/>
      </w:pPr>
      <w:r w:rsidRPr="00CF67B2">
        <w:t>Producer Price Index for locally consumed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5E78B3">
        <w:t>99.46</w:t>
      </w:r>
      <w:r w:rsidR="00B25F02" w:rsidRPr="00CF67B2">
        <w:t xml:space="preserve"> in </w:t>
      </w:r>
      <w:r w:rsidR="005E78B3">
        <w:t>November</w:t>
      </w:r>
      <w:r w:rsidRPr="00CF67B2">
        <w:rPr>
          <w:color w:val="000000"/>
        </w:rPr>
        <w:t xml:space="preserve"> 2017</w:t>
      </w:r>
      <w:r w:rsidR="00CB681B">
        <w:t xml:space="preserve">, which indicates a </w:t>
      </w:r>
      <w:r w:rsidR="005E78B3">
        <w:t>de</w:t>
      </w:r>
      <w:r w:rsidRPr="00CF67B2">
        <w:t xml:space="preserve">crease by </w:t>
      </w:r>
      <w:r w:rsidR="005E78B3">
        <w:t>2.10</w:t>
      </w:r>
      <w:r w:rsidRPr="00CF67B2">
        <w:t xml:space="preserve">% compared to </w:t>
      </w:r>
      <w:r w:rsidR="005E78B3">
        <w:rPr>
          <w:color w:val="000000"/>
        </w:rPr>
        <w:t>October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1F54A0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E13FE4" w:rsidRPr="00CF67B2" w:rsidRDefault="00E13FE4" w:rsidP="00265033">
      <w:pPr>
        <w:pStyle w:val="BodyText2"/>
        <w:bidi w:val="0"/>
        <w:spacing w:after="0" w:line="240" w:lineRule="auto"/>
        <w:jc w:val="both"/>
      </w:pPr>
      <w:r w:rsidRPr="00CF67B2">
        <w:t>Producer Price Index for local exported products (</w:t>
      </w:r>
      <w:r w:rsidRPr="00CF67B2">
        <w:rPr>
          <w:color w:val="000000"/>
        </w:rPr>
        <w:t>December 2015</w:t>
      </w:r>
      <w:r w:rsidRPr="00CF67B2">
        <w:t xml:space="preserve">=100) reached </w:t>
      </w:r>
      <w:r w:rsidR="000E2F3A">
        <w:t>99.</w:t>
      </w:r>
      <w:r w:rsidR="005E78B3">
        <w:t>56</w:t>
      </w:r>
      <w:r w:rsidRPr="00CF67B2">
        <w:t xml:space="preserve"> in </w:t>
      </w:r>
      <w:r w:rsidR="005E78B3">
        <w:rPr>
          <w:color w:val="000000"/>
        </w:rPr>
        <w:t>November</w:t>
      </w:r>
      <w:r w:rsidRPr="00CF67B2">
        <w:rPr>
          <w:color w:val="000000"/>
        </w:rPr>
        <w:t xml:space="preserve"> 2017</w:t>
      </w:r>
      <w:r w:rsidR="00CB681B">
        <w:t xml:space="preserve">, which indicates a </w:t>
      </w:r>
      <w:r w:rsidR="00442929">
        <w:t>de</w:t>
      </w:r>
      <w:r w:rsidRPr="00CF67B2">
        <w:t xml:space="preserve">crease </w:t>
      </w:r>
      <w:r w:rsidRPr="00CF67B2">
        <w:rPr>
          <w:color w:val="000000"/>
        </w:rPr>
        <w:t>by</w:t>
      </w:r>
      <w:r w:rsidRPr="00CF67B2">
        <w:t xml:space="preserve"> </w:t>
      </w:r>
      <w:r w:rsidR="005E78B3">
        <w:t>0.96</w:t>
      </w:r>
      <w:r w:rsidRPr="00CF67B2">
        <w:t xml:space="preserve">% compared to </w:t>
      </w:r>
      <w:r w:rsidR="005E78B3">
        <w:rPr>
          <w:color w:val="000000"/>
        </w:rPr>
        <w:t>Octobe</w:t>
      </w:r>
      <w:r w:rsidR="000E2F3A">
        <w:rPr>
          <w:color w:val="000000"/>
        </w:rPr>
        <w:t>r</w:t>
      </w:r>
      <w:r w:rsidRPr="00CF67B2">
        <w:rPr>
          <w:color w:val="000000"/>
        </w:rPr>
        <w:t xml:space="preserve"> </w:t>
      </w:r>
      <w:r w:rsidRPr="00CF67B2">
        <w:t>2017.</w:t>
      </w:r>
    </w:p>
    <w:p w:rsidR="00E13FE4" w:rsidRPr="001F54A0" w:rsidRDefault="00E13FE4" w:rsidP="00CF67B2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6E7484" w:rsidRDefault="00E13FE4" w:rsidP="001F54A0">
      <w:pPr>
        <w:pStyle w:val="BodyText2"/>
        <w:bidi w:val="0"/>
        <w:spacing w:after="0" w:line="240" w:lineRule="auto"/>
        <w:jc w:val="both"/>
        <w:rPr>
          <w:color w:val="000000"/>
        </w:rPr>
      </w:pPr>
      <w:r w:rsidRPr="00CF67B2">
        <w:rPr>
          <w:color w:val="000000"/>
        </w:rPr>
        <w:t xml:space="preserve">The changes of </w:t>
      </w:r>
      <w:r w:rsidRPr="00CF67B2">
        <w:t xml:space="preserve">Producer </w:t>
      </w:r>
      <w:r w:rsidR="00B25F02" w:rsidRPr="00CF67B2">
        <w:rPr>
          <w:color w:val="000000"/>
        </w:rPr>
        <w:t xml:space="preserve">Price Index for </w:t>
      </w:r>
      <w:r w:rsidR="005E78B3">
        <w:rPr>
          <w:color w:val="000000"/>
        </w:rPr>
        <w:t>November</w:t>
      </w:r>
      <w:r w:rsidRPr="00CF67B2">
        <w:rPr>
          <w:color w:val="000000"/>
        </w:rPr>
        <w:t xml:space="preserve"> 2017 were traced back to changes in</w:t>
      </w:r>
      <w:r w:rsidR="00DD6373">
        <w:rPr>
          <w:color w:val="000000"/>
        </w:rPr>
        <w:t xml:space="preserve"> </w:t>
      </w:r>
      <w:r w:rsidR="00890F34" w:rsidRPr="00CF67B2">
        <w:rPr>
          <w:color w:val="000000"/>
        </w:rPr>
        <w:t>prices of the following major activities</w:t>
      </w:r>
      <w:r w:rsidR="001F54A0">
        <w:rPr>
          <w:color w:val="000000"/>
        </w:rPr>
        <w:t xml:space="preserve"> compared to the previous month</w:t>
      </w:r>
    </w:p>
    <w:p w:rsidR="001F54A0" w:rsidRPr="001F54A0" w:rsidRDefault="001F54A0" w:rsidP="001F54A0">
      <w:pPr>
        <w:pStyle w:val="BodyText2"/>
        <w:bidi w:val="0"/>
        <w:spacing w:after="0" w:line="240" w:lineRule="auto"/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page" w:horzAnchor="margin" w:tblpXSpec="center" w:tblpY="7846"/>
        <w:tblW w:w="6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2"/>
        <w:gridCol w:w="1898"/>
      </w:tblGrid>
      <w:tr w:rsidR="001F54A0" w:rsidRPr="00CF67B2" w:rsidTr="001F54A0">
        <w:trPr>
          <w:trHeight w:val="410"/>
        </w:trPr>
        <w:tc>
          <w:tcPr>
            <w:tcW w:w="4232" w:type="dxa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  <w:color w:val="000000"/>
              </w:rPr>
              <w:t>Major Activities</w:t>
            </w:r>
          </w:p>
        </w:tc>
        <w:tc>
          <w:tcPr>
            <w:tcW w:w="1898" w:type="dxa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  <w:jc w:val="both"/>
            </w:pPr>
            <w:r w:rsidRPr="00CF67B2">
              <w:rPr>
                <w:b/>
                <w:bCs/>
              </w:rPr>
              <w:t>Change</w:t>
            </w:r>
          </w:p>
        </w:tc>
      </w:tr>
      <w:tr w:rsidR="001F54A0" w:rsidRPr="00CF67B2" w:rsidTr="001F54A0">
        <w:trPr>
          <w:trHeight w:val="700"/>
        </w:trPr>
        <w:tc>
          <w:tcPr>
            <w:tcW w:w="4232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Agriculture, forestry and fishing goods</w:t>
            </w:r>
          </w:p>
        </w:tc>
        <w:tc>
          <w:tcPr>
            <w:tcW w:w="1898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6.26</w:t>
            </w:r>
            <w:r w:rsidRPr="00CF67B2">
              <w:rPr>
                <w:color w:val="000000"/>
              </w:rPr>
              <w:t>%</w:t>
            </w:r>
          </w:p>
        </w:tc>
      </w:tr>
      <w:tr w:rsidR="001F54A0" w:rsidRPr="00CF67B2" w:rsidTr="001F54A0">
        <w:trPr>
          <w:trHeight w:val="923"/>
        </w:trPr>
        <w:tc>
          <w:tcPr>
            <w:tcW w:w="4232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</w:pPr>
            <w:r w:rsidRPr="00CF67B2">
              <w:t>Water supply; sewerage, waste management and remediation activities</w:t>
            </w:r>
          </w:p>
        </w:tc>
        <w:tc>
          <w:tcPr>
            <w:tcW w:w="1898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 -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2.06</w:t>
            </w:r>
            <w:r w:rsidRPr="00CF67B2">
              <w:rPr>
                <w:color w:val="000000"/>
              </w:rPr>
              <w:t>%</w:t>
            </w:r>
          </w:p>
        </w:tc>
      </w:tr>
      <w:tr w:rsidR="001F54A0" w:rsidRPr="00CF67B2" w:rsidTr="001F54A0">
        <w:trPr>
          <w:trHeight w:val="651"/>
        </w:trPr>
        <w:tc>
          <w:tcPr>
            <w:tcW w:w="4232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</w:pPr>
            <w:r w:rsidRPr="00CF67B2">
              <w:rPr>
                <w:color w:val="000000"/>
              </w:rPr>
              <w:t>Manufacturing</w:t>
            </w:r>
          </w:p>
        </w:tc>
        <w:tc>
          <w:tcPr>
            <w:tcW w:w="1898" w:type="dxa"/>
            <w:vAlign w:val="center"/>
          </w:tcPr>
          <w:p w:rsidR="001F54A0" w:rsidRPr="00CF67B2" w:rsidRDefault="001F54A0" w:rsidP="001F54A0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>- 0.45</w:t>
            </w:r>
            <w:r w:rsidRPr="00CF67B2">
              <w:rPr>
                <w:color w:val="000000"/>
              </w:rPr>
              <w:t>%</w:t>
            </w:r>
          </w:p>
        </w:tc>
      </w:tr>
      <w:tr w:rsidR="001F54A0" w:rsidRPr="00CF67B2" w:rsidTr="001F54A0">
        <w:trPr>
          <w:trHeight w:val="715"/>
        </w:trPr>
        <w:tc>
          <w:tcPr>
            <w:tcW w:w="4232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</w:pPr>
            <w:r w:rsidRPr="00CF67B2">
              <w:t>Electricity, gas, steam and air conditioning supply</w:t>
            </w:r>
          </w:p>
        </w:tc>
        <w:tc>
          <w:tcPr>
            <w:tcW w:w="1898" w:type="dxa"/>
            <w:vAlign w:val="center"/>
          </w:tcPr>
          <w:p w:rsidR="001F54A0" w:rsidRPr="00CF67B2" w:rsidRDefault="001F54A0" w:rsidP="001F54A0">
            <w:pPr>
              <w:pStyle w:val="BodyText2"/>
              <w:tabs>
                <w:tab w:val="right" w:pos="884"/>
              </w:tabs>
              <w:bidi w:val="0"/>
              <w:spacing w:after="0" w:line="240" w:lineRule="auto"/>
              <w:ind w:right="154"/>
              <w:jc w:val="center"/>
            </w:pPr>
            <w:r>
              <w:rPr>
                <w:color w:val="000000"/>
              </w:rPr>
              <w:t xml:space="preserve">  - 0.19</w:t>
            </w:r>
            <w:r w:rsidRPr="00CF67B2">
              <w:rPr>
                <w:color w:val="000000"/>
              </w:rPr>
              <w:t>%</w:t>
            </w:r>
          </w:p>
        </w:tc>
      </w:tr>
      <w:tr w:rsidR="001F54A0" w:rsidRPr="00CF67B2" w:rsidTr="001F54A0">
        <w:trPr>
          <w:trHeight w:val="581"/>
        </w:trPr>
        <w:tc>
          <w:tcPr>
            <w:tcW w:w="4232" w:type="dxa"/>
            <w:vAlign w:val="center"/>
          </w:tcPr>
          <w:p w:rsidR="001F54A0" w:rsidRPr="00CF67B2" w:rsidRDefault="001F54A0" w:rsidP="001F54A0">
            <w:pPr>
              <w:pStyle w:val="BodyText2"/>
              <w:bidi w:val="0"/>
              <w:spacing w:after="0" w:line="240" w:lineRule="auto"/>
              <w:rPr>
                <w:color w:val="000000"/>
              </w:rPr>
            </w:pPr>
            <w:r w:rsidRPr="00CF67B2">
              <w:rPr>
                <w:color w:val="000000"/>
              </w:rPr>
              <w:t>Mining and quarrying</w:t>
            </w:r>
          </w:p>
        </w:tc>
        <w:tc>
          <w:tcPr>
            <w:tcW w:w="1898" w:type="dxa"/>
            <w:vAlign w:val="center"/>
          </w:tcPr>
          <w:p w:rsidR="001F54A0" w:rsidRPr="00CF67B2" w:rsidRDefault="001F54A0" w:rsidP="001F54A0">
            <w:pPr>
              <w:pStyle w:val="BodyText2"/>
              <w:tabs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</w:pPr>
            <w:r>
              <w:rPr>
                <w:color w:val="000000"/>
              </w:rPr>
              <w:t xml:space="preserve"> </w:t>
            </w:r>
            <w:r w:rsidRPr="00CF67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0.00</w:t>
            </w:r>
            <w:r w:rsidRPr="00CF67B2">
              <w:rPr>
                <w:color w:val="000000"/>
              </w:rPr>
              <w:t>%</w:t>
            </w:r>
          </w:p>
        </w:tc>
      </w:tr>
    </w:tbl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484" w:rsidRPr="001F54A0" w:rsidRDefault="006E7484" w:rsidP="004010C0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E7484" w:rsidRDefault="006E7484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Pr="001F54A0" w:rsidRDefault="001F54A0" w:rsidP="001F54A0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F54A0" w:rsidRPr="001F54A0" w:rsidRDefault="00E13FE4" w:rsidP="000F1E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54A0">
        <w:rPr>
          <w:rFonts w:ascii="Times New Roman" w:hAnsi="Times New Roman" w:cs="Times New Roman"/>
          <w:b/>
          <w:bCs/>
          <w:sz w:val="25"/>
          <w:szCs w:val="25"/>
        </w:rPr>
        <w:t>The trend line of the Producer Price Index in</w:t>
      </w:r>
      <w:r w:rsidR="007534F9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Palesti</w:t>
      </w:r>
      <w:r w:rsidR="00CF67B2" w:rsidRPr="001F54A0">
        <w:rPr>
          <w:rFonts w:ascii="Times New Roman" w:hAnsi="Times New Roman" w:cs="Times New Roman"/>
          <w:b/>
          <w:bCs/>
          <w:sz w:val="25"/>
          <w:szCs w:val="25"/>
        </w:rPr>
        <w:t>ne, for the period:</w:t>
      </w:r>
    </w:p>
    <w:p w:rsidR="001F54A0" w:rsidRDefault="000E2F3A" w:rsidP="000F1E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54A0">
        <w:rPr>
          <w:rFonts w:ascii="Times New Roman" w:hAnsi="Times New Roman" w:cs="Times New Roman"/>
          <w:b/>
          <w:bCs/>
          <w:sz w:val="25"/>
          <w:szCs w:val="25"/>
        </w:rPr>
        <w:t>January</w:t>
      </w:r>
      <w:r w:rsidR="00FF51EE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F54A0">
        <w:rPr>
          <w:rFonts w:ascii="Times New Roman" w:hAnsi="Times New Roman" w:cs="Times New Roman"/>
          <w:b/>
          <w:bCs/>
          <w:sz w:val="25"/>
          <w:szCs w:val="25"/>
        </w:rPr>
        <w:t>–</w:t>
      </w:r>
      <w:r w:rsidR="00256272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E78B3" w:rsidRPr="001F54A0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E13FE4" w:rsidRPr="001F54A0">
        <w:rPr>
          <w:rFonts w:ascii="Times New Roman" w:hAnsi="Times New Roman" w:cs="Times New Roman"/>
          <w:b/>
          <w:bCs/>
          <w:sz w:val="25"/>
          <w:szCs w:val="25"/>
        </w:rPr>
        <w:t xml:space="preserve"> 2017</w:t>
      </w:r>
    </w:p>
    <w:p w:rsidR="001F54A0" w:rsidRDefault="00E13FE4" w:rsidP="000F1EFD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54A0">
        <w:rPr>
          <w:rFonts w:ascii="Times New Roman" w:hAnsi="Times New Roman" w:cs="Times New Roman"/>
          <w:b/>
          <w:bCs/>
          <w:sz w:val="25"/>
          <w:szCs w:val="25"/>
        </w:rPr>
        <w:t>(Base Month December 2015=</w:t>
      </w:r>
      <w:r w:rsidRPr="00AE67D3">
        <w:rPr>
          <w:rFonts w:ascii="Times New Roman" w:hAnsi="Times New Roman" w:cs="Times New Roman"/>
          <w:b/>
          <w:bCs/>
          <w:sz w:val="24"/>
          <w:szCs w:val="24"/>
        </w:rPr>
        <w:t>100)</w:t>
      </w:r>
    </w:p>
    <w:p w:rsidR="00AC54F7" w:rsidRPr="001F54A0" w:rsidRDefault="001F54A0" w:rsidP="001F54A0">
      <w:pPr>
        <w:spacing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tbl>
      <w:tblPr>
        <w:tblStyle w:val="TableGrid"/>
        <w:tblW w:w="4586" w:type="dxa"/>
        <w:jc w:val="center"/>
        <w:tblInd w:w="250" w:type="dxa"/>
        <w:tblLook w:val="04A0"/>
      </w:tblPr>
      <w:tblGrid>
        <w:gridCol w:w="4986"/>
      </w:tblGrid>
      <w:tr w:rsidR="00FF51EE" w:rsidTr="00FF51EE">
        <w:trPr>
          <w:jc w:val="center"/>
        </w:trPr>
        <w:tc>
          <w:tcPr>
            <w:tcW w:w="4586" w:type="dxa"/>
          </w:tcPr>
          <w:p w:rsidR="00FF51EE" w:rsidRDefault="00FF51EE" w:rsidP="00FF51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1E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028950" cy="2524125"/>
                  <wp:effectExtent l="0" t="0" r="0" b="0"/>
                  <wp:docPr id="3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F67B2" w:rsidRDefault="00CF67B2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A0" w:rsidRDefault="001F54A0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4A0" w:rsidRPr="00CF67B2" w:rsidRDefault="001F54A0" w:rsidP="00CF67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7B2" w:rsidRPr="00AE3A1E" w:rsidRDefault="00CF67B2" w:rsidP="00CF67B2">
      <w:pPr>
        <w:pStyle w:val="Header"/>
        <w:jc w:val="both"/>
        <w:rPr>
          <w:rFonts w:ascii="Times New Roman" w:hAnsi="Times New Roman" w:cs="Times New Roman"/>
          <w:sz w:val="20"/>
          <w:szCs w:val="20"/>
        </w:rPr>
      </w:pPr>
      <w:r w:rsidRPr="00AE3A1E">
        <w:rPr>
          <w:rFonts w:ascii="Times New Roman" w:hAnsi="Times New Roman" w:cs="Times New Roman"/>
          <w:b/>
          <w:bCs/>
          <w:sz w:val="20"/>
          <w:szCs w:val="20"/>
        </w:rPr>
        <w:t xml:space="preserve">NB: </w:t>
      </w:r>
    </w:p>
    <w:p w:rsidR="00E13FE4" w:rsidRPr="00CF67B2" w:rsidRDefault="00E13FE4" w:rsidP="00CF67B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67B2">
        <w:rPr>
          <w:rFonts w:ascii="Times New Roman" w:hAnsi="Times New Roman" w:cs="Times New Roman"/>
          <w:sz w:val="20"/>
          <w:szCs w:val="20"/>
        </w:rPr>
        <w:t>Data collection of Producer</w:t>
      </w:r>
      <w:r w:rsidR="007534F9" w:rsidRPr="00CF67B2">
        <w:rPr>
          <w:rFonts w:ascii="Times New Roman" w:hAnsi="Times New Roman" w:cs="Times New Roman"/>
          <w:sz w:val="20"/>
          <w:szCs w:val="20"/>
        </w:rPr>
        <w:t xml:space="preserve"> Price Index survey </w:t>
      </w:r>
      <w:r w:rsidRPr="00CF67B2">
        <w:rPr>
          <w:rFonts w:ascii="Times New Roman" w:hAnsi="Times New Roman" w:cs="Times New Roman"/>
          <w:sz w:val="20"/>
          <w:szCs w:val="20"/>
        </w:rPr>
        <w:t xml:space="preserve">was funded by the European Union. </w:t>
      </w:r>
    </w:p>
    <w:p w:rsidR="00B872E5" w:rsidRPr="00CF67B2" w:rsidRDefault="00B872E5" w:rsidP="00CF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2E5" w:rsidRPr="00CF67B2" w:rsidSect="001F54A0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0E" w:rsidRDefault="00AD530E" w:rsidP="0089530C">
      <w:r>
        <w:separator/>
      </w:r>
    </w:p>
  </w:endnote>
  <w:endnote w:type="continuationSeparator" w:id="0">
    <w:p w:rsidR="00AD530E" w:rsidRDefault="00AD530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3" w:rsidRDefault="00AC3FF9" w:rsidP="00B872E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78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8B3" w:rsidRDefault="00AC3FF9" w:rsidP="00B872E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E78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8B3" w:rsidRDefault="005E78B3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3" w:rsidRDefault="00AC3FF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5E78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EFD">
      <w:rPr>
        <w:rStyle w:val="PageNumber"/>
        <w:noProof/>
      </w:rPr>
      <w:t>2</w:t>
    </w:r>
    <w:r>
      <w:rPr>
        <w:rStyle w:val="PageNumber"/>
      </w:rPr>
      <w:fldChar w:fldCharType="end"/>
    </w:r>
  </w:p>
  <w:p w:rsidR="005E78B3" w:rsidRDefault="00AC3FF9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439.45pt;margin-top:-20.55pt;width:101.3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5E78B3" w:rsidRDefault="005E78B3" w:rsidP="005E78B3">
                <w:r>
                  <w:t>Date: 31/12/2017</w:t>
                </w:r>
              </w:p>
            </w:txbxContent>
          </v:textbox>
        </v:shape>
      </w:pict>
    </w:r>
    <w:r w:rsidR="001F54A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-447675</wp:posOffset>
          </wp:positionV>
          <wp:extent cx="7572375" cy="952500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0E" w:rsidRDefault="00AD530E" w:rsidP="0089530C">
      <w:r>
        <w:separator/>
      </w:r>
    </w:p>
  </w:footnote>
  <w:footnote w:type="continuationSeparator" w:id="0">
    <w:p w:rsidR="00AD530E" w:rsidRDefault="00AD530E" w:rsidP="0089530C">
      <w:r>
        <w:continuationSeparator/>
      </w:r>
    </w:p>
  </w:footnote>
  <w:footnote w:id="1">
    <w:p w:rsidR="005E78B3" w:rsidRPr="00CF67B2" w:rsidRDefault="005E78B3" w:rsidP="00AC5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F67B2">
        <w:rPr>
          <w:rFonts w:ascii="Times New Roman" w:hAnsi="Times New Roman" w:cs="Times New Roman"/>
          <w:sz w:val="20"/>
          <w:szCs w:val="20"/>
        </w:rPr>
        <w:t xml:space="preserve"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                   </w:t>
      </w:r>
    </w:p>
    <w:p w:rsidR="005E78B3" w:rsidRDefault="005E78B3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B3" w:rsidRDefault="005E78B3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-335915</wp:posOffset>
          </wp:positionV>
          <wp:extent cx="7648575" cy="13049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FF9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spacing w:beforeLines="0" w:beforeAutospacing="0" w:afterLines="0" w:afterAutospacing="0"/>
        <w:ind w:left="360" w:righ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32B9F"/>
    <w:multiLevelType w:val="hybridMultilevel"/>
    <w:tmpl w:val="B024D0F4"/>
    <w:lvl w:ilvl="0" w:tplc="62AA8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557A7"/>
    <w:rsid w:val="00093963"/>
    <w:rsid w:val="000E2F3A"/>
    <w:rsid w:val="000F1EFD"/>
    <w:rsid w:val="000F2B27"/>
    <w:rsid w:val="001621CB"/>
    <w:rsid w:val="0018441C"/>
    <w:rsid w:val="001856B3"/>
    <w:rsid w:val="00195F2D"/>
    <w:rsid w:val="001A73CF"/>
    <w:rsid w:val="001B292F"/>
    <w:rsid w:val="001D36DE"/>
    <w:rsid w:val="001F54A0"/>
    <w:rsid w:val="00206205"/>
    <w:rsid w:val="0020755C"/>
    <w:rsid w:val="00240A97"/>
    <w:rsid w:val="00256272"/>
    <w:rsid w:val="00265033"/>
    <w:rsid w:val="00290C50"/>
    <w:rsid w:val="002D5C92"/>
    <w:rsid w:val="003169B5"/>
    <w:rsid w:val="00316DE5"/>
    <w:rsid w:val="003261C5"/>
    <w:rsid w:val="003415C8"/>
    <w:rsid w:val="003C749E"/>
    <w:rsid w:val="004010C0"/>
    <w:rsid w:val="00413945"/>
    <w:rsid w:val="00424096"/>
    <w:rsid w:val="00442929"/>
    <w:rsid w:val="00516C24"/>
    <w:rsid w:val="005C2D82"/>
    <w:rsid w:val="005D6762"/>
    <w:rsid w:val="005E78B3"/>
    <w:rsid w:val="005F7723"/>
    <w:rsid w:val="00644BAD"/>
    <w:rsid w:val="006957CF"/>
    <w:rsid w:val="006A713D"/>
    <w:rsid w:val="006E7484"/>
    <w:rsid w:val="007052E2"/>
    <w:rsid w:val="00716385"/>
    <w:rsid w:val="00723FD2"/>
    <w:rsid w:val="00740630"/>
    <w:rsid w:val="007534F9"/>
    <w:rsid w:val="00756806"/>
    <w:rsid w:val="00790961"/>
    <w:rsid w:val="007D73EA"/>
    <w:rsid w:val="00816FF4"/>
    <w:rsid w:val="008346F0"/>
    <w:rsid w:val="00890F34"/>
    <w:rsid w:val="0089530C"/>
    <w:rsid w:val="00896EB5"/>
    <w:rsid w:val="008E6E25"/>
    <w:rsid w:val="008F2BF9"/>
    <w:rsid w:val="0098021F"/>
    <w:rsid w:val="009B2B6C"/>
    <w:rsid w:val="009D3051"/>
    <w:rsid w:val="009F090A"/>
    <w:rsid w:val="009F2E29"/>
    <w:rsid w:val="009F3B10"/>
    <w:rsid w:val="00A457B7"/>
    <w:rsid w:val="00A504AA"/>
    <w:rsid w:val="00A66704"/>
    <w:rsid w:val="00A76524"/>
    <w:rsid w:val="00AC1324"/>
    <w:rsid w:val="00AC3FF9"/>
    <w:rsid w:val="00AC54F7"/>
    <w:rsid w:val="00AC7248"/>
    <w:rsid w:val="00AD530E"/>
    <w:rsid w:val="00AE3A1E"/>
    <w:rsid w:val="00AE67D3"/>
    <w:rsid w:val="00AF28BB"/>
    <w:rsid w:val="00AF4FBE"/>
    <w:rsid w:val="00B25F02"/>
    <w:rsid w:val="00B3748A"/>
    <w:rsid w:val="00B872E5"/>
    <w:rsid w:val="00C07884"/>
    <w:rsid w:val="00C14BC7"/>
    <w:rsid w:val="00C50E44"/>
    <w:rsid w:val="00C93BD8"/>
    <w:rsid w:val="00CA0566"/>
    <w:rsid w:val="00CB681B"/>
    <w:rsid w:val="00CC79C0"/>
    <w:rsid w:val="00CF3357"/>
    <w:rsid w:val="00CF67B2"/>
    <w:rsid w:val="00D1116C"/>
    <w:rsid w:val="00D209ED"/>
    <w:rsid w:val="00DB128F"/>
    <w:rsid w:val="00DD6373"/>
    <w:rsid w:val="00DF27B1"/>
    <w:rsid w:val="00DF7513"/>
    <w:rsid w:val="00E13FE4"/>
    <w:rsid w:val="00E167FF"/>
    <w:rsid w:val="00E316C4"/>
    <w:rsid w:val="00E669F6"/>
    <w:rsid w:val="00E66F6B"/>
    <w:rsid w:val="00E67C1C"/>
    <w:rsid w:val="00E76D45"/>
    <w:rsid w:val="00EF3A03"/>
    <w:rsid w:val="00F83E8F"/>
    <w:rsid w:val="00FA2CE0"/>
    <w:rsid w:val="00FC33A0"/>
    <w:rsid w:val="00FD3517"/>
    <w:rsid w:val="00FF1D96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1F54A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paragraph" w:styleId="BodyText3">
    <w:name w:val="Body Text 3"/>
    <w:basedOn w:val="Normal"/>
    <w:link w:val="BodyText3Char"/>
    <w:unhideWhenUsed/>
    <w:rsid w:val="00AE3A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E3A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nhideWhenUsed/>
    <w:rsid w:val="00E1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13FE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uiPriority w:val="99"/>
    <w:unhideWhenUsed/>
    <w:rsid w:val="00E13F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F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E4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FF51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54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4F7"/>
    <w:rPr>
      <w:rFonts w:ascii="Arial" w:eastAsia="Arial" w:hAnsi="Arial" w:cs="Arial"/>
      <w:color w:val="000000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C54F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54A0"/>
    <w:rPr>
      <w:rFonts w:ascii="Times New Roman" w:hAnsi="Times New Roman" w:cs="Times New Roman"/>
      <w:b/>
      <w:bCs/>
      <w:kern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082874914608292"/>
          <c:y val="7.8125E-2"/>
          <c:w val="0.78212814151655696"/>
          <c:h val="0.5468750000000032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Price Index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x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989261088126716E-2"/>
                  <c:y val="-8.996392304894471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Lbl>
              <c:idx val="10"/>
              <c:layout>
                <c:manualLayout>
                  <c:x val="0"/>
                  <c:y val="5.9925093632958823E-2"/>
                </c:manualLayout>
              </c:layout>
              <c:showVal val="1"/>
            </c:dLbl>
            <c:dLbl>
              <c:idx val="12"/>
              <c:layout>
                <c:manualLayout>
                  <c:x val="-3.9653009475510738E-3"/>
                  <c:y val="5.870181957592378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Sheet1!$B$1:$L$1</c:f>
              <c:strCache>
                <c:ptCount val="11"/>
                <c:pt idx="0">
                  <c:v>January 2017</c:v>
                </c:pt>
                <c:pt idx="1">
                  <c:v>February 2017</c:v>
                </c:pt>
                <c:pt idx="2">
                  <c:v>March 2017</c:v>
                </c:pt>
                <c:pt idx="3">
                  <c:v>April 2017</c:v>
                </c:pt>
                <c:pt idx="4">
                  <c:v>May 2017</c:v>
                </c:pt>
                <c:pt idx="5">
                  <c:v>June 2017</c:v>
                </c:pt>
                <c:pt idx="6">
                  <c:v>July 2017</c:v>
                </c:pt>
                <c:pt idx="7">
                  <c:v>August 2017</c:v>
                </c:pt>
                <c:pt idx="8">
                  <c:v>September 2017</c:v>
                </c:pt>
                <c:pt idx="9">
                  <c:v>October 2017</c:v>
                </c:pt>
                <c:pt idx="10">
                  <c:v>November 2017</c:v>
                </c:pt>
              </c:strCache>
            </c:strRef>
          </c:cat>
          <c:val>
            <c:numRef>
              <c:f>Sheet1!$B$2:$L$2</c:f>
              <c:numCache>
                <c:formatCode>0.00</c:formatCode>
                <c:ptCount val="11"/>
                <c:pt idx="0">
                  <c:v>100.99712372061484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102.85099533116674</c:v>
                </c:pt>
                <c:pt idx="6">
                  <c:v>104.73663701006895</c:v>
                </c:pt>
                <c:pt idx="7">
                  <c:v>102.23313006433806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</c:numCache>
            </c:numRef>
          </c:val>
        </c:ser>
        <c:marker val="1"/>
        <c:axId val="111904256"/>
        <c:axId val="111905792"/>
      </c:lineChart>
      <c:catAx>
        <c:axId val="111904256"/>
        <c:scaling>
          <c:orientation val="minMax"/>
        </c:scaling>
        <c:axPos val="b"/>
        <c:numFmt formatCode="@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3060000" vert="horz"/>
          <a:lstStyle/>
          <a:p>
            <a:pPr>
              <a:defRPr/>
            </a:pPr>
            <a:endParaRPr lang="ar-SA"/>
          </a:p>
        </c:txPr>
        <c:crossAx val="111905792"/>
        <c:crossesAt val="95"/>
        <c:auto val="1"/>
        <c:lblAlgn val="ctr"/>
        <c:lblOffset val="100"/>
        <c:tickLblSkip val="1"/>
        <c:tickMarkSkip val="1"/>
      </c:catAx>
      <c:valAx>
        <c:axId val="111905792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Producer Price Index (PPI)</a:t>
                </a:r>
              </a:p>
            </c:rich>
          </c:tx>
          <c:layout>
            <c:manualLayout>
              <c:xMode val="edge"/>
              <c:yMode val="edge"/>
              <c:x val="0"/>
              <c:y val="9.3750000000000902E-2"/>
            </c:manualLayout>
          </c:layout>
          <c:spPr>
            <a:noFill/>
            <a:ln w="25401">
              <a:noFill/>
            </a:ln>
          </c:spPr>
        </c:title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11904256"/>
        <c:crosses val="autoZero"/>
        <c:crossBetween val="between"/>
        <c:majorUnit val="5"/>
      </c:valAx>
      <c:spPr>
        <a:noFill/>
        <a:ln w="25401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444B-6252-4FFB-BBC8-F04E43B0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5</cp:revision>
  <cp:lastPrinted>2017-08-27T09:55:00Z</cp:lastPrinted>
  <dcterms:created xsi:type="dcterms:W3CDTF">2017-12-27T12:36:00Z</dcterms:created>
  <dcterms:modified xsi:type="dcterms:W3CDTF">2017-12-27T12:46:00Z</dcterms:modified>
</cp:coreProperties>
</file>