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Default="006C3834" w:rsidP="006C3834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</w:p>
    <w:p w:rsidR="006C3834" w:rsidRPr="007751CF" w:rsidRDefault="006C3834" w:rsidP="006C3834">
      <w:pPr>
        <w:pStyle w:val="Heading1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751CF">
        <w:rPr>
          <w:rFonts w:asciiTheme="majorBidi" w:hAnsiTheme="majorBidi" w:cstheme="majorBidi"/>
          <w:sz w:val="28"/>
          <w:szCs w:val="28"/>
        </w:rPr>
        <w:t>Palestinian Central Bureau of Statistics (PCBS)</w:t>
      </w:r>
    </w:p>
    <w:p w:rsidR="006C3834" w:rsidRPr="007751CF" w:rsidRDefault="006C3834" w:rsidP="006C3834">
      <w:pPr>
        <w:rPr>
          <w:lang w:eastAsia="en-US"/>
        </w:rPr>
      </w:pPr>
    </w:p>
    <w:p w:rsidR="006C3834" w:rsidRPr="007751CF" w:rsidRDefault="006C3834" w:rsidP="006C3834">
      <w:pPr>
        <w:bidi w:val="0"/>
        <w:jc w:val="center"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 w:rsidRPr="007751CF">
        <w:rPr>
          <w:rFonts w:asciiTheme="majorBidi" w:hAnsiTheme="majorBidi" w:cstheme="majorBidi"/>
          <w:b/>
          <w:bCs/>
          <w:color w:val="000000"/>
          <w:sz w:val="28"/>
          <w:szCs w:val="28"/>
        </w:rPr>
        <w:t>Palestinian</w:t>
      </w:r>
      <w:r w:rsidRPr="007751CF">
        <w:rPr>
          <w:rFonts w:asciiTheme="majorBidi" w:hAnsiTheme="majorBidi" w:cstheme="majorBidi"/>
          <w:b/>
          <w:bCs/>
          <w:kern w:val="36"/>
          <w:sz w:val="28"/>
          <w:szCs w:val="28"/>
        </w:rPr>
        <w:t xml:space="preserve"> </w:t>
      </w:r>
      <w:r w:rsidRPr="007751C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Producer Price Index, </w:t>
      </w:r>
      <w:r w:rsidRPr="007751CF">
        <w:rPr>
          <w:rFonts w:asciiTheme="majorBidi" w:hAnsiTheme="majorBidi" w:cstheme="majorBidi"/>
          <w:b/>
          <w:bCs/>
          <w:sz w:val="28"/>
          <w:szCs w:val="28"/>
        </w:rPr>
        <w:t>November, 11/2015</w:t>
      </w:r>
    </w:p>
    <w:p w:rsidR="006C3834" w:rsidRPr="007751CF" w:rsidRDefault="006C3834" w:rsidP="006C3834">
      <w:pPr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kern w:val="36"/>
          <w:sz w:val="28"/>
          <w:szCs w:val="28"/>
        </w:rPr>
      </w:pPr>
    </w:p>
    <w:p w:rsidR="006C3834" w:rsidRPr="007751CF" w:rsidRDefault="006C3834" w:rsidP="006C3834">
      <w:pPr>
        <w:bidi w:val="0"/>
        <w:outlineLvl w:val="1"/>
        <w:rPr>
          <w:b/>
          <w:bCs/>
          <w:sz w:val="26"/>
          <w:szCs w:val="26"/>
        </w:rPr>
      </w:pPr>
      <w:r w:rsidRPr="007751CF">
        <w:rPr>
          <w:b/>
          <w:bCs/>
          <w:color w:val="000000"/>
          <w:sz w:val="26"/>
          <w:szCs w:val="26"/>
        </w:rPr>
        <w:t>Decrease in</w:t>
      </w:r>
      <w:r w:rsidRPr="007751CF">
        <w:rPr>
          <w:b/>
          <w:bCs/>
          <w:sz w:val="26"/>
          <w:szCs w:val="26"/>
        </w:rPr>
        <w:t xml:space="preserve"> the PPI during November 2015</w:t>
      </w:r>
    </w:p>
    <w:p w:rsidR="006C3834" w:rsidRPr="007751CF" w:rsidRDefault="006C3834" w:rsidP="006C3834">
      <w:pPr>
        <w:bidi w:val="0"/>
        <w:outlineLvl w:val="1"/>
        <w:rPr>
          <w:b/>
          <w:bCs/>
          <w:sz w:val="25"/>
          <w:szCs w:val="25"/>
        </w:rPr>
      </w:pPr>
    </w:p>
    <w:p w:rsidR="006C3834" w:rsidRPr="00D0313C" w:rsidRDefault="006C3834" w:rsidP="006C3834">
      <w:pPr>
        <w:bidi w:val="0"/>
        <w:outlineLvl w:val="1"/>
        <w:rPr>
          <w:b/>
          <w:bCs/>
          <w:sz w:val="8"/>
          <w:szCs w:val="8"/>
        </w:rPr>
      </w:pPr>
    </w:p>
    <w:p w:rsidR="006C3834" w:rsidRDefault="006C3834" w:rsidP="006C3834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 xml:space="preserve">The overall Producer </w:t>
      </w:r>
      <w:r>
        <w:t>Price</w:t>
      </w:r>
      <w:r>
        <w:rPr>
          <w:vertAlign w:val="superscript"/>
        </w:rPr>
        <w:t>1</w:t>
      </w:r>
      <w:r>
        <w:rPr>
          <w:color w:val="000000"/>
        </w:rPr>
        <w:t xml:space="preserve"> Index (PPI) for  Palestine with its base year (2011=100) reached 107.83 in November 2015, </w:t>
      </w:r>
      <w:r>
        <w:t xml:space="preserve">with a </w:t>
      </w:r>
      <w:r>
        <w:rPr>
          <w:color w:val="000000"/>
        </w:rPr>
        <w:t>decrease by 0.68% compared with October 2015.</w:t>
      </w:r>
    </w:p>
    <w:p w:rsidR="006C3834" w:rsidRPr="007751CF" w:rsidRDefault="006C3834" w:rsidP="006C3834">
      <w:pPr>
        <w:pStyle w:val="BodyText2"/>
        <w:bidi w:val="0"/>
        <w:spacing w:after="0" w:line="360" w:lineRule="auto"/>
        <w:jc w:val="both"/>
        <w:rPr>
          <w:sz w:val="16"/>
          <w:szCs w:val="16"/>
        </w:rPr>
      </w:pPr>
    </w:p>
    <w:p w:rsidR="006C3834" w:rsidRDefault="006C3834" w:rsidP="006C3834">
      <w:pPr>
        <w:pStyle w:val="BodyText2"/>
        <w:bidi w:val="0"/>
        <w:spacing w:after="0" w:line="360" w:lineRule="auto"/>
        <w:jc w:val="both"/>
      </w:pPr>
      <w:r>
        <w:t xml:space="preserve">Producer Price Index for locally consumed products (2011=100) reached 108.27 in </w:t>
      </w:r>
      <w:r>
        <w:rPr>
          <w:color w:val="000000"/>
        </w:rPr>
        <w:t xml:space="preserve">November </w:t>
      </w:r>
      <w:r>
        <w:t xml:space="preserve">2015, which indicates a decrease by 0.73% compared with </w:t>
      </w:r>
      <w:r>
        <w:rPr>
          <w:color w:val="000000"/>
        </w:rPr>
        <w:t xml:space="preserve">October </w:t>
      </w:r>
      <w:r>
        <w:t>2015.</w:t>
      </w:r>
    </w:p>
    <w:p w:rsidR="006C3834" w:rsidRPr="007751CF" w:rsidRDefault="006C3834" w:rsidP="006C3834">
      <w:pPr>
        <w:pStyle w:val="BodyText2"/>
        <w:bidi w:val="0"/>
        <w:spacing w:after="0" w:line="360" w:lineRule="auto"/>
        <w:jc w:val="both"/>
        <w:rPr>
          <w:sz w:val="16"/>
          <w:szCs w:val="16"/>
        </w:rPr>
      </w:pPr>
    </w:p>
    <w:p w:rsidR="006C3834" w:rsidRDefault="006C3834" w:rsidP="006C3834">
      <w:pPr>
        <w:pStyle w:val="BodyText2"/>
        <w:bidi w:val="0"/>
        <w:spacing w:after="0" w:line="360" w:lineRule="auto"/>
        <w:jc w:val="both"/>
      </w:pPr>
      <w:r>
        <w:t xml:space="preserve">Producer Price Index for exported products (2011=100) reached 103.34  in </w:t>
      </w:r>
      <w:r>
        <w:rPr>
          <w:color w:val="000000"/>
        </w:rPr>
        <w:t xml:space="preserve">November </w:t>
      </w:r>
      <w:r>
        <w:t xml:space="preserve">2015, which indicates a decrease </w:t>
      </w:r>
      <w:r>
        <w:rPr>
          <w:color w:val="000000"/>
        </w:rPr>
        <w:t>by</w:t>
      </w:r>
      <w:r>
        <w:t xml:space="preserve"> 0.21% compared with </w:t>
      </w:r>
      <w:r>
        <w:rPr>
          <w:color w:val="000000"/>
        </w:rPr>
        <w:t xml:space="preserve">October </w:t>
      </w:r>
      <w:r>
        <w:t>2015.</w:t>
      </w:r>
    </w:p>
    <w:p w:rsidR="006C3834" w:rsidRPr="007751CF" w:rsidRDefault="006C3834" w:rsidP="006C3834">
      <w:pPr>
        <w:pStyle w:val="BodyText2"/>
        <w:bidi w:val="0"/>
        <w:spacing w:after="0" w:line="360" w:lineRule="auto"/>
        <w:jc w:val="both"/>
        <w:rPr>
          <w:sz w:val="16"/>
          <w:szCs w:val="16"/>
        </w:rPr>
      </w:pPr>
    </w:p>
    <w:p w:rsidR="006C3834" w:rsidRPr="00274962" w:rsidRDefault="006C3834" w:rsidP="006C3834">
      <w:pPr>
        <w:pStyle w:val="BodyText2"/>
        <w:bidi w:val="0"/>
        <w:spacing w:after="0" w:line="360" w:lineRule="auto"/>
        <w:jc w:val="both"/>
      </w:pPr>
      <w:r>
        <w:rPr>
          <w:color w:val="000000"/>
        </w:rPr>
        <w:t xml:space="preserve">The changes of </w:t>
      </w:r>
      <w:r>
        <w:t xml:space="preserve">Producer </w:t>
      </w:r>
      <w:r>
        <w:rPr>
          <w:color w:val="000000"/>
        </w:rPr>
        <w:t xml:space="preserve">Price Index for November </w:t>
      </w:r>
      <w:r w:rsidRPr="00037F32">
        <w:rPr>
          <w:color w:val="000000"/>
        </w:rPr>
        <w:t>201</w:t>
      </w:r>
      <w:r>
        <w:rPr>
          <w:color w:val="000000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were traced back to changes in prices of the following major activities compared with the previous month:</w:t>
      </w:r>
    </w:p>
    <w:p w:rsidR="006C3834" w:rsidRPr="007751CF" w:rsidRDefault="006C3834" w:rsidP="006C3834">
      <w:pPr>
        <w:bidi w:val="0"/>
        <w:jc w:val="both"/>
        <w:rPr>
          <w:color w:val="000000"/>
          <w:sz w:val="16"/>
          <w:szCs w:val="16"/>
        </w:rPr>
      </w:pPr>
    </w:p>
    <w:tbl>
      <w:tblPr>
        <w:tblW w:w="5026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3510"/>
        <w:gridCol w:w="1516"/>
      </w:tblGrid>
      <w:tr w:rsidR="006C3834" w:rsidTr="00E24F8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3834" w:rsidRDefault="006C3834" w:rsidP="00E24F84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Major Groups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3834" w:rsidRDefault="006C3834" w:rsidP="00E24F84">
            <w:pPr>
              <w:pStyle w:val="BodyText3"/>
              <w:bidi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6C3834" w:rsidTr="00E24F8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Agriculture goods</w:t>
            </w:r>
            <w:r>
              <w:t>:</w:t>
            </w:r>
          </w:p>
        </w:tc>
        <w:tc>
          <w:tcPr>
            <w:tcW w:w="1516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right"/>
            </w:pPr>
            <w:r>
              <w:rPr>
                <w:color w:val="000000"/>
              </w:rPr>
              <w:t>-  1.15%</w:t>
            </w:r>
          </w:p>
        </w:tc>
      </w:tr>
      <w:tr w:rsidR="006C3834" w:rsidTr="00E24F8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lowKashida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Manufacturing group:</w:t>
            </w:r>
          </w:p>
        </w:tc>
        <w:tc>
          <w:tcPr>
            <w:tcW w:w="1516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 0.35%</w:t>
            </w:r>
          </w:p>
        </w:tc>
      </w:tr>
      <w:tr w:rsidR="006C3834" w:rsidTr="00E24F8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Fishing</w:t>
            </w:r>
            <w:proofErr w:type="spellStart"/>
            <w:r>
              <w:rPr>
                <w:rFonts w:hint="cs"/>
                <w:color w:val="000000"/>
                <w:rtl/>
              </w:rPr>
              <w:t>:</w:t>
            </w:r>
            <w:proofErr w:type="spellEnd"/>
            <w:r>
              <w:rPr>
                <w:color w:val="000000"/>
              </w:rPr>
              <w:t xml:space="preserve">              </w:t>
            </w:r>
          </w:p>
        </w:tc>
        <w:tc>
          <w:tcPr>
            <w:tcW w:w="1516" w:type="dxa"/>
            <w:vAlign w:val="center"/>
          </w:tcPr>
          <w:p w:rsidR="006C3834" w:rsidRPr="00643168" w:rsidRDefault="006C3834" w:rsidP="00E24F84">
            <w:pPr>
              <w:bidi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  8.25%</w:t>
            </w:r>
          </w:p>
        </w:tc>
      </w:tr>
      <w:tr w:rsidR="006C3834" w:rsidTr="00E24F8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6C3834" w:rsidRDefault="006C3834" w:rsidP="00E24F8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Mining and quarrying</w:t>
            </w:r>
            <w:r>
              <w:t xml:space="preserve">: </w:t>
            </w:r>
          </w:p>
        </w:tc>
        <w:tc>
          <w:tcPr>
            <w:tcW w:w="1516" w:type="dxa"/>
            <w:vAlign w:val="center"/>
          </w:tcPr>
          <w:p w:rsidR="006C3834" w:rsidRPr="00643168" w:rsidRDefault="006C3834" w:rsidP="00E24F84">
            <w:pPr>
              <w:bidi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0.00</w:t>
            </w:r>
          </w:p>
        </w:tc>
      </w:tr>
    </w:tbl>
    <w:p w:rsidR="006C3834" w:rsidRDefault="006C3834" w:rsidP="006C3834">
      <w:pPr>
        <w:pBdr>
          <w:bottom w:val="single" w:sz="12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6C3834" w:rsidRDefault="006C3834" w:rsidP="006C3834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</w:p>
    <w:p w:rsidR="006C3834" w:rsidRDefault="006C3834" w:rsidP="006C3834">
      <w:pPr>
        <w:autoSpaceDE w:val="0"/>
        <w:autoSpaceDN w:val="0"/>
        <w:bidi w:val="0"/>
        <w:adjustRightInd w:val="0"/>
        <w:jc w:val="both"/>
      </w:pPr>
      <w:r>
        <w:rPr>
          <w:color w:val="000000"/>
          <w:sz w:val="18"/>
          <w:szCs w:val="18"/>
        </w:rPr>
        <w:t xml:space="preserve">1 </w:t>
      </w:r>
      <w:r>
        <w:rPr>
          <w:sz w:val="18"/>
          <w:szCs w:val="18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  <w:r>
        <w:t xml:space="preserve"> </w:t>
      </w:r>
    </w:p>
    <w:p w:rsidR="006C3834" w:rsidRPr="00274962" w:rsidRDefault="006C3834" w:rsidP="006C3834">
      <w:pPr>
        <w:autoSpaceDE w:val="0"/>
        <w:autoSpaceDN w:val="0"/>
        <w:bidi w:val="0"/>
        <w:adjustRightInd w:val="0"/>
        <w:jc w:val="both"/>
      </w:pPr>
      <w:r>
        <w:t xml:space="preserve">                                     </w:t>
      </w:r>
    </w:p>
    <w:p w:rsidR="006C3834" w:rsidRDefault="006C3834" w:rsidP="006C3834">
      <w:pPr>
        <w:bidi w:val="0"/>
        <w:jc w:val="center"/>
        <w:rPr>
          <w:b/>
          <w:bCs/>
        </w:rPr>
      </w:pPr>
      <w:r w:rsidRPr="00DD7595">
        <w:rPr>
          <w:b/>
          <w:bCs/>
        </w:rPr>
        <w:t xml:space="preserve">The trend line for the </w:t>
      </w:r>
      <w:r>
        <w:rPr>
          <w:b/>
          <w:bCs/>
        </w:rPr>
        <w:t>Producer</w:t>
      </w:r>
      <w:r w:rsidRPr="00DD7595">
        <w:rPr>
          <w:b/>
          <w:bCs/>
        </w:rPr>
        <w:t xml:space="preserve"> </w:t>
      </w:r>
      <w:r>
        <w:rPr>
          <w:b/>
          <w:bCs/>
        </w:rPr>
        <w:t>P</w:t>
      </w:r>
      <w:r w:rsidRPr="00DD7595">
        <w:rPr>
          <w:b/>
          <w:bCs/>
        </w:rPr>
        <w:t xml:space="preserve">rice </w:t>
      </w:r>
      <w:r>
        <w:rPr>
          <w:b/>
          <w:bCs/>
        </w:rPr>
        <w:t>I</w:t>
      </w:r>
      <w:r w:rsidRPr="00DD7595">
        <w:rPr>
          <w:b/>
          <w:bCs/>
        </w:rPr>
        <w:t>nd</w:t>
      </w:r>
      <w:r>
        <w:rPr>
          <w:b/>
          <w:bCs/>
        </w:rPr>
        <w:t>ex</w:t>
      </w:r>
      <w:r w:rsidRPr="00DD7595">
        <w:rPr>
          <w:b/>
          <w:bCs/>
        </w:rPr>
        <w:t xml:space="preserve"> in Palestin</w:t>
      </w:r>
      <w:r>
        <w:rPr>
          <w:b/>
          <w:bCs/>
        </w:rPr>
        <w:t>e</w:t>
      </w:r>
      <w:r w:rsidRPr="00DD7595">
        <w:rPr>
          <w:b/>
          <w:bCs/>
        </w:rPr>
        <w:t xml:space="preserve">, for the </w:t>
      </w:r>
      <w:r>
        <w:rPr>
          <w:b/>
          <w:bCs/>
        </w:rPr>
        <w:t>p</w:t>
      </w:r>
      <w:r w:rsidRPr="00DD7595">
        <w:rPr>
          <w:b/>
          <w:bCs/>
        </w:rPr>
        <w:t xml:space="preserve">eriod: </w:t>
      </w:r>
    </w:p>
    <w:p w:rsidR="006C3834" w:rsidRPr="00DD7595" w:rsidRDefault="006C3834" w:rsidP="006C3834">
      <w:pPr>
        <w:bidi w:val="0"/>
        <w:jc w:val="center"/>
        <w:rPr>
          <w:b/>
          <w:bCs/>
        </w:rPr>
      </w:pPr>
      <w:r>
        <w:rPr>
          <w:b/>
          <w:bCs/>
        </w:rPr>
        <w:t xml:space="preserve">November 2014 </w:t>
      </w:r>
      <w:r w:rsidRPr="00DD7595">
        <w:rPr>
          <w:b/>
          <w:bCs/>
        </w:rPr>
        <w:t>-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November</w:t>
      </w:r>
      <w:r w:rsidRPr="00DD75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2015</w:t>
      </w:r>
      <w:r w:rsidRPr="00DD7595">
        <w:rPr>
          <w:b/>
          <w:bCs/>
        </w:rPr>
        <w:t xml:space="preserve"> </w:t>
      </w:r>
    </w:p>
    <w:p w:rsidR="006C3834" w:rsidRDefault="006C3834" w:rsidP="006C3834">
      <w:pPr>
        <w:bidi w:val="0"/>
        <w:ind w:left="4111" w:hanging="4111"/>
        <w:jc w:val="center"/>
        <w:rPr>
          <w:b/>
          <w:bCs/>
        </w:rPr>
      </w:pPr>
      <w:r w:rsidRPr="00DD7595">
        <w:rPr>
          <w:b/>
          <w:bCs/>
        </w:rPr>
        <w:t xml:space="preserve">(Base </w:t>
      </w:r>
      <w:r>
        <w:rPr>
          <w:b/>
          <w:bCs/>
        </w:rPr>
        <w:t>Year 2011</w:t>
      </w:r>
      <w:r w:rsidRPr="00DD7595">
        <w:rPr>
          <w:b/>
          <w:bCs/>
        </w:rPr>
        <w:t>=100)</w:t>
      </w:r>
    </w:p>
    <w:p w:rsidR="006C3834" w:rsidRPr="007751CF" w:rsidRDefault="006C3834" w:rsidP="006C3834">
      <w:pPr>
        <w:bidi w:val="0"/>
        <w:ind w:left="4111" w:hanging="4111"/>
        <w:jc w:val="center"/>
        <w:rPr>
          <w:b/>
          <w:bCs/>
        </w:rPr>
      </w:pPr>
    </w:p>
    <w:p w:rsidR="006C3834" w:rsidRDefault="006C3834" w:rsidP="006C3834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>
            <wp:extent cx="2933700" cy="1990725"/>
            <wp:effectExtent l="19050" t="0" r="1905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59FB" w:rsidRDefault="009259FB"/>
    <w:sectPr w:rsidR="009259FB" w:rsidSect="005E0406">
      <w:footerReference w:type="even" r:id="rId5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DD" w:rsidRDefault="006C383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34DD" w:rsidRDefault="006C3834">
    <w:pPr>
      <w:pStyle w:val="Footer"/>
      <w:rPr>
        <w:rtl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3834"/>
    <w:rsid w:val="005E7849"/>
    <w:rsid w:val="006C3834"/>
    <w:rsid w:val="0092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834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6C38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38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6C3834"/>
  </w:style>
  <w:style w:type="paragraph" w:styleId="BodyText2">
    <w:name w:val="Body Text 2"/>
    <w:basedOn w:val="Normal"/>
    <w:link w:val="BodyText2Char"/>
    <w:unhideWhenUsed/>
    <w:rsid w:val="006C3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38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6C3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38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46308724832215"/>
          <c:y val="3.883495145631069E-2"/>
          <c:w val="0.79530201342281881"/>
          <c:h val="0.635922330097087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697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742637820846121E-2"/>
                  <c:y val="-5.7929924059201686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1.4332276986701888E-2"/>
                  <c:y val="4.3162311010590572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November 2014</c:v>
                </c:pt>
                <c:pt idx="1">
                  <c:v>December 2014</c:v>
                </c:pt>
                <c:pt idx="2">
                  <c:v>January 2015</c:v>
                </c:pt>
                <c:pt idx="3">
                  <c:v>February 2015</c:v>
                </c:pt>
                <c:pt idx="4">
                  <c:v>March 2015</c:v>
                </c:pt>
                <c:pt idx="5">
                  <c:v>April 2015</c:v>
                </c:pt>
                <c:pt idx="6">
                  <c:v>May 2015</c:v>
                </c:pt>
                <c:pt idx="7">
                  <c:v>June 2015</c:v>
                </c:pt>
                <c:pt idx="8">
                  <c:v>July 2015</c:v>
                </c:pt>
                <c:pt idx="9">
                  <c:v>August 2015</c:v>
                </c:pt>
                <c:pt idx="10">
                  <c:v>September 2015</c:v>
                </c:pt>
                <c:pt idx="11">
                  <c:v>October 2015</c:v>
                </c:pt>
                <c:pt idx="12">
                  <c:v>November 2015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106.33</c:v>
                </c:pt>
                <c:pt idx="1">
                  <c:v>105.48</c:v>
                </c:pt>
                <c:pt idx="2">
                  <c:v>105.34</c:v>
                </c:pt>
                <c:pt idx="3">
                  <c:v>106.01</c:v>
                </c:pt>
                <c:pt idx="4">
                  <c:v>106.19</c:v>
                </c:pt>
                <c:pt idx="5">
                  <c:v>105.02</c:v>
                </c:pt>
                <c:pt idx="6">
                  <c:v>103.81</c:v>
                </c:pt>
                <c:pt idx="7">
                  <c:v>104.01</c:v>
                </c:pt>
                <c:pt idx="8">
                  <c:v>104.03</c:v>
                </c:pt>
                <c:pt idx="9">
                  <c:v>106.19</c:v>
                </c:pt>
                <c:pt idx="10">
                  <c:v>108.17999999999998</c:v>
                </c:pt>
                <c:pt idx="11">
                  <c:v>108.57</c:v>
                </c:pt>
                <c:pt idx="12">
                  <c:v>107.83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9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November 2014</c:v>
                </c:pt>
                <c:pt idx="1">
                  <c:v>December 2014</c:v>
                </c:pt>
                <c:pt idx="2">
                  <c:v>January 2015</c:v>
                </c:pt>
                <c:pt idx="3">
                  <c:v>February 2015</c:v>
                </c:pt>
                <c:pt idx="4">
                  <c:v>March 2015</c:v>
                </c:pt>
                <c:pt idx="5">
                  <c:v>April 2015</c:v>
                </c:pt>
                <c:pt idx="6">
                  <c:v>May 2015</c:v>
                </c:pt>
                <c:pt idx="7">
                  <c:v>June 2015</c:v>
                </c:pt>
                <c:pt idx="8">
                  <c:v>July 2015</c:v>
                </c:pt>
                <c:pt idx="9">
                  <c:v>August 2015</c:v>
                </c:pt>
                <c:pt idx="10">
                  <c:v>September 2015</c:v>
                </c:pt>
                <c:pt idx="11">
                  <c:v>October 2015</c:v>
                </c:pt>
                <c:pt idx="12">
                  <c:v>November 2015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November 2014</c:v>
                </c:pt>
                <c:pt idx="1">
                  <c:v>December 2014</c:v>
                </c:pt>
                <c:pt idx="2">
                  <c:v>January 2015</c:v>
                </c:pt>
                <c:pt idx="3">
                  <c:v>February 2015</c:v>
                </c:pt>
                <c:pt idx="4">
                  <c:v>March 2015</c:v>
                </c:pt>
                <c:pt idx="5">
                  <c:v>April 2015</c:v>
                </c:pt>
                <c:pt idx="6">
                  <c:v>May 2015</c:v>
                </c:pt>
                <c:pt idx="7">
                  <c:v>June 2015</c:v>
                </c:pt>
                <c:pt idx="8">
                  <c:v>July 2015</c:v>
                </c:pt>
                <c:pt idx="9">
                  <c:v>August 2015</c:v>
                </c:pt>
                <c:pt idx="10">
                  <c:v>September 2015</c:v>
                </c:pt>
                <c:pt idx="11">
                  <c:v>October 2015</c:v>
                </c:pt>
                <c:pt idx="12">
                  <c:v>November 2015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697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November 2014</c:v>
                </c:pt>
                <c:pt idx="1">
                  <c:v>December 2014</c:v>
                </c:pt>
                <c:pt idx="2">
                  <c:v>January 2015</c:v>
                </c:pt>
                <c:pt idx="3">
                  <c:v>February 2015</c:v>
                </c:pt>
                <c:pt idx="4">
                  <c:v>March 2015</c:v>
                </c:pt>
                <c:pt idx="5">
                  <c:v>April 2015</c:v>
                </c:pt>
                <c:pt idx="6">
                  <c:v>May 2015</c:v>
                </c:pt>
                <c:pt idx="7">
                  <c:v>June 2015</c:v>
                </c:pt>
                <c:pt idx="8">
                  <c:v>July 2015</c:v>
                </c:pt>
                <c:pt idx="9">
                  <c:v>August 2015</c:v>
                </c:pt>
                <c:pt idx="10">
                  <c:v>September 2015</c:v>
                </c:pt>
                <c:pt idx="11">
                  <c:v>October 2015</c:v>
                </c:pt>
                <c:pt idx="12">
                  <c:v>November 2015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</c:numCache>
            </c:numRef>
          </c:val>
        </c:ser>
        <c:marker val="1"/>
        <c:axId val="143215232"/>
        <c:axId val="162967936"/>
      </c:lineChart>
      <c:catAx>
        <c:axId val="143215232"/>
        <c:scaling>
          <c:orientation val="minMax"/>
        </c:scaling>
        <c:axPos val="b"/>
        <c:numFmt formatCode="@" sourceLinked="0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62967936"/>
        <c:crosses val="autoZero"/>
        <c:auto val="1"/>
        <c:lblAlgn val="ctr"/>
        <c:lblOffset val="100"/>
        <c:tickLblSkip val="1"/>
        <c:tickMarkSkip val="2"/>
      </c:catAx>
      <c:valAx>
        <c:axId val="162967936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Producer Price Index</a:t>
                </a:r>
              </a:p>
            </c:rich>
          </c:tx>
          <c:layout>
            <c:manualLayout>
              <c:xMode val="edge"/>
              <c:yMode val="edge"/>
              <c:x val="0"/>
              <c:y val="0.16990291262135926"/>
            </c:manualLayout>
          </c:layout>
          <c:spPr>
            <a:noFill/>
            <a:ln w="25395">
              <a:noFill/>
            </a:ln>
          </c:spPr>
        </c:title>
        <c:numFmt formatCode="0" sourceLinked="0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43215232"/>
        <c:crosses val="autoZero"/>
        <c:crossBetween val="between"/>
        <c:majorUnit val="5"/>
      </c:valAx>
      <c:spPr>
        <a:noFill/>
        <a:ln w="25395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2015-12-27T12:56:00Z</dcterms:created>
  <dcterms:modified xsi:type="dcterms:W3CDTF">2015-12-27T12:57:00Z</dcterms:modified>
</cp:coreProperties>
</file>