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32" w:rsidRPr="00984E32" w:rsidRDefault="00984E32" w:rsidP="00984E32">
      <w:pPr>
        <w:pStyle w:val="Heading1"/>
        <w:bidi w:val="0"/>
        <w:jc w:val="left"/>
        <w:rPr>
          <w:sz w:val="28"/>
          <w:szCs w:val="28"/>
        </w:rPr>
      </w:pPr>
    </w:p>
    <w:p w:rsidR="00F46A57" w:rsidRDefault="00F46A57" w:rsidP="00984E32">
      <w:pPr>
        <w:pStyle w:val="Heading1"/>
        <w:bidi w:val="0"/>
        <w:jc w:val="center"/>
        <w:rPr>
          <w:sz w:val="32"/>
          <w:szCs w:val="32"/>
        </w:rPr>
      </w:pPr>
    </w:p>
    <w:p w:rsidR="00051D88" w:rsidRPr="00F46A57" w:rsidRDefault="00051D88" w:rsidP="00F46A57">
      <w:pPr>
        <w:pStyle w:val="Heading1"/>
        <w:bidi w:val="0"/>
        <w:jc w:val="center"/>
        <w:rPr>
          <w:rFonts w:cs="Simplified Arabic"/>
          <w:sz w:val="32"/>
          <w:szCs w:val="32"/>
        </w:rPr>
      </w:pPr>
      <w:r w:rsidRPr="00F46A57">
        <w:rPr>
          <w:sz w:val="32"/>
          <w:szCs w:val="32"/>
        </w:rPr>
        <w:t>Palestinian Central Bureau</w:t>
      </w:r>
      <w:r w:rsidRPr="00F46A57">
        <w:rPr>
          <w:sz w:val="32"/>
          <w:szCs w:val="32"/>
          <w:rtl/>
        </w:rPr>
        <w:t xml:space="preserve"> </w:t>
      </w:r>
      <w:r w:rsidRPr="00F46A57">
        <w:rPr>
          <w:rFonts w:cs="Simplified Arabic"/>
          <w:sz w:val="32"/>
          <w:szCs w:val="32"/>
        </w:rPr>
        <w:t>of Statistics (PCBS)</w:t>
      </w:r>
    </w:p>
    <w:p w:rsidR="00984E32" w:rsidRPr="00984E32" w:rsidRDefault="00984E32" w:rsidP="00984E32">
      <w:pPr>
        <w:bidi w:val="0"/>
        <w:jc w:val="center"/>
        <w:outlineLvl w:val="1"/>
        <w:rPr>
          <w:sz w:val="28"/>
          <w:szCs w:val="28"/>
          <w:lang w:eastAsia="en-US"/>
        </w:rPr>
      </w:pPr>
    </w:p>
    <w:p w:rsidR="00051D88" w:rsidRPr="00F46A57" w:rsidRDefault="00051D88" w:rsidP="00984E32">
      <w:pPr>
        <w:bidi w:val="0"/>
        <w:jc w:val="center"/>
        <w:outlineLvl w:val="1"/>
        <w:rPr>
          <w:b/>
          <w:bCs/>
          <w:sz w:val="32"/>
          <w:szCs w:val="32"/>
        </w:rPr>
      </w:pPr>
      <w:r w:rsidRPr="00F46A57">
        <w:rPr>
          <w:b/>
          <w:bCs/>
          <w:color w:val="000000"/>
          <w:sz w:val="32"/>
          <w:szCs w:val="32"/>
        </w:rPr>
        <w:t>Palestinian</w:t>
      </w:r>
      <w:r w:rsidRPr="00F46A57">
        <w:rPr>
          <w:b/>
          <w:bCs/>
          <w:kern w:val="36"/>
          <w:sz w:val="32"/>
          <w:szCs w:val="32"/>
        </w:rPr>
        <w:t xml:space="preserve"> </w:t>
      </w:r>
      <w:r w:rsidRPr="00F46A57">
        <w:rPr>
          <w:b/>
          <w:bCs/>
          <w:color w:val="000000"/>
          <w:sz w:val="32"/>
          <w:szCs w:val="32"/>
        </w:rPr>
        <w:t>Producer Price Index</w:t>
      </w:r>
      <w:r w:rsidRPr="00F46A57">
        <w:rPr>
          <w:b/>
          <w:bCs/>
          <w:kern w:val="36"/>
          <w:sz w:val="32"/>
          <w:szCs w:val="32"/>
        </w:rPr>
        <w:t xml:space="preserve">, </w:t>
      </w:r>
      <w:r w:rsidRPr="00F46A57">
        <w:rPr>
          <w:b/>
          <w:bCs/>
          <w:sz w:val="32"/>
          <w:szCs w:val="32"/>
        </w:rPr>
        <w:t xml:space="preserve">during </w:t>
      </w:r>
      <w:r w:rsidR="00984E32" w:rsidRPr="00F46A57">
        <w:rPr>
          <w:b/>
          <w:bCs/>
          <w:sz w:val="32"/>
          <w:szCs w:val="32"/>
        </w:rPr>
        <w:t>March</w:t>
      </w:r>
      <w:r w:rsidRPr="00F46A57">
        <w:rPr>
          <w:b/>
          <w:bCs/>
          <w:sz w:val="32"/>
          <w:szCs w:val="32"/>
        </w:rPr>
        <w:t xml:space="preserve">, </w:t>
      </w:r>
      <w:r w:rsidR="00984E32" w:rsidRPr="00F46A57">
        <w:rPr>
          <w:b/>
          <w:bCs/>
          <w:sz w:val="32"/>
          <w:szCs w:val="32"/>
        </w:rPr>
        <w:t>03</w:t>
      </w:r>
      <w:r w:rsidRPr="00F46A57">
        <w:rPr>
          <w:b/>
          <w:bCs/>
          <w:sz w:val="32"/>
          <w:szCs w:val="32"/>
        </w:rPr>
        <w:t xml:space="preserve">/2016 </w:t>
      </w:r>
    </w:p>
    <w:p w:rsidR="00051D88" w:rsidRDefault="00051D88" w:rsidP="00051D88">
      <w:pPr>
        <w:bidi w:val="0"/>
        <w:outlineLvl w:val="1"/>
        <w:rPr>
          <w:b/>
          <w:bCs/>
          <w:kern w:val="36"/>
          <w:sz w:val="22"/>
          <w:szCs w:val="22"/>
        </w:rPr>
      </w:pPr>
    </w:p>
    <w:p w:rsidR="00984E32" w:rsidRDefault="00984E32" w:rsidP="00984E32">
      <w:pPr>
        <w:bidi w:val="0"/>
        <w:outlineLvl w:val="1"/>
        <w:rPr>
          <w:b/>
          <w:bCs/>
          <w:kern w:val="36"/>
          <w:sz w:val="22"/>
          <w:szCs w:val="22"/>
        </w:rPr>
      </w:pPr>
    </w:p>
    <w:p w:rsidR="00984E32" w:rsidRDefault="00984E32" w:rsidP="00984E32">
      <w:pPr>
        <w:bidi w:val="0"/>
        <w:outlineLvl w:val="1"/>
        <w:rPr>
          <w:b/>
          <w:bCs/>
          <w:color w:val="000000"/>
          <w:sz w:val="28"/>
          <w:szCs w:val="28"/>
        </w:rPr>
      </w:pPr>
    </w:p>
    <w:p w:rsidR="00984E32" w:rsidRPr="00984E32" w:rsidRDefault="00984E32" w:rsidP="00984E32">
      <w:pPr>
        <w:bidi w:val="0"/>
        <w:outlineLvl w:val="1"/>
        <w:rPr>
          <w:b/>
          <w:bCs/>
          <w:sz w:val="25"/>
          <w:szCs w:val="25"/>
        </w:rPr>
      </w:pPr>
      <w:r w:rsidRPr="00984E32">
        <w:rPr>
          <w:b/>
          <w:bCs/>
          <w:color w:val="000000"/>
          <w:sz w:val="25"/>
          <w:szCs w:val="25"/>
        </w:rPr>
        <w:t>Decrease in</w:t>
      </w:r>
      <w:r w:rsidRPr="00984E32">
        <w:rPr>
          <w:b/>
          <w:bCs/>
          <w:sz w:val="25"/>
          <w:szCs w:val="25"/>
        </w:rPr>
        <w:t xml:space="preserve"> the Producer Price</w:t>
      </w:r>
      <w:r w:rsidRPr="00984E32">
        <w:rPr>
          <w:sz w:val="25"/>
          <w:szCs w:val="25"/>
          <w:vertAlign w:val="superscript"/>
        </w:rPr>
        <w:t>1</w:t>
      </w:r>
      <w:r w:rsidRPr="00984E32">
        <w:rPr>
          <w:b/>
          <w:bCs/>
          <w:sz w:val="25"/>
          <w:szCs w:val="25"/>
        </w:rPr>
        <w:t xml:space="preserve"> Index during March 2016</w:t>
      </w:r>
    </w:p>
    <w:p w:rsidR="00984E32" w:rsidRDefault="00984E32" w:rsidP="00984E32">
      <w:pPr>
        <w:bidi w:val="0"/>
        <w:outlineLvl w:val="1"/>
        <w:rPr>
          <w:b/>
          <w:bCs/>
          <w:sz w:val="8"/>
          <w:szCs w:val="8"/>
        </w:rPr>
      </w:pPr>
    </w:p>
    <w:p w:rsidR="00984E32" w:rsidRPr="00D57217" w:rsidRDefault="00984E32" w:rsidP="00984E32">
      <w:pPr>
        <w:bidi w:val="0"/>
        <w:outlineLvl w:val="1"/>
        <w:rPr>
          <w:b/>
          <w:bCs/>
          <w:sz w:val="16"/>
          <w:szCs w:val="16"/>
        </w:rPr>
      </w:pPr>
    </w:p>
    <w:p w:rsidR="00984E32" w:rsidRPr="00D0313C" w:rsidRDefault="00984E32" w:rsidP="00984E32">
      <w:pPr>
        <w:bidi w:val="0"/>
        <w:outlineLvl w:val="1"/>
        <w:rPr>
          <w:b/>
          <w:bCs/>
          <w:sz w:val="8"/>
          <w:szCs w:val="8"/>
        </w:rPr>
      </w:pPr>
    </w:p>
    <w:p w:rsidR="00984E32" w:rsidRDefault="00984E32" w:rsidP="00984E32">
      <w:pPr>
        <w:bidi w:val="0"/>
        <w:spacing w:line="360" w:lineRule="auto"/>
        <w:jc w:val="lowKashida"/>
        <w:rPr>
          <w:color w:val="000000"/>
        </w:rPr>
      </w:pPr>
      <w:r>
        <w:rPr>
          <w:color w:val="000000"/>
        </w:rPr>
        <w:t xml:space="preserve">The overall Producer </w:t>
      </w:r>
      <w:r>
        <w:t>Price</w:t>
      </w:r>
      <w:r>
        <w:rPr>
          <w:color w:val="000000"/>
        </w:rPr>
        <w:t xml:space="preserve"> Index (PPI) for  Palestine with its base month (December 2015=100) reached 98.34 in March 2016, </w:t>
      </w:r>
      <w:r>
        <w:t xml:space="preserve">as it </w:t>
      </w:r>
      <w:r>
        <w:rPr>
          <w:color w:val="000000"/>
        </w:rPr>
        <w:t>decreased by 0.92% compared to February 2016.</w:t>
      </w:r>
    </w:p>
    <w:p w:rsidR="00984E32" w:rsidRPr="00984E32" w:rsidRDefault="00984E32" w:rsidP="00984E32">
      <w:pPr>
        <w:bidi w:val="0"/>
        <w:spacing w:line="360" w:lineRule="auto"/>
        <w:jc w:val="lowKashida"/>
        <w:rPr>
          <w:color w:val="000000"/>
          <w:sz w:val="16"/>
          <w:szCs w:val="16"/>
        </w:rPr>
      </w:pPr>
    </w:p>
    <w:p w:rsidR="00984E32" w:rsidRDefault="00984E32" w:rsidP="00984E32">
      <w:pPr>
        <w:pStyle w:val="BodyText2"/>
        <w:bidi w:val="0"/>
        <w:spacing w:after="0" w:line="360" w:lineRule="auto"/>
        <w:jc w:val="both"/>
      </w:pPr>
      <w:r>
        <w:t>Producer Price Index for locally consumed products (</w:t>
      </w:r>
      <w:r>
        <w:rPr>
          <w:color w:val="000000"/>
        </w:rPr>
        <w:t>December 2015</w:t>
      </w:r>
      <w:r>
        <w:t xml:space="preserve">=100) reached 98.21 in </w:t>
      </w:r>
      <w:r>
        <w:rPr>
          <w:color w:val="000000"/>
        </w:rPr>
        <w:t>March 2016</w:t>
      </w:r>
      <w:r>
        <w:t xml:space="preserve">, which indicates a decrease by 1.00% compared to </w:t>
      </w:r>
      <w:r>
        <w:rPr>
          <w:color w:val="000000"/>
        </w:rPr>
        <w:t xml:space="preserve">February </w:t>
      </w:r>
      <w:r>
        <w:t>2016.</w:t>
      </w:r>
    </w:p>
    <w:p w:rsidR="00984E32" w:rsidRPr="00984E32" w:rsidRDefault="00984E32" w:rsidP="00984E32">
      <w:pPr>
        <w:pStyle w:val="BodyText2"/>
        <w:bidi w:val="0"/>
        <w:spacing w:after="0" w:line="360" w:lineRule="auto"/>
        <w:jc w:val="both"/>
        <w:rPr>
          <w:sz w:val="16"/>
          <w:szCs w:val="16"/>
        </w:rPr>
      </w:pPr>
    </w:p>
    <w:p w:rsidR="00984E32" w:rsidRDefault="00984E32" w:rsidP="00984E32">
      <w:pPr>
        <w:pStyle w:val="BodyText2"/>
        <w:bidi w:val="0"/>
        <w:spacing w:after="0" w:line="360" w:lineRule="auto"/>
        <w:jc w:val="both"/>
      </w:pPr>
      <w:r>
        <w:t>Producer Price Index for local exported products (</w:t>
      </w:r>
      <w:r>
        <w:rPr>
          <w:color w:val="000000"/>
        </w:rPr>
        <w:t>December 2015</w:t>
      </w:r>
      <w:r>
        <w:t xml:space="preserve">=100) reached 99.39 in </w:t>
      </w:r>
      <w:r>
        <w:rPr>
          <w:color w:val="000000"/>
        </w:rPr>
        <w:t>March 2016</w:t>
      </w:r>
      <w:r>
        <w:t xml:space="preserve">, which indicates a slight increase </w:t>
      </w:r>
      <w:r>
        <w:rPr>
          <w:color w:val="000000"/>
        </w:rPr>
        <w:t>by</w:t>
      </w:r>
      <w:r>
        <w:t xml:space="preserve"> 0.08% compared to </w:t>
      </w:r>
      <w:r>
        <w:rPr>
          <w:color w:val="000000"/>
        </w:rPr>
        <w:t xml:space="preserve">February </w:t>
      </w:r>
      <w:r>
        <w:t>2016.</w:t>
      </w:r>
    </w:p>
    <w:p w:rsidR="00984E32" w:rsidRPr="00984E32" w:rsidRDefault="00984E32" w:rsidP="00984E32">
      <w:pPr>
        <w:pStyle w:val="BodyText2"/>
        <w:bidi w:val="0"/>
        <w:spacing w:after="0" w:line="360" w:lineRule="auto"/>
        <w:jc w:val="both"/>
        <w:rPr>
          <w:sz w:val="16"/>
          <w:szCs w:val="16"/>
        </w:rPr>
      </w:pPr>
    </w:p>
    <w:p w:rsidR="00984E32" w:rsidRDefault="00984E32" w:rsidP="00984E32">
      <w:pPr>
        <w:pStyle w:val="BodyText2"/>
        <w:bidi w:val="0"/>
        <w:spacing w:after="0" w:line="360" w:lineRule="auto"/>
        <w:jc w:val="both"/>
      </w:pPr>
      <w:r>
        <w:rPr>
          <w:color w:val="000000"/>
        </w:rPr>
        <w:t xml:space="preserve">The changes of </w:t>
      </w:r>
      <w:r>
        <w:t xml:space="preserve">Producer </w:t>
      </w:r>
      <w:r>
        <w:rPr>
          <w:color w:val="000000"/>
        </w:rPr>
        <w:t>Price Index for March 2016</w:t>
      </w:r>
      <w:r>
        <w:rPr>
          <w:color w:val="000000"/>
          <w:sz w:val="28"/>
          <w:szCs w:val="28"/>
        </w:rPr>
        <w:t xml:space="preserve"> </w:t>
      </w:r>
      <w:r>
        <w:rPr>
          <w:color w:val="000000"/>
        </w:rPr>
        <w:t>were traced back to changes in prices of the following major activities compared to the previous month:</w:t>
      </w:r>
    </w:p>
    <w:tbl>
      <w:tblPr>
        <w:tblpPr w:leftFromText="180" w:rightFromText="180" w:vertAnchor="text" w:horzAnchor="margin" w:tblpXSpec="center" w:tblpY="111"/>
        <w:tblW w:w="6822"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8"/>
        <w:gridCol w:w="1584"/>
      </w:tblGrid>
      <w:tr w:rsidR="00984E32" w:rsidRPr="003E4C37" w:rsidTr="00984E32">
        <w:trPr>
          <w:trHeight w:hRule="exact" w:val="454"/>
        </w:trPr>
        <w:tc>
          <w:tcPr>
            <w:tcW w:w="5238" w:type="dxa"/>
            <w:vAlign w:val="center"/>
          </w:tcPr>
          <w:p w:rsidR="00984E32" w:rsidRPr="003E4C37" w:rsidRDefault="00984E32" w:rsidP="00984E32">
            <w:pPr>
              <w:pStyle w:val="BodyText3"/>
              <w:bidi w:val="0"/>
              <w:rPr>
                <w:sz w:val="24"/>
                <w:szCs w:val="24"/>
              </w:rPr>
            </w:pPr>
            <w:r w:rsidRPr="003E4C37">
              <w:rPr>
                <w:b/>
                <w:bCs/>
                <w:color w:val="000000"/>
                <w:sz w:val="24"/>
                <w:szCs w:val="24"/>
              </w:rPr>
              <w:t xml:space="preserve">Major </w:t>
            </w:r>
            <w:r>
              <w:rPr>
                <w:b/>
                <w:bCs/>
                <w:color w:val="000000"/>
                <w:sz w:val="24"/>
                <w:szCs w:val="24"/>
              </w:rPr>
              <w:t>Activities</w:t>
            </w:r>
          </w:p>
        </w:tc>
        <w:tc>
          <w:tcPr>
            <w:tcW w:w="1584" w:type="dxa"/>
            <w:vAlign w:val="center"/>
          </w:tcPr>
          <w:p w:rsidR="00984E32" w:rsidRPr="003E4C37" w:rsidRDefault="00984E32" w:rsidP="00984E32">
            <w:pPr>
              <w:pStyle w:val="BodyText3"/>
              <w:bidi w:val="0"/>
              <w:jc w:val="right"/>
              <w:rPr>
                <w:rFonts w:ascii="Arial" w:hAnsi="Arial" w:cs="Arial"/>
                <w:b/>
                <w:bCs/>
                <w:sz w:val="24"/>
                <w:szCs w:val="24"/>
              </w:rPr>
            </w:pPr>
            <w:r w:rsidRPr="003E4C37">
              <w:rPr>
                <w:b/>
                <w:bCs/>
                <w:sz w:val="24"/>
                <w:szCs w:val="24"/>
              </w:rPr>
              <w:t>Change</w:t>
            </w:r>
          </w:p>
        </w:tc>
      </w:tr>
      <w:tr w:rsidR="00984E32" w:rsidRPr="003E4C37" w:rsidTr="00984E32">
        <w:trPr>
          <w:trHeight w:hRule="exact" w:val="370"/>
        </w:trPr>
        <w:tc>
          <w:tcPr>
            <w:tcW w:w="5238" w:type="dxa"/>
            <w:vAlign w:val="center"/>
          </w:tcPr>
          <w:p w:rsidR="00984E32" w:rsidRPr="003E4C37" w:rsidRDefault="00984E32" w:rsidP="00984E32">
            <w:pPr>
              <w:bidi w:val="0"/>
              <w:spacing w:line="360" w:lineRule="auto"/>
              <w:jc w:val="both"/>
            </w:pPr>
            <w:r w:rsidRPr="003E4C37">
              <w:rPr>
                <w:color w:val="000000"/>
              </w:rPr>
              <w:t>Agriculture, forestry and fishing goods</w:t>
            </w:r>
            <w:r w:rsidRPr="003E4C37">
              <w:t>:</w:t>
            </w:r>
          </w:p>
        </w:tc>
        <w:tc>
          <w:tcPr>
            <w:tcW w:w="1584" w:type="dxa"/>
            <w:vAlign w:val="center"/>
          </w:tcPr>
          <w:p w:rsidR="00984E32" w:rsidRPr="003E4C37" w:rsidRDefault="00984E32" w:rsidP="00984E32">
            <w:pPr>
              <w:tabs>
                <w:tab w:val="right" w:pos="334"/>
                <w:tab w:val="right" w:pos="606"/>
                <w:tab w:val="right" w:pos="796"/>
                <w:tab w:val="right" w:pos="1014"/>
              </w:tabs>
              <w:bidi w:val="0"/>
              <w:spacing w:line="360" w:lineRule="auto"/>
              <w:jc w:val="both"/>
              <w:rPr>
                <w:color w:val="000000"/>
              </w:rPr>
            </w:pPr>
            <w:r w:rsidRPr="003E4C37">
              <w:rPr>
                <w:color w:val="000000"/>
              </w:rPr>
              <w:t xml:space="preserve">    -    </w:t>
            </w:r>
            <w:r>
              <w:rPr>
                <w:color w:val="000000"/>
              </w:rPr>
              <w:t>5.68</w:t>
            </w:r>
            <w:r w:rsidRPr="003E4C37">
              <w:rPr>
                <w:color w:val="000000"/>
              </w:rPr>
              <w:t xml:space="preserve">% </w:t>
            </w:r>
          </w:p>
          <w:p w:rsidR="00984E32" w:rsidRPr="003E4C37" w:rsidRDefault="00984E32" w:rsidP="00984E32">
            <w:pPr>
              <w:tabs>
                <w:tab w:val="right" w:pos="334"/>
                <w:tab w:val="right" w:pos="606"/>
                <w:tab w:val="right" w:pos="796"/>
                <w:tab w:val="right" w:pos="1014"/>
              </w:tabs>
              <w:bidi w:val="0"/>
              <w:spacing w:line="360" w:lineRule="auto"/>
              <w:jc w:val="both"/>
            </w:pPr>
          </w:p>
        </w:tc>
      </w:tr>
      <w:tr w:rsidR="00984E32" w:rsidRPr="003E4C37" w:rsidTr="00984E32">
        <w:trPr>
          <w:trHeight w:hRule="exact" w:val="352"/>
        </w:trPr>
        <w:tc>
          <w:tcPr>
            <w:tcW w:w="5238" w:type="dxa"/>
            <w:vAlign w:val="center"/>
          </w:tcPr>
          <w:p w:rsidR="00984E32" w:rsidRPr="003E4C37" w:rsidRDefault="00984E32" w:rsidP="00984E32">
            <w:pPr>
              <w:bidi w:val="0"/>
              <w:spacing w:line="360" w:lineRule="auto"/>
              <w:jc w:val="both"/>
            </w:pPr>
            <w:r w:rsidRPr="003E4C37">
              <w:rPr>
                <w:color w:val="000000"/>
              </w:rPr>
              <w:t>Mining and quarrying</w:t>
            </w:r>
          </w:p>
        </w:tc>
        <w:tc>
          <w:tcPr>
            <w:tcW w:w="1584" w:type="dxa"/>
            <w:vAlign w:val="center"/>
          </w:tcPr>
          <w:p w:rsidR="00984E32" w:rsidRPr="003E4C37" w:rsidRDefault="00984E32" w:rsidP="00984E32">
            <w:pPr>
              <w:bidi w:val="0"/>
              <w:spacing w:line="360" w:lineRule="auto"/>
              <w:jc w:val="both"/>
            </w:pPr>
            <w:r w:rsidRPr="003E4C37">
              <w:rPr>
                <w:color w:val="000000"/>
              </w:rPr>
              <w:t xml:space="preserve">    -    </w:t>
            </w:r>
            <w:r>
              <w:rPr>
                <w:color w:val="000000"/>
              </w:rPr>
              <w:t>2.48</w:t>
            </w:r>
            <w:r w:rsidRPr="003E4C37">
              <w:rPr>
                <w:color w:val="000000"/>
              </w:rPr>
              <w:t>%</w:t>
            </w:r>
          </w:p>
        </w:tc>
      </w:tr>
      <w:tr w:rsidR="00984E32" w:rsidRPr="003E4C37" w:rsidTr="00984E32">
        <w:trPr>
          <w:trHeight w:hRule="exact" w:val="352"/>
        </w:trPr>
        <w:tc>
          <w:tcPr>
            <w:tcW w:w="5238" w:type="dxa"/>
            <w:vAlign w:val="center"/>
          </w:tcPr>
          <w:p w:rsidR="00984E32" w:rsidRPr="003E4C37" w:rsidRDefault="00984E32" w:rsidP="00984E32">
            <w:pPr>
              <w:bidi w:val="0"/>
              <w:spacing w:line="360" w:lineRule="auto"/>
              <w:jc w:val="lowKashida"/>
              <w:rPr>
                <w:color w:val="000000"/>
              </w:rPr>
            </w:pPr>
            <w:r>
              <w:rPr>
                <w:color w:val="000000"/>
              </w:rPr>
              <w:t>Manufacturing</w:t>
            </w:r>
          </w:p>
        </w:tc>
        <w:tc>
          <w:tcPr>
            <w:tcW w:w="1584" w:type="dxa"/>
            <w:vAlign w:val="center"/>
          </w:tcPr>
          <w:p w:rsidR="00984E32" w:rsidRPr="003E4C37" w:rsidRDefault="00984E32" w:rsidP="00984E32">
            <w:pPr>
              <w:bidi w:val="0"/>
              <w:spacing w:line="360" w:lineRule="auto"/>
              <w:jc w:val="both"/>
              <w:rPr>
                <w:color w:val="000000"/>
              </w:rPr>
            </w:pPr>
            <w:r w:rsidRPr="003E4C37">
              <w:rPr>
                <w:color w:val="000000"/>
              </w:rPr>
              <w:t xml:space="preserve">    </w:t>
            </w:r>
            <w:r>
              <w:rPr>
                <w:color w:val="000000"/>
              </w:rPr>
              <w:t>+</w:t>
            </w:r>
            <w:r w:rsidRPr="003E4C37">
              <w:rPr>
                <w:color w:val="000000"/>
              </w:rPr>
              <w:t xml:space="preserve">    0.</w:t>
            </w:r>
            <w:r>
              <w:rPr>
                <w:color w:val="000000"/>
              </w:rPr>
              <w:t>14</w:t>
            </w:r>
            <w:r w:rsidRPr="003E4C37">
              <w:rPr>
                <w:color w:val="000000"/>
              </w:rPr>
              <w:t>%</w:t>
            </w:r>
          </w:p>
        </w:tc>
      </w:tr>
      <w:tr w:rsidR="00984E32" w:rsidRPr="003E4C37" w:rsidTr="00984E32">
        <w:trPr>
          <w:trHeight w:hRule="exact" w:val="1270"/>
        </w:trPr>
        <w:tc>
          <w:tcPr>
            <w:tcW w:w="5238" w:type="dxa"/>
            <w:vAlign w:val="center"/>
          </w:tcPr>
          <w:p w:rsidR="00984E32" w:rsidRPr="003E4C37" w:rsidRDefault="00984E32" w:rsidP="00984E32">
            <w:pPr>
              <w:bidi w:val="0"/>
              <w:spacing w:line="360" w:lineRule="auto"/>
              <w:jc w:val="both"/>
            </w:pPr>
            <w:r w:rsidRPr="003E4C37">
              <w:t>Water supply; sewerage, waste management and remediation activities</w:t>
            </w:r>
          </w:p>
          <w:p w:rsidR="00984E32" w:rsidRPr="003E4C37" w:rsidRDefault="00984E32" w:rsidP="00984E32">
            <w:pPr>
              <w:bidi w:val="0"/>
              <w:spacing w:line="360" w:lineRule="auto"/>
              <w:jc w:val="both"/>
            </w:pPr>
            <w:r w:rsidRPr="003E4C37">
              <w:t xml:space="preserve"> ma managementj</w:t>
            </w:r>
          </w:p>
        </w:tc>
        <w:tc>
          <w:tcPr>
            <w:tcW w:w="1584" w:type="dxa"/>
            <w:vAlign w:val="center"/>
          </w:tcPr>
          <w:p w:rsidR="00984E32" w:rsidRPr="003E4C37" w:rsidRDefault="00984E32" w:rsidP="00984E32">
            <w:pPr>
              <w:bidi w:val="0"/>
              <w:spacing w:line="360" w:lineRule="auto"/>
              <w:jc w:val="both"/>
            </w:pPr>
            <w:r>
              <w:rPr>
                <w:color w:val="000000"/>
              </w:rPr>
              <w:t xml:space="preserve">    +</w:t>
            </w:r>
            <w:r w:rsidRPr="003E4C37">
              <w:rPr>
                <w:color w:val="000000"/>
              </w:rPr>
              <w:t xml:space="preserve">    </w:t>
            </w:r>
            <w:r>
              <w:rPr>
                <w:color w:val="000000"/>
              </w:rPr>
              <w:t>5.56</w:t>
            </w:r>
            <w:r w:rsidRPr="003E4C37">
              <w:rPr>
                <w:color w:val="000000"/>
              </w:rPr>
              <w:t>%</w:t>
            </w:r>
          </w:p>
        </w:tc>
      </w:tr>
      <w:tr w:rsidR="00984E32" w:rsidRPr="003E4C37" w:rsidTr="00984E32">
        <w:trPr>
          <w:trHeight w:hRule="exact" w:val="577"/>
        </w:trPr>
        <w:tc>
          <w:tcPr>
            <w:tcW w:w="5238" w:type="dxa"/>
            <w:vAlign w:val="center"/>
          </w:tcPr>
          <w:p w:rsidR="00984E32" w:rsidRPr="003E4C37" w:rsidRDefault="00984E32" w:rsidP="00984E32">
            <w:pPr>
              <w:bidi w:val="0"/>
              <w:spacing w:line="360" w:lineRule="auto"/>
              <w:jc w:val="both"/>
            </w:pPr>
            <w:r w:rsidRPr="003E4C37">
              <w:t>Electricity, gas, steam and air conditioning supply</w:t>
            </w:r>
          </w:p>
        </w:tc>
        <w:tc>
          <w:tcPr>
            <w:tcW w:w="1584" w:type="dxa"/>
            <w:vAlign w:val="center"/>
          </w:tcPr>
          <w:p w:rsidR="00984E32" w:rsidRPr="003E4C37" w:rsidRDefault="00984E32" w:rsidP="00984E32">
            <w:pPr>
              <w:bidi w:val="0"/>
              <w:spacing w:line="360" w:lineRule="auto"/>
              <w:jc w:val="both"/>
            </w:pPr>
            <w:r w:rsidRPr="003E4C37">
              <w:rPr>
                <w:color w:val="000000"/>
              </w:rPr>
              <w:t xml:space="preserve">    +    </w:t>
            </w:r>
            <w:r>
              <w:rPr>
                <w:color w:val="000000"/>
              </w:rPr>
              <w:t>3.90</w:t>
            </w:r>
            <w:r w:rsidRPr="003E4C37">
              <w:rPr>
                <w:color w:val="000000"/>
              </w:rPr>
              <w:t>%</w:t>
            </w:r>
          </w:p>
        </w:tc>
      </w:tr>
    </w:tbl>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Style w:val="BodyText2"/>
        <w:bidi w:val="0"/>
        <w:spacing w:after="0" w:line="360" w:lineRule="auto"/>
        <w:jc w:val="both"/>
      </w:pPr>
    </w:p>
    <w:p w:rsidR="00984E32" w:rsidRDefault="00984E32" w:rsidP="00984E32">
      <w:pPr>
        <w:pBdr>
          <w:bottom w:val="single" w:sz="12" w:space="2" w:color="auto"/>
        </w:pBdr>
        <w:autoSpaceDE w:val="0"/>
        <w:autoSpaceDN w:val="0"/>
        <w:bidi w:val="0"/>
        <w:adjustRightInd w:val="0"/>
        <w:jc w:val="both"/>
      </w:pPr>
    </w:p>
    <w:p w:rsidR="00984E32" w:rsidRDefault="00984E32" w:rsidP="00984E32">
      <w:pPr>
        <w:pBdr>
          <w:bottom w:val="single" w:sz="12" w:space="2" w:color="auto"/>
        </w:pBdr>
        <w:autoSpaceDE w:val="0"/>
        <w:autoSpaceDN w:val="0"/>
        <w:bidi w:val="0"/>
        <w:adjustRightInd w:val="0"/>
        <w:jc w:val="both"/>
        <w:rPr>
          <w:rFonts w:cs="Simplified Arabic"/>
          <w:b/>
          <w:bCs/>
          <w:snapToGrid w:val="0"/>
          <w:color w:val="000000"/>
          <w:sz w:val="20"/>
          <w:szCs w:val="20"/>
        </w:rPr>
      </w:pPr>
    </w:p>
    <w:p w:rsidR="00984E32" w:rsidRDefault="00984E32" w:rsidP="00984E32">
      <w:pPr>
        <w:autoSpaceDE w:val="0"/>
        <w:autoSpaceDN w:val="0"/>
        <w:bidi w:val="0"/>
        <w:adjustRightInd w:val="0"/>
        <w:jc w:val="both"/>
        <w:rPr>
          <w:rFonts w:cs="Simplified Arabic"/>
          <w:b/>
          <w:bCs/>
          <w:snapToGrid w:val="0"/>
          <w:color w:val="000000"/>
          <w:sz w:val="20"/>
          <w:szCs w:val="20"/>
        </w:rPr>
      </w:pP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p>
    <w:p w:rsidR="00984E32" w:rsidRPr="003E4C37" w:rsidRDefault="00984E32" w:rsidP="00984E32">
      <w:pPr>
        <w:autoSpaceDE w:val="0"/>
        <w:autoSpaceDN w:val="0"/>
        <w:bidi w:val="0"/>
        <w:adjustRightInd w:val="0"/>
        <w:jc w:val="both"/>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r>
        <w:t xml:space="preserve">                   </w:t>
      </w:r>
    </w:p>
    <w:p w:rsidR="00984E32" w:rsidRDefault="00984E32" w:rsidP="00984E32">
      <w:pPr>
        <w:bidi w:val="0"/>
        <w:rPr>
          <w:color w:val="000000"/>
          <w:sz w:val="16"/>
          <w:szCs w:val="16"/>
        </w:rPr>
      </w:pPr>
    </w:p>
    <w:p w:rsidR="00984E32" w:rsidRDefault="00984E32" w:rsidP="00984E32">
      <w:pPr>
        <w:bidi w:val="0"/>
        <w:jc w:val="center"/>
        <w:rPr>
          <w:color w:val="000000"/>
          <w:sz w:val="16"/>
          <w:szCs w:val="16"/>
        </w:rPr>
      </w:pPr>
    </w:p>
    <w:p w:rsidR="00984E32" w:rsidRDefault="00984E32" w:rsidP="00984E32">
      <w:pPr>
        <w:bidi w:val="0"/>
        <w:rPr>
          <w:color w:val="000000"/>
          <w:sz w:val="16"/>
          <w:szCs w:val="16"/>
        </w:rPr>
      </w:pPr>
    </w:p>
    <w:p w:rsidR="00984E32" w:rsidRPr="00A252EF" w:rsidRDefault="00984E32" w:rsidP="00984E32">
      <w:pPr>
        <w:bidi w:val="0"/>
        <w:jc w:val="center"/>
        <w:rPr>
          <w:color w:val="000000"/>
          <w:sz w:val="8"/>
          <w:szCs w:val="8"/>
        </w:rPr>
      </w:pPr>
    </w:p>
    <w:p w:rsidR="00984E32" w:rsidRDefault="00984E32" w:rsidP="00984E32">
      <w:pPr>
        <w:bidi w:val="0"/>
        <w:jc w:val="center"/>
        <w:rPr>
          <w:b/>
          <w:bCs/>
          <w:sz w:val="25"/>
          <w:szCs w:val="25"/>
        </w:rPr>
      </w:pPr>
    </w:p>
    <w:p w:rsidR="00984E32" w:rsidRDefault="00984E32" w:rsidP="00984E32">
      <w:pPr>
        <w:bidi w:val="0"/>
        <w:jc w:val="center"/>
        <w:rPr>
          <w:b/>
          <w:bCs/>
          <w:sz w:val="25"/>
          <w:szCs w:val="25"/>
        </w:rPr>
      </w:pPr>
    </w:p>
    <w:p w:rsidR="00984E32" w:rsidRDefault="00984E32" w:rsidP="00984E32">
      <w:pPr>
        <w:bidi w:val="0"/>
        <w:jc w:val="center"/>
        <w:rPr>
          <w:b/>
          <w:bCs/>
          <w:sz w:val="25"/>
          <w:szCs w:val="25"/>
        </w:rPr>
      </w:pPr>
    </w:p>
    <w:p w:rsidR="00984E32" w:rsidRDefault="00984E32" w:rsidP="00984E32">
      <w:pPr>
        <w:bidi w:val="0"/>
        <w:jc w:val="center"/>
        <w:rPr>
          <w:b/>
          <w:bCs/>
          <w:sz w:val="25"/>
          <w:szCs w:val="25"/>
        </w:rPr>
      </w:pPr>
    </w:p>
    <w:p w:rsidR="00984E32" w:rsidRDefault="00984E32" w:rsidP="00984E32">
      <w:pPr>
        <w:bidi w:val="0"/>
        <w:jc w:val="center"/>
        <w:rPr>
          <w:b/>
          <w:bCs/>
          <w:sz w:val="25"/>
          <w:szCs w:val="25"/>
        </w:rPr>
      </w:pPr>
    </w:p>
    <w:p w:rsidR="00F46A57" w:rsidRDefault="00F46A57" w:rsidP="00F46A57">
      <w:pPr>
        <w:bidi w:val="0"/>
        <w:jc w:val="center"/>
        <w:rPr>
          <w:b/>
          <w:bCs/>
          <w:sz w:val="25"/>
          <w:szCs w:val="25"/>
        </w:rPr>
      </w:pPr>
    </w:p>
    <w:p w:rsidR="00984E32" w:rsidRDefault="00984E32" w:rsidP="00984E32">
      <w:pPr>
        <w:bidi w:val="0"/>
        <w:jc w:val="center"/>
        <w:rPr>
          <w:b/>
          <w:bCs/>
          <w:sz w:val="25"/>
          <w:szCs w:val="25"/>
        </w:rPr>
      </w:pPr>
    </w:p>
    <w:p w:rsidR="00984E32" w:rsidRPr="00984E32" w:rsidRDefault="00984E32" w:rsidP="00984E32">
      <w:pPr>
        <w:bidi w:val="0"/>
        <w:jc w:val="center"/>
        <w:rPr>
          <w:b/>
          <w:bCs/>
          <w:sz w:val="25"/>
          <w:szCs w:val="25"/>
        </w:rPr>
      </w:pPr>
      <w:r w:rsidRPr="00984E32">
        <w:rPr>
          <w:b/>
          <w:bCs/>
          <w:sz w:val="25"/>
          <w:szCs w:val="25"/>
        </w:rPr>
        <w:t xml:space="preserve">The trend line for the Producer Price Index in Palestine, for the period: </w:t>
      </w:r>
    </w:p>
    <w:p w:rsidR="00F46A57" w:rsidRDefault="00984E32" w:rsidP="00984E32">
      <w:pPr>
        <w:bidi w:val="0"/>
        <w:jc w:val="center"/>
        <w:rPr>
          <w:b/>
          <w:bCs/>
          <w:color w:val="000000"/>
          <w:sz w:val="25"/>
          <w:szCs w:val="25"/>
        </w:rPr>
      </w:pPr>
      <w:r w:rsidRPr="00984E32">
        <w:rPr>
          <w:b/>
          <w:bCs/>
          <w:sz w:val="25"/>
          <w:szCs w:val="25"/>
        </w:rPr>
        <w:t>March 2015 -</w:t>
      </w:r>
      <w:r w:rsidRPr="00984E32">
        <w:rPr>
          <w:b/>
          <w:bCs/>
          <w:color w:val="000000"/>
          <w:sz w:val="25"/>
          <w:szCs w:val="25"/>
        </w:rPr>
        <w:t xml:space="preserve"> </w:t>
      </w:r>
      <w:r w:rsidRPr="00984E32">
        <w:rPr>
          <w:b/>
          <w:bCs/>
          <w:sz w:val="25"/>
          <w:szCs w:val="25"/>
        </w:rPr>
        <w:t xml:space="preserve">March </w:t>
      </w:r>
      <w:r w:rsidRPr="00984E32">
        <w:rPr>
          <w:b/>
          <w:bCs/>
          <w:color w:val="000000"/>
          <w:sz w:val="25"/>
          <w:szCs w:val="25"/>
        </w:rPr>
        <w:t>2016</w:t>
      </w:r>
    </w:p>
    <w:p w:rsidR="00984E32" w:rsidRPr="00984E32" w:rsidRDefault="00984E32" w:rsidP="00F46A57">
      <w:pPr>
        <w:bidi w:val="0"/>
        <w:jc w:val="center"/>
        <w:rPr>
          <w:b/>
          <w:bCs/>
          <w:sz w:val="25"/>
          <w:szCs w:val="25"/>
        </w:rPr>
      </w:pPr>
      <w:r w:rsidRPr="00984E32">
        <w:rPr>
          <w:b/>
          <w:bCs/>
          <w:sz w:val="25"/>
          <w:szCs w:val="25"/>
        </w:rPr>
        <w:t xml:space="preserve"> (Base Month December 2015=100)</w:t>
      </w:r>
    </w:p>
    <w:p w:rsidR="00984E32" w:rsidRPr="00A252EF" w:rsidRDefault="00984E32" w:rsidP="00984E32">
      <w:pPr>
        <w:bidi w:val="0"/>
        <w:jc w:val="both"/>
        <w:rPr>
          <w:rFonts w:cs="Simplified Arabic"/>
          <w:b/>
          <w:bCs/>
          <w:snapToGrid w:val="0"/>
          <w:color w:val="000000"/>
          <w:sz w:val="12"/>
          <w:szCs w:val="12"/>
        </w:rPr>
      </w:pPr>
    </w:p>
    <w:p w:rsidR="00984E32" w:rsidRPr="00A252EF" w:rsidRDefault="00984E32" w:rsidP="00984E32">
      <w:pPr>
        <w:bidi w:val="0"/>
        <w:jc w:val="center"/>
        <w:rPr>
          <w:b/>
          <w:bCs/>
          <w:sz w:val="12"/>
          <w:szCs w:val="12"/>
        </w:rPr>
      </w:pPr>
      <w:r>
        <w:rPr>
          <w:noProof/>
          <w:lang w:eastAsia="en-US"/>
        </w:rPr>
        <w:drawing>
          <wp:inline distT="0" distB="0" distL="0" distR="0">
            <wp:extent cx="3009900" cy="2171700"/>
            <wp:effectExtent l="0" t="0" r="0" b="0"/>
            <wp:docPr id="2"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4E32" w:rsidRDefault="00984E32" w:rsidP="00984E32">
      <w:pPr>
        <w:bidi w:val="0"/>
        <w:spacing w:line="360" w:lineRule="auto"/>
        <w:jc w:val="both"/>
        <w:outlineLvl w:val="1"/>
        <w:rPr>
          <w:b/>
          <w:bCs/>
          <w:color w:val="000000"/>
        </w:rPr>
      </w:pPr>
    </w:p>
    <w:p w:rsidR="00984E32" w:rsidRDefault="00984E32" w:rsidP="00984E32">
      <w:pPr>
        <w:bidi w:val="0"/>
        <w:spacing w:line="360" w:lineRule="auto"/>
        <w:jc w:val="both"/>
        <w:outlineLvl w:val="1"/>
        <w:rPr>
          <w:b/>
          <w:bCs/>
          <w:color w:val="000000"/>
        </w:rPr>
      </w:pPr>
    </w:p>
    <w:p w:rsidR="00984E32" w:rsidRPr="00984E32" w:rsidRDefault="00984E32" w:rsidP="00984E32">
      <w:pPr>
        <w:bidi w:val="0"/>
        <w:spacing w:line="360" w:lineRule="auto"/>
        <w:jc w:val="both"/>
        <w:outlineLvl w:val="1"/>
        <w:rPr>
          <w:b/>
          <w:bCs/>
          <w:color w:val="000000"/>
          <w:sz w:val="22"/>
          <w:szCs w:val="22"/>
        </w:rPr>
      </w:pPr>
    </w:p>
    <w:p w:rsidR="00984E32" w:rsidRPr="00984E32" w:rsidRDefault="00984E32" w:rsidP="00984E32">
      <w:pPr>
        <w:bidi w:val="0"/>
        <w:spacing w:line="360" w:lineRule="auto"/>
        <w:jc w:val="both"/>
        <w:outlineLvl w:val="1"/>
        <w:rPr>
          <w:color w:val="000000"/>
          <w:sz w:val="22"/>
          <w:szCs w:val="22"/>
        </w:rPr>
      </w:pPr>
      <w:r w:rsidRPr="00984E32">
        <w:rPr>
          <w:b/>
          <w:bCs/>
          <w:color w:val="000000"/>
          <w:sz w:val="22"/>
          <w:szCs w:val="22"/>
        </w:rPr>
        <w:t>Note</w:t>
      </w:r>
      <w:r w:rsidRPr="00984E32">
        <w:rPr>
          <w:color w:val="000000"/>
          <w:sz w:val="22"/>
          <w:szCs w:val="22"/>
        </w:rPr>
        <w:t>: Since the beginning of 2016, PCBS updated the base month for the Producer Price Index to be December 2015 instead of 2011, as well as started using International Standard of Industrial Classification for all Economic Activates (Revision Four) instead of Revision Three.</w:t>
      </w:r>
    </w:p>
    <w:p w:rsidR="00984E32" w:rsidRPr="00A252EF" w:rsidRDefault="00984E32" w:rsidP="00984E32">
      <w:pPr>
        <w:bidi w:val="0"/>
        <w:jc w:val="both"/>
        <w:rPr>
          <w:b/>
          <w:bCs/>
          <w:sz w:val="2"/>
          <w:szCs w:val="2"/>
        </w:rPr>
      </w:pPr>
    </w:p>
    <w:p w:rsidR="00915F6B" w:rsidRPr="00051D88" w:rsidRDefault="00915F6B" w:rsidP="00984E32">
      <w:pPr>
        <w:bidi w:val="0"/>
        <w:outlineLvl w:val="1"/>
      </w:pPr>
    </w:p>
    <w:sectPr w:rsidR="00915F6B" w:rsidRPr="00051D88" w:rsidSect="00051D88">
      <w:footerReference w:type="even" r:id="rId7"/>
      <w:footerReference w:type="default" r:id="rId8"/>
      <w:footerReference w:type="first" r:id="rId9"/>
      <w:pgSz w:w="11907" w:h="16840" w:code="9"/>
      <w:pgMar w:top="720" w:right="720" w:bottom="720" w:left="720" w:header="720" w:footer="720" w:gutter="0"/>
      <w:pgNumType w:start="1"/>
      <w:cols w:space="851"/>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B3C" w:rsidRDefault="00466B3C" w:rsidP="00051D88">
      <w:r>
        <w:separator/>
      </w:r>
    </w:p>
  </w:endnote>
  <w:endnote w:type="continuationSeparator" w:id="0">
    <w:p w:rsidR="00466B3C" w:rsidRDefault="00466B3C" w:rsidP="00051D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666" w:rsidRDefault="00F036DE">
    <w:pPr>
      <w:pStyle w:val="Footer"/>
      <w:framePr w:wrap="around" w:vAnchor="text" w:hAnchor="margin" w:xAlign="center" w:y="1"/>
      <w:rPr>
        <w:rStyle w:val="PageNumber"/>
        <w:rtl/>
      </w:rPr>
    </w:pPr>
    <w:r>
      <w:rPr>
        <w:rStyle w:val="PageNumber"/>
        <w:rtl/>
      </w:rPr>
      <w:fldChar w:fldCharType="begin"/>
    </w:r>
    <w:r w:rsidR="00BC60B9">
      <w:rPr>
        <w:rStyle w:val="PageNumber"/>
      </w:rPr>
      <w:instrText xml:space="preserve">PAGE  </w:instrText>
    </w:r>
    <w:r>
      <w:rPr>
        <w:rStyle w:val="PageNumber"/>
        <w:rtl/>
      </w:rPr>
      <w:fldChar w:fldCharType="end"/>
    </w:r>
  </w:p>
  <w:p w:rsidR="00252666" w:rsidRDefault="00466B3C">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15706705"/>
      <w:docPartObj>
        <w:docPartGallery w:val="Page Numbers (Bottom of Page)"/>
        <w:docPartUnique/>
      </w:docPartObj>
    </w:sdtPr>
    <w:sdtContent>
      <w:p w:rsidR="00051D88" w:rsidRDefault="00F036DE">
        <w:pPr>
          <w:pStyle w:val="Footer"/>
          <w:jc w:val="center"/>
        </w:pPr>
        <w:fldSimple w:instr=" PAGE   \* MERGEFORMAT ">
          <w:r w:rsidR="00E50686">
            <w:rPr>
              <w:noProof/>
              <w:rtl/>
            </w:rPr>
            <w:t>2</w:t>
          </w:r>
        </w:fldSimple>
      </w:p>
    </w:sdtContent>
  </w:sdt>
  <w:p w:rsidR="00051D88" w:rsidRDefault="00051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15706713"/>
      <w:docPartObj>
        <w:docPartGallery w:val="Page Numbers (Bottom of Page)"/>
        <w:docPartUnique/>
      </w:docPartObj>
    </w:sdtPr>
    <w:sdtContent>
      <w:p w:rsidR="00051D88" w:rsidRDefault="00F036DE">
        <w:pPr>
          <w:pStyle w:val="Footer"/>
          <w:jc w:val="center"/>
        </w:pPr>
        <w:fldSimple w:instr=" PAGE   \* MERGEFORMAT ">
          <w:r w:rsidR="00E50686">
            <w:rPr>
              <w:noProof/>
              <w:rtl/>
            </w:rPr>
            <w:t>1</w:t>
          </w:r>
        </w:fldSimple>
      </w:p>
    </w:sdtContent>
  </w:sdt>
  <w:p w:rsidR="00051D88" w:rsidRDefault="00051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B3C" w:rsidRDefault="00466B3C" w:rsidP="00051D88">
      <w:r>
        <w:separator/>
      </w:r>
    </w:p>
  </w:footnote>
  <w:footnote w:type="continuationSeparator" w:id="0">
    <w:p w:rsidR="00466B3C" w:rsidRDefault="00466B3C" w:rsidP="00051D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1D88"/>
    <w:rsid w:val="00000D8E"/>
    <w:rsid w:val="00051D88"/>
    <w:rsid w:val="003B5C07"/>
    <w:rsid w:val="00466B3C"/>
    <w:rsid w:val="005E7849"/>
    <w:rsid w:val="009076A0"/>
    <w:rsid w:val="00915F6B"/>
    <w:rsid w:val="00984E32"/>
    <w:rsid w:val="00BC60B9"/>
    <w:rsid w:val="00E50686"/>
    <w:rsid w:val="00F036DE"/>
    <w:rsid w:val="00F46A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88"/>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051D88"/>
    <w:pPr>
      <w:keepNext/>
      <w:jc w:val="lowKashida"/>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D88"/>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051D88"/>
    <w:pPr>
      <w:tabs>
        <w:tab w:val="center" w:pos="4153"/>
        <w:tab w:val="right" w:pos="8306"/>
      </w:tabs>
    </w:pPr>
  </w:style>
  <w:style w:type="character" w:customStyle="1" w:styleId="FooterChar">
    <w:name w:val="Footer Char"/>
    <w:basedOn w:val="DefaultParagraphFont"/>
    <w:link w:val="Footer"/>
    <w:uiPriority w:val="99"/>
    <w:rsid w:val="00051D88"/>
    <w:rPr>
      <w:rFonts w:ascii="Times New Roman" w:eastAsia="Times New Roman" w:hAnsi="Times New Roman" w:cs="Times New Roman"/>
      <w:sz w:val="24"/>
      <w:szCs w:val="24"/>
      <w:lang w:eastAsia="ar-SA"/>
    </w:rPr>
  </w:style>
  <w:style w:type="character" w:styleId="PageNumber">
    <w:name w:val="page number"/>
    <w:basedOn w:val="DefaultParagraphFont"/>
    <w:semiHidden/>
    <w:rsid w:val="00051D88"/>
  </w:style>
  <w:style w:type="paragraph" w:styleId="BodyText2">
    <w:name w:val="Body Text 2"/>
    <w:basedOn w:val="Normal"/>
    <w:link w:val="BodyText2Char"/>
    <w:unhideWhenUsed/>
    <w:rsid w:val="00051D88"/>
    <w:pPr>
      <w:spacing w:after="120" w:line="480" w:lineRule="auto"/>
    </w:pPr>
  </w:style>
  <w:style w:type="character" w:customStyle="1" w:styleId="BodyText2Char">
    <w:name w:val="Body Text 2 Char"/>
    <w:basedOn w:val="DefaultParagraphFont"/>
    <w:link w:val="BodyText2"/>
    <w:rsid w:val="00051D88"/>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051D88"/>
    <w:pPr>
      <w:spacing w:after="120"/>
    </w:pPr>
    <w:rPr>
      <w:sz w:val="16"/>
      <w:szCs w:val="16"/>
    </w:rPr>
  </w:style>
  <w:style w:type="character" w:customStyle="1" w:styleId="BodyText3Char">
    <w:name w:val="Body Text 3 Char"/>
    <w:basedOn w:val="DefaultParagraphFont"/>
    <w:link w:val="BodyText3"/>
    <w:semiHidden/>
    <w:rsid w:val="00051D88"/>
    <w:rPr>
      <w:rFonts w:ascii="Times New Roman" w:eastAsia="Times New Roman" w:hAnsi="Times New Roman" w:cs="Times New Roman"/>
      <w:sz w:val="16"/>
      <w:szCs w:val="16"/>
      <w:lang w:eastAsia="ar-SA"/>
    </w:rPr>
  </w:style>
  <w:style w:type="paragraph" w:styleId="BalloonText">
    <w:name w:val="Balloon Text"/>
    <w:basedOn w:val="Normal"/>
    <w:link w:val="BalloonTextChar"/>
    <w:uiPriority w:val="99"/>
    <w:semiHidden/>
    <w:unhideWhenUsed/>
    <w:rsid w:val="00051D88"/>
    <w:rPr>
      <w:rFonts w:ascii="Tahoma" w:hAnsi="Tahoma" w:cs="Tahoma"/>
      <w:sz w:val="16"/>
      <w:szCs w:val="16"/>
    </w:rPr>
  </w:style>
  <w:style w:type="character" w:customStyle="1" w:styleId="BalloonTextChar">
    <w:name w:val="Balloon Text Char"/>
    <w:basedOn w:val="DefaultParagraphFont"/>
    <w:link w:val="BalloonText"/>
    <w:uiPriority w:val="99"/>
    <w:semiHidden/>
    <w:rsid w:val="00051D88"/>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051D88"/>
    <w:pPr>
      <w:tabs>
        <w:tab w:val="center" w:pos="4153"/>
        <w:tab w:val="right" w:pos="8306"/>
      </w:tabs>
    </w:pPr>
  </w:style>
  <w:style w:type="character" w:customStyle="1" w:styleId="HeaderChar">
    <w:name w:val="Header Char"/>
    <w:basedOn w:val="DefaultParagraphFont"/>
    <w:link w:val="Header"/>
    <w:uiPriority w:val="99"/>
    <w:semiHidden/>
    <w:rsid w:val="00051D88"/>
    <w:rPr>
      <w:rFonts w:ascii="Times New Roman" w:eastAsia="Times New Roman" w:hAnsi="Times New Roman" w:cs="Times New Roman"/>
      <w:sz w:val="24"/>
      <w:szCs w:val="24"/>
      <w:lang w:eastAsia="ar-SA"/>
    </w:rPr>
  </w:style>
  <w:style w:type="character" w:styleId="Hyperlink">
    <w:name w:val="Hyperlink"/>
    <w:uiPriority w:val="99"/>
    <w:unhideWhenUsed/>
    <w:rsid w:val="00984E3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1967213114754111"/>
          <c:y val="5.0458715596330313E-2"/>
          <c:w val="0.77049180327868971"/>
          <c:h val="0.49082568807339477"/>
        </c:manualLayout>
      </c:layout>
      <c:lineChart>
        <c:grouping val="standard"/>
        <c:ser>
          <c:idx val="0"/>
          <c:order val="0"/>
          <c:tx>
            <c:strRef>
              <c:f>Sheet1!$A$2</c:f>
              <c:strCache>
                <c:ptCount val="1"/>
                <c:pt idx="0">
                  <c:v>Price Index</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dLbls>
            <c:dLbl>
              <c:idx val="0"/>
              <c:layout>
                <c:manualLayout>
                  <c:x val="-2.4794761984903352E-2"/>
                  <c:y val="-5.9327597328943278E-2"/>
                </c:manualLayout>
              </c:layout>
              <c:spPr>
                <a:noFill/>
                <a:ln w="25400">
                  <a:noFill/>
                </a:ln>
              </c:spPr>
              <c:txPr>
                <a:bodyPr/>
                <a:lstStyle/>
                <a:p>
                  <a:pPr>
                    <a:defRPr sz="800" b="1" i="0" u="none" strike="noStrike" baseline="0">
                      <a:solidFill>
                        <a:srgbClr val="000000"/>
                      </a:solidFill>
                      <a:latin typeface="Arial"/>
                      <a:ea typeface="Arial"/>
                      <a:cs typeface="Arial"/>
                    </a:defRPr>
                  </a:pPr>
                  <a:endParaRPr lang="ar-SA"/>
                </a:p>
              </c:txPr>
              <c:dLblPos val="r"/>
              <c:showVal val="1"/>
            </c:dLbl>
            <c:dLbl>
              <c:idx val="12"/>
              <c:layout>
                <c:manualLayout>
                  <c:x val="8.1706162015076338E-3"/>
                  <c:y val="3.3910596399979315E-2"/>
                </c:manualLayout>
              </c:layout>
              <c:spPr>
                <a:noFill/>
                <a:ln w="25400">
                  <a:noFill/>
                </a:ln>
              </c:spPr>
              <c:txPr>
                <a:bodyPr/>
                <a:lstStyle/>
                <a:p>
                  <a:pPr>
                    <a:defRPr sz="800" b="1" i="0" u="none" strike="noStrike" baseline="0">
                      <a:solidFill>
                        <a:srgbClr val="000000"/>
                      </a:solidFill>
                      <a:latin typeface="Arial"/>
                      <a:ea typeface="Arial"/>
                      <a:cs typeface="Arial"/>
                    </a:defRPr>
                  </a:pPr>
                  <a:endParaRPr lang="ar-SA"/>
                </a:p>
              </c:txPr>
              <c:dLblPos val="r"/>
              <c:showVal val="1"/>
            </c:dLbl>
            <c:delete val="1"/>
          </c:dLbls>
          <c:cat>
            <c:strRef>
              <c:f>Sheet1!$B$1:$N$1</c:f>
              <c:strCache>
                <c:ptCount val="13"/>
                <c:pt idx="0">
                  <c:v>March 2015</c:v>
                </c:pt>
                <c:pt idx="1">
                  <c:v>April 2015</c:v>
                </c:pt>
                <c:pt idx="2">
                  <c:v>May 2015</c:v>
                </c:pt>
                <c:pt idx="3">
                  <c:v>June 2015</c:v>
                </c:pt>
                <c:pt idx="4">
                  <c:v>July 2015</c:v>
                </c:pt>
                <c:pt idx="5">
                  <c:v>August 2015</c:v>
                </c:pt>
                <c:pt idx="6">
                  <c:v>September 2015</c:v>
                </c:pt>
                <c:pt idx="7">
                  <c:v>October 2015</c:v>
                </c:pt>
                <c:pt idx="8">
                  <c:v>November 2015</c:v>
                </c:pt>
                <c:pt idx="9">
                  <c:v>December 2015</c:v>
                </c:pt>
                <c:pt idx="10">
                  <c:v>January 2016</c:v>
                </c:pt>
                <c:pt idx="11">
                  <c:v>February 2016</c:v>
                </c:pt>
                <c:pt idx="12">
                  <c:v>March 2016</c:v>
                </c:pt>
              </c:strCache>
            </c:strRef>
          </c:cat>
          <c:val>
            <c:numRef>
              <c:f>Sheet1!$B$2:$N$2</c:f>
              <c:numCache>
                <c:formatCode>0.00</c:formatCode>
                <c:ptCount val="13"/>
                <c:pt idx="0">
                  <c:v>98.652917129999878</c:v>
                </c:pt>
                <c:pt idx="1">
                  <c:v>97.565960610000005</c:v>
                </c:pt>
                <c:pt idx="2">
                  <c:v>96.441843180000092</c:v>
                </c:pt>
                <c:pt idx="3">
                  <c:v>96.627647709999948</c:v>
                </c:pt>
                <c:pt idx="4">
                  <c:v>96.646228170000001</c:v>
                </c:pt>
                <c:pt idx="5">
                  <c:v>98.652917129999878</c:v>
                </c:pt>
                <c:pt idx="6">
                  <c:v>100.5016722</c:v>
                </c:pt>
                <c:pt idx="7">
                  <c:v>100.86399110000001</c:v>
                </c:pt>
                <c:pt idx="8">
                  <c:v>100.17651429999998</c:v>
                </c:pt>
                <c:pt idx="9">
                  <c:v>100</c:v>
                </c:pt>
                <c:pt idx="10">
                  <c:v>99.86999999999999</c:v>
                </c:pt>
                <c:pt idx="11" formatCode="General">
                  <c:v>99.25</c:v>
                </c:pt>
                <c:pt idx="12" formatCode="General">
                  <c:v>98.34</c:v>
                </c:pt>
              </c:numCache>
            </c:numRef>
          </c:val>
        </c:ser>
        <c:ser>
          <c:idx val="1"/>
          <c:order val="1"/>
          <c:tx>
            <c:strRef>
              <c:f>Sheet1!$A$3</c:f>
              <c:strCache>
                <c:ptCount val="1"/>
              </c:strCache>
            </c:strRef>
          </c:tx>
          <c:spPr>
            <a:ln w="12700">
              <a:solidFill>
                <a:srgbClr val="FF00FF"/>
              </a:solidFill>
              <a:prstDash val="solid"/>
            </a:ln>
          </c:spPr>
          <c:marker>
            <c:symbol val="none"/>
          </c:marker>
          <c:cat>
            <c:strRef>
              <c:f>Sheet1!$B$1:$N$1</c:f>
              <c:strCache>
                <c:ptCount val="13"/>
                <c:pt idx="0">
                  <c:v>March 2015</c:v>
                </c:pt>
                <c:pt idx="1">
                  <c:v>April 2015</c:v>
                </c:pt>
                <c:pt idx="2">
                  <c:v>May 2015</c:v>
                </c:pt>
                <c:pt idx="3">
                  <c:v>June 2015</c:v>
                </c:pt>
                <c:pt idx="4">
                  <c:v>July 2015</c:v>
                </c:pt>
                <c:pt idx="5">
                  <c:v>August 2015</c:v>
                </c:pt>
                <c:pt idx="6">
                  <c:v>September 2015</c:v>
                </c:pt>
                <c:pt idx="7">
                  <c:v>October 2015</c:v>
                </c:pt>
                <c:pt idx="8">
                  <c:v>November 2015</c:v>
                </c:pt>
                <c:pt idx="9">
                  <c:v>December 2015</c:v>
                </c:pt>
                <c:pt idx="10">
                  <c:v>January 2016</c:v>
                </c:pt>
                <c:pt idx="11">
                  <c:v>February 2016</c:v>
                </c:pt>
                <c:pt idx="12">
                  <c:v>March 2016</c:v>
                </c:pt>
              </c:strCache>
            </c:strRef>
          </c:cat>
          <c:val>
            <c:numRef>
              <c:f>Sheet1!$B$3:$N$3</c:f>
              <c:numCache>
                <c:formatCode>General</c:formatCode>
                <c:ptCount val="13"/>
              </c:numCache>
            </c:numRef>
          </c:val>
        </c:ser>
        <c:ser>
          <c:idx val="2"/>
          <c:order val="2"/>
          <c:tx>
            <c:strRef>
              <c:f>Sheet1!$A$4</c:f>
              <c:strCache>
                <c:ptCount val="1"/>
              </c:strCache>
            </c:strRef>
          </c:tx>
          <c:spPr>
            <a:ln w="12700">
              <a:solidFill>
                <a:srgbClr val="FFFF00"/>
              </a:solidFill>
              <a:prstDash val="solid"/>
            </a:ln>
          </c:spPr>
          <c:marker>
            <c:symbol val="none"/>
          </c:marker>
          <c:cat>
            <c:strRef>
              <c:f>Sheet1!$B$1:$N$1</c:f>
              <c:strCache>
                <c:ptCount val="13"/>
                <c:pt idx="0">
                  <c:v>March 2015</c:v>
                </c:pt>
                <c:pt idx="1">
                  <c:v>April 2015</c:v>
                </c:pt>
                <c:pt idx="2">
                  <c:v>May 2015</c:v>
                </c:pt>
                <c:pt idx="3">
                  <c:v>June 2015</c:v>
                </c:pt>
                <c:pt idx="4">
                  <c:v>July 2015</c:v>
                </c:pt>
                <c:pt idx="5">
                  <c:v>August 2015</c:v>
                </c:pt>
                <c:pt idx="6">
                  <c:v>September 2015</c:v>
                </c:pt>
                <c:pt idx="7">
                  <c:v>October 2015</c:v>
                </c:pt>
                <c:pt idx="8">
                  <c:v>November 2015</c:v>
                </c:pt>
                <c:pt idx="9">
                  <c:v>December 2015</c:v>
                </c:pt>
                <c:pt idx="10">
                  <c:v>January 2016</c:v>
                </c:pt>
                <c:pt idx="11">
                  <c:v>February 2016</c:v>
                </c:pt>
                <c:pt idx="12">
                  <c:v>March 2016</c:v>
                </c:pt>
              </c:strCache>
            </c:strRef>
          </c:cat>
          <c:val>
            <c:numRef>
              <c:f>Sheet1!$B$4:$N$4</c:f>
              <c:numCache>
                <c:formatCode>General</c:formatCode>
                <c:ptCount val="13"/>
              </c:numCache>
            </c:numRef>
          </c:val>
        </c:ser>
        <c:ser>
          <c:idx val="3"/>
          <c:order val="3"/>
          <c:tx>
            <c:strRef>
              <c:f>Sheet1!$A$5</c:f>
              <c:strCache>
                <c:ptCount val="1"/>
              </c:strCache>
            </c:strRef>
          </c:tx>
          <c:spPr>
            <a:ln w="12700">
              <a:solidFill>
                <a:srgbClr val="00FFFF"/>
              </a:solidFill>
              <a:prstDash val="solid"/>
            </a:ln>
          </c:spPr>
          <c:marker>
            <c:symbol val="none"/>
          </c:marker>
          <c:cat>
            <c:strRef>
              <c:f>Sheet1!$B$1:$N$1</c:f>
              <c:strCache>
                <c:ptCount val="13"/>
                <c:pt idx="0">
                  <c:v>March 2015</c:v>
                </c:pt>
                <c:pt idx="1">
                  <c:v>April 2015</c:v>
                </c:pt>
                <c:pt idx="2">
                  <c:v>May 2015</c:v>
                </c:pt>
                <c:pt idx="3">
                  <c:v>June 2015</c:v>
                </c:pt>
                <c:pt idx="4">
                  <c:v>July 2015</c:v>
                </c:pt>
                <c:pt idx="5">
                  <c:v>August 2015</c:v>
                </c:pt>
                <c:pt idx="6">
                  <c:v>September 2015</c:v>
                </c:pt>
                <c:pt idx="7">
                  <c:v>October 2015</c:v>
                </c:pt>
                <c:pt idx="8">
                  <c:v>November 2015</c:v>
                </c:pt>
                <c:pt idx="9">
                  <c:v>December 2015</c:v>
                </c:pt>
                <c:pt idx="10">
                  <c:v>January 2016</c:v>
                </c:pt>
                <c:pt idx="11">
                  <c:v>February 2016</c:v>
                </c:pt>
                <c:pt idx="12">
                  <c:v>March 2016</c:v>
                </c:pt>
              </c:strCache>
            </c:strRef>
          </c:cat>
          <c:val>
            <c:numRef>
              <c:f>Sheet1!$B$5:$N$5</c:f>
              <c:numCache>
                <c:formatCode>General</c:formatCode>
                <c:ptCount val="13"/>
              </c:numCache>
            </c:numRef>
          </c:val>
        </c:ser>
        <c:marker val="1"/>
        <c:axId val="129851392"/>
        <c:axId val="129852928"/>
      </c:lineChart>
      <c:catAx>
        <c:axId val="129851392"/>
        <c:scaling>
          <c:orientation val="minMax"/>
        </c:scaling>
        <c:axPos val="b"/>
        <c:numFmt formatCode="@" sourceLinked="0"/>
        <c:tickLblPos val="nextTo"/>
        <c:spPr>
          <a:ln w="3175">
            <a:solidFill>
              <a:srgbClr val="000000"/>
            </a:solidFill>
            <a:prstDash val="solid"/>
          </a:ln>
        </c:spPr>
        <c:txPr>
          <a:bodyPr rot="-3060000" vert="horz"/>
          <a:lstStyle/>
          <a:p>
            <a:pPr>
              <a:defRPr sz="800" b="1" i="0" u="none" strike="noStrike" baseline="0">
                <a:solidFill>
                  <a:srgbClr val="000000"/>
                </a:solidFill>
                <a:latin typeface="Arial"/>
                <a:ea typeface="Arial"/>
                <a:cs typeface="Arial"/>
              </a:defRPr>
            </a:pPr>
            <a:endParaRPr lang="ar-SA"/>
          </a:p>
        </c:txPr>
        <c:crossAx val="129852928"/>
        <c:crosses val="autoZero"/>
        <c:auto val="1"/>
        <c:lblAlgn val="ctr"/>
        <c:lblOffset val="100"/>
        <c:tickLblSkip val="1"/>
        <c:tickMarkSkip val="2"/>
      </c:catAx>
      <c:valAx>
        <c:axId val="129852928"/>
        <c:scaling>
          <c:orientation val="minMax"/>
          <c:max val="110"/>
          <c:min val="90"/>
        </c:scaling>
        <c:axPos val="l"/>
        <c:title>
          <c:tx>
            <c:rich>
              <a:bodyPr/>
              <a:lstStyle/>
              <a:p>
                <a:pPr>
                  <a:defRPr sz="800" b="1" i="0" u="none" strike="noStrike" baseline="0">
                    <a:solidFill>
                      <a:srgbClr val="000000"/>
                    </a:solidFill>
                    <a:latin typeface="Times New Roman"/>
                    <a:ea typeface="Times New Roman"/>
                    <a:cs typeface="Times New Roman"/>
                  </a:defRPr>
                </a:pPr>
                <a:r>
                  <a:rPr lang="en-US"/>
                  <a:t>Producer Price Index</a:t>
                </a:r>
              </a:p>
            </c:rich>
          </c:tx>
          <c:layout>
            <c:manualLayout>
              <c:xMode val="edge"/>
              <c:yMode val="edge"/>
              <c:x val="6.2295081967213201E-2"/>
              <c:y val="6.4220183486238536E-2"/>
            </c:manualLayout>
          </c:layout>
          <c:spPr>
            <a:noFill/>
            <a:ln w="25400">
              <a:noFill/>
            </a:ln>
          </c:spPr>
        </c:title>
        <c:numFmt formatCode="0" sourceLinked="0"/>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ar-SA"/>
          </a:p>
        </c:txPr>
        <c:crossAx val="129851392"/>
        <c:crosses val="autoZero"/>
        <c:crossBetween val="between"/>
        <c:majorUnit val="5"/>
      </c:valAx>
      <c:spPr>
        <a:noFill/>
        <a:ln w="25400">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75"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loays</cp:lastModifiedBy>
  <cp:revision>5</cp:revision>
  <cp:lastPrinted>2016-04-27T06:22:00Z</cp:lastPrinted>
  <dcterms:created xsi:type="dcterms:W3CDTF">2016-04-27T06:04:00Z</dcterms:created>
  <dcterms:modified xsi:type="dcterms:W3CDTF">2016-04-27T06:23:00Z</dcterms:modified>
</cp:coreProperties>
</file>