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4BA9E" w14:textId="05161C65" w:rsidR="005D0A64" w:rsidRPr="005D0A64" w:rsidRDefault="005D0A64" w:rsidP="0092544E">
      <w:pPr>
        <w:bidi w:val="0"/>
        <w:spacing w:before="100" w:beforeAutospacing="1" w:after="100" w:afterAutospacing="1"/>
        <w:jc w:val="both"/>
        <w:rPr>
          <w:rFonts w:ascii="Arial" w:hAnsi="Arial" w:cs="Arial"/>
          <w:color w:val="000000"/>
          <w:sz w:val="26"/>
          <w:szCs w:val="26"/>
          <w:lang w:eastAsia="en-US"/>
        </w:rPr>
      </w:pPr>
      <w:r w:rsidRPr="005D0A64">
        <w:rPr>
          <w:rFonts w:ascii="Arial" w:hAnsi="Arial" w:cs="Arial"/>
          <w:b/>
          <w:bCs/>
          <w:color w:val="000000"/>
          <w:sz w:val="26"/>
          <w:szCs w:val="26"/>
        </w:rPr>
        <w:t xml:space="preserve">Dr. Ola </w:t>
      </w:r>
      <w:r w:rsidR="0092544E" w:rsidRPr="005D0A64">
        <w:rPr>
          <w:rFonts w:ascii="Arial" w:hAnsi="Arial" w:cs="Arial"/>
          <w:b/>
          <w:bCs/>
          <w:color w:val="000000"/>
          <w:sz w:val="26"/>
          <w:szCs w:val="26"/>
        </w:rPr>
        <w:t>Aw</w:t>
      </w:r>
      <w:r w:rsidR="0092544E">
        <w:rPr>
          <w:rFonts w:ascii="Arial" w:hAnsi="Arial" w:cs="Arial"/>
          <w:b/>
          <w:bCs/>
          <w:color w:val="000000"/>
          <w:sz w:val="26"/>
          <w:szCs w:val="26"/>
        </w:rPr>
        <w:t>a</w:t>
      </w:r>
      <w:r w:rsidR="0092544E" w:rsidRPr="005D0A64">
        <w:rPr>
          <w:rFonts w:ascii="Arial" w:hAnsi="Arial" w:cs="Arial"/>
          <w:b/>
          <w:bCs/>
          <w:color w:val="000000"/>
          <w:sz w:val="26"/>
          <w:szCs w:val="26"/>
        </w:rPr>
        <w:t>d</w:t>
      </w:r>
      <w:r w:rsidRPr="005D0A64">
        <w:rPr>
          <w:rFonts w:ascii="Arial" w:hAnsi="Arial" w:cs="Arial"/>
          <w:b/>
          <w:bCs/>
          <w:color w:val="000000"/>
          <w:sz w:val="26"/>
          <w:szCs w:val="26"/>
        </w:rPr>
        <w:t>, reviews the conditions of the Palestinian people via statistical figures and findings, on the </w:t>
      </w:r>
      <w:r w:rsidRPr="005D0A64">
        <w:rPr>
          <w:rFonts w:ascii="Arial" w:hAnsi="Arial" w:cs="Arial" w:hint="cs"/>
          <w:b/>
          <w:bCs/>
          <w:color w:val="000000"/>
          <w:sz w:val="26"/>
          <w:szCs w:val="26"/>
          <w:rtl/>
        </w:rPr>
        <w:t>76</w:t>
      </w:r>
      <w:r w:rsidRPr="005D0A64">
        <w:rPr>
          <w:rFonts w:ascii="Arial" w:hAnsi="Arial" w:cs="Arial"/>
          <w:b/>
          <w:bCs/>
          <w:color w:val="000000"/>
          <w:sz w:val="26"/>
          <w:szCs w:val="26"/>
          <w:vertAlign w:val="superscript"/>
        </w:rPr>
        <w:t>th</w:t>
      </w:r>
      <w:r w:rsidRPr="005D0A64">
        <w:rPr>
          <w:rFonts w:ascii="Arial" w:hAnsi="Arial" w:cs="Arial"/>
          <w:b/>
          <w:bCs/>
          <w:color w:val="000000"/>
          <w:sz w:val="26"/>
          <w:szCs w:val="26"/>
        </w:rPr>
        <w:t> Annual Commemoration of the Palestinian Nakba.</w:t>
      </w:r>
    </w:p>
    <w:p w14:paraId="61FBCDCE" w14:textId="77777777" w:rsidR="005D0A64" w:rsidRPr="005D0A64" w:rsidRDefault="005D0A64" w:rsidP="005D0A64">
      <w:pPr>
        <w:pStyle w:val="BodyTextIndent"/>
        <w:ind w:left="-142"/>
        <w:jc w:val="center"/>
        <w:rPr>
          <w:rFonts w:ascii="Arial" w:hAnsi="Arial" w:cs="Arial"/>
          <w:color w:val="000000"/>
          <w:sz w:val="26"/>
          <w:szCs w:val="26"/>
        </w:rPr>
      </w:pPr>
      <w:r w:rsidRPr="005D0A64">
        <w:rPr>
          <w:rFonts w:ascii="Arial" w:hAnsi="Arial" w:cs="Arial"/>
          <w:b/>
          <w:bCs/>
          <w:color w:val="000000"/>
          <w:sz w:val="26"/>
          <w:szCs w:val="26"/>
        </w:rPr>
        <w:t>On the </w:t>
      </w:r>
      <w:r w:rsidRPr="005D0A64">
        <w:rPr>
          <w:rFonts w:ascii="Arial" w:hAnsi="Arial" w:cs="Arial" w:hint="cs"/>
          <w:b/>
          <w:bCs/>
          <w:color w:val="000000"/>
          <w:sz w:val="26"/>
          <w:szCs w:val="26"/>
          <w:rtl/>
        </w:rPr>
        <w:t>76</w:t>
      </w:r>
      <w:r w:rsidRPr="005D0A64">
        <w:rPr>
          <w:rFonts w:ascii="Arial" w:hAnsi="Arial" w:cs="Arial"/>
          <w:b/>
          <w:bCs/>
          <w:color w:val="000000"/>
          <w:sz w:val="26"/>
          <w:szCs w:val="26"/>
          <w:vertAlign w:val="superscript"/>
        </w:rPr>
        <w:t>th</w:t>
      </w:r>
      <w:r w:rsidRPr="005D0A64">
        <w:rPr>
          <w:rFonts w:ascii="Arial" w:hAnsi="Arial" w:cs="Arial"/>
          <w:b/>
          <w:bCs/>
          <w:color w:val="000000"/>
          <w:sz w:val="26"/>
          <w:szCs w:val="26"/>
        </w:rPr>
        <w:t> Annual Commemoration of the Palestinian Nakba, Number of Palestinians Worldwide Doubled about 10 Times</w:t>
      </w:r>
    </w:p>
    <w:p w14:paraId="40FAD949" w14:textId="7432A473" w:rsidR="005D0A64" w:rsidRPr="005D0A64" w:rsidRDefault="005D0A64" w:rsidP="005D0A64">
      <w:pPr>
        <w:bidi w:val="0"/>
        <w:spacing w:before="100" w:beforeAutospacing="1" w:after="100" w:afterAutospacing="1"/>
        <w:jc w:val="both"/>
        <w:rPr>
          <w:rFonts w:ascii="Arial" w:hAnsi="Arial" w:cs="Arial"/>
          <w:color w:val="000000"/>
          <w:sz w:val="26"/>
          <w:szCs w:val="26"/>
        </w:rPr>
      </w:pPr>
      <w:r w:rsidRPr="005D0A64">
        <w:rPr>
          <w:rFonts w:ascii="Arial" w:hAnsi="Arial" w:cs="Arial"/>
          <w:b/>
          <w:bCs/>
          <w:color w:val="000000"/>
          <w:sz w:val="26"/>
          <w:szCs w:val="26"/>
        </w:rPr>
        <w:t>  H.E. Dr. Ola Awad, President of the Palestinian Central Bureau of Statistics (PCBS), via figures, historical and current data, reviewed the geographical, demographical and economic situation of the Palestinian People on the </w:t>
      </w:r>
      <w:r w:rsidRPr="005D0A64">
        <w:rPr>
          <w:rFonts w:ascii="Arial" w:hAnsi="Arial" w:cs="Arial" w:hint="cs"/>
          <w:b/>
          <w:bCs/>
          <w:color w:val="000000"/>
          <w:sz w:val="26"/>
          <w:szCs w:val="26"/>
          <w:rtl/>
        </w:rPr>
        <w:t>76</w:t>
      </w:r>
      <w:r w:rsidRPr="005D0A64">
        <w:rPr>
          <w:rFonts w:ascii="Arial" w:hAnsi="Arial" w:cs="Arial"/>
          <w:b/>
          <w:bCs/>
          <w:color w:val="000000"/>
          <w:sz w:val="26"/>
          <w:szCs w:val="26"/>
          <w:vertAlign w:val="superscript"/>
        </w:rPr>
        <w:t>th</w:t>
      </w:r>
      <w:r w:rsidRPr="005D0A64">
        <w:rPr>
          <w:rFonts w:ascii="Arial" w:hAnsi="Arial" w:cs="Arial"/>
          <w:b/>
          <w:bCs/>
          <w:color w:val="000000"/>
          <w:sz w:val="26"/>
          <w:szCs w:val="26"/>
        </w:rPr>
        <w:t>  Annual Commemoration of the Palestinian Nakba, which occur takes place on May, 15</w:t>
      </w:r>
      <w:r w:rsidRPr="005D0A64">
        <w:rPr>
          <w:rFonts w:ascii="Arial" w:hAnsi="Arial" w:cs="Arial"/>
          <w:b/>
          <w:bCs/>
          <w:color w:val="000000"/>
          <w:sz w:val="26"/>
          <w:szCs w:val="26"/>
          <w:vertAlign w:val="superscript"/>
        </w:rPr>
        <w:t>th</w:t>
      </w:r>
      <w:r w:rsidRPr="005D0A64">
        <w:rPr>
          <w:rFonts w:ascii="Arial" w:hAnsi="Arial" w:cs="Arial"/>
          <w:b/>
          <w:bCs/>
          <w:color w:val="000000"/>
          <w:sz w:val="26"/>
          <w:szCs w:val="26"/>
        </w:rPr>
        <w:t>; and those figures and data run as the following: </w:t>
      </w:r>
      <w:r w:rsidRPr="005D0A64">
        <w:rPr>
          <w:rFonts w:ascii="Arial" w:hAnsi="Arial" w:cs="Arial"/>
          <w:b/>
          <w:bCs/>
          <w:color w:val="1F497D"/>
          <w:sz w:val="26"/>
          <w:szCs w:val="26"/>
        </w:rPr>
        <w:t> </w:t>
      </w:r>
    </w:p>
    <w:p w14:paraId="10450ED6" w14:textId="3EF37F14" w:rsidR="00AF637E" w:rsidRPr="005D0A64" w:rsidRDefault="00AF637E" w:rsidP="00C54AE2">
      <w:pPr>
        <w:bidi w:val="0"/>
        <w:jc w:val="center"/>
        <w:rPr>
          <w:b/>
          <w:bCs/>
          <w:color w:val="000000" w:themeColor="text1"/>
          <w:sz w:val="26"/>
          <w:szCs w:val="26"/>
        </w:rPr>
      </w:pPr>
      <w:r w:rsidRPr="005D0A64">
        <w:rPr>
          <w:b/>
          <w:bCs/>
          <w:color w:val="000000" w:themeColor="text1"/>
          <w:sz w:val="26"/>
          <w:szCs w:val="26"/>
        </w:rPr>
        <w:t xml:space="preserve">The Nakba: </w:t>
      </w:r>
      <w:r w:rsidR="00C54AE2" w:rsidRPr="005D0A64">
        <w:rPr>
          <w:b/>
          <w:bCs/>
          <w:color w:val="000000" w:themeColor="text1"/>
          <w:sz w:val="26"/>
          <w:szCs w:val="26"/>
        </w:rPr>
        <w:t xml:space="preserve">Continuous </w:t>
      </w:r>
      <w:r w:rsidRPr="005D0A64">
        <w:rPr>
          <w:b/>
          <w:bCs/>
          <w:color w:val="000000" w:themeColor="text1"/>
          <w:sz w:val="26"/>
          <w:szCs w:val="26"/>
        </w:rPr>
        <w:t>Ethnic cleansing, displacement of Palestinians</w:t>
      </w:r>
      <w:r w:rsidR="00C54AE2" w:rsidRPr="005D0A64">
        <w:rPr>
          <w:b/>
          <w:bCs/>
          <w:color w:val="000000" w:themeColor="text1"/>
          <w:sz w:val="26"/>
          <w:szCs w:val="26"/>
        </w:rPr>
        <w:t>, colonialism</w:t>
      </w:r>
      <w:r w:rsidRPr="005D0A64">
        <w:rPr>
          <w:b/>
          <w:bCs/>
          <w:color w:val="000000" w:themeColor="text1"/>
          <w:sz w:val="26"/>
          <w:szCs w:val="26"/>
        </w:rPr>
        <w:t xml:space="preserve"> and </w:t>
      </w:r>
      <w:r w:rsidR="00C54AE2" w:rsidRPr="005D0A64">
        <w:rPr>
          <w:b/>
          <w:bCs/>
          <w:color w:val="000000" w:themeColor="text1"/>
          <w:sz w:val="26"/>
          <w:szCs w:val="26"/>
        </w:rPr>
        <w:t>taking over Palestinian Lands</w:t>
      </w:r>
    </w:p>
    <w:p w14:paraId="4456E1E3" w14:textId="5F01D706" w:rsidR="00AF637E" w:rsidRPr="005D0A64" w:rsidRDefault="00AF637E" w:rsidP="00AF637E">
      <w:pPr>
        <w:bidi w:val="0"/>
        <w:jc w:val="both"/>
        <w:rPr>
          <w:color w:val="000000" w:themeColor="text1"/>
          <w:sz w:val="26"/>
          <w:szCs w:val="26"/>
        </w:rPr>
      </w:pPr>
      <w:r w:rsidRPr="005D0A64">
        <w:rPr>
          <w:i/>
          <w:iCs/>
          <w:color w:val="000000" w:themeColor="text1"/>
          <w:sz w:val="26"/>
          <w:szCs w:val="26"/>
        </w:rPr>
        <w:t>Nakba</w:t>
      </w:r>
      <w:r w:rsidRPr="005D0A64">
        <w:rPr>
          <w:color w:val="000000" w:themeColor="text1"/>
          <w:sz w:val="26"/>
          <w:szCs w:val="26"/>
        </w:rPr>
        <w:t xml:space="preserve"> in Palestine describes a process of ethnic cleansing in which an unarmed native nation was destroyed and its population displaced systematically to be replaced by Jewish occupiers from all over the world. The </w:t>
      </w:r>
      <w:r w:rsidRPr="005D0A64">
        <w:rPr>
          <w:i/>
          <w:iCs/>
          <w:color w:val="000000" w:themeColor="text1"/>
          <w:sz w:val="26"/>
          <w:szCs w:val="26"/>
        </w:rPr>
        <w:t>Nakba</w:t>
      </w:r>
      <w:r w:rsidRPr="005D0A64">
        <w:rPr>
          <w:color w:val="000000" w:themeColor="text1"/>
          <w:sz w:val="26"/>
          <w:szCs w:val="26"/>
        </w:rPr>
        <w:t xml:space="preserve"> resulted in the displacement of more than </w:t>
      </w:r>
      <w:r w:rsidR="00075D0A" w:rsidRPr="005D0A64">
        <w:rPr>
          <w:color w:val="000000" w:themeColor="text1"/>
          <w:sz w:val="26"/>
          <w:szCs w:val="26"/>
        </w:rPr>
        <w:t xml:space="preserve">1 </w:t>
      </w:r>
      <w:r w:rsidRPr="005D0A64">
        <w:rPr>
          <w:color w:val="000000" w:themeColor="text1"/>
          <w:sz w:val="26"/>
          <w:szCs w:val="26"/>
        </w:rPr>
        <w:t>million Palestinians out of the 1.4 million Palestinians who were living in historical Palestine in 1948 in 1,300 villages and towns. The majority of the displaced Palestinians ended up in neighboring Arab countries, in the West Bank and Gaza Strip and other countries in the world. Furthermore, thousands of Palestinians – who stayed in the land controlled by Israeli occupation in 1948 – were driven out of their homes and lands which were seized.</w:t>
      </w:r>
    </w:p>
    <w:p w14:paraId="2C40CA33" w14:textId="77777777" w:rsidR="004D7549" w:rsidRPr="005D0A64" w:rsidRDefault="004D7549" w:rsidP="004D7549">
      <w:pPr>
        <w:bidi w:val="0"/>
        <w:jc w:val="both"/>
        <w:rPr>
          <w:color w:val="000000" w:themeColor="text1"/>
          <w:sz w:val="26"/>
          <w:szCs w:val="26"/>
        </w:rPr>
      </w:pPr>
    </w:p>
    <w:p w14:paraId="1B21D41D" w14:textId="4134977A" w:rsidR="00AF637E" w:rsidRDefault="00AF637E" w:rsidP="008E117C">
      <w:pPr>
        <w:bidi w:val="0"/>
        <w:jc w:val="both"/>
        <w:rPr>
          <w:color w:val="000000" w:themeColor="text1"/>
          <w:sz w:val="26"/>
          <w:szCs w:val="26"/>
        </w:rPr>
      </w:pPr>
      <w:r w:rsidRPr="005D0A64">
        <w:rPr>
          <w:color w:val="000000" w:themeColor="text1"/>
          <w:sz w:val="26"/>
          <w:szCs w:val="26"/>
        </w:rPr>
        <w:t xml:space="preserve">According to the historical documentary evidence, Israeli </w:t>
      </w:r>
      <w:r w:rsidR="00542533" w:rsidRPr="005D0A64">
        <w:rPr>
          <w:color w:val="000000" w:themeColor="text1"/>
          <w:sz w:val="26"/>
          <w:szCs w:val="26"/>
        </w:rPr>
        <w:t xml:space="preserve">occupation </w:t>
      </w:r>
      <w:r w:rsidRPr="005D0A64">
        <w:rPr>
          <w:color w:val="000000" w:themeColor="text1"/>
          <w:sz w:val="26"/>
          <w:szCs w:val="26"/>
        </w:rPr>
        <w:t xml:space="preserve">controlled 774 towns and villages and destroyed 531 Palestinian towns and villages during the </w:t>
      </w:r>
      <w:r w:rsidRPr="005D0A64">
        <w:rPr>
          <w:i/>
          <w:iCs/>
          <w:color w:val="000000" w:themeColor="text1"/>
          <w:sz w:val="26"/>
          <w:szCs w:val="26"/>
        </w:rPr>
        <w:t>Nakba</w:t>
      </w:r>
      <w:r w:rsidRPr="005D0A64">
        <w:rPr>
          <w:color w:val="000000" w:themeColor="text1"/>
          <w:sz w:val="26"/>
          <w:szCs w:val="26"/>
        </w:rPr>
        <w:t>. The atrocities of Zionist forces also included more than 70 massacres in which more than 15 thou</w:t>
      </w:r>
      <w:r w:rsidR="009F6925" w:rsidRPr="005D0A64">
        <w:rPr>
          <w:color w:val="000000" w:themeColor="text1"/>
          <w:sz w:val="26"/>
          <w:szCs w:val="26"/>
        </w:rPr>
        <w:t xml:space="preserve">sand Palestinians were martyred, The Israeli occupation has been waging its aggression since the Nakba, and has escalated </w:t>
      </w:r>
      <w:r w:rsidR="00542533" w:rsidRPr="005D0A64">
        <w:rPr>
          <w:color w:val="000000" w:themeColor="text1"/>
          <w:sz w:val="26"/>
          <w:szCs w:val="26"/>
        </w:rPr>
        <w:t xml:space="preserve">it </w:t>
      </w:r>
      <w:r w:rsidR="009F6925" w:rsidRPr="005D0A64">
        <w:rPr>
          <w:color w:val="000000" w:themeColor="text1"/>
          <w:sz w:val="26"/>
          <w:szCs w:val="26"/>
        </w:rPr>
        <w:t>sharply during the current aggression against Gaza Strip since October 7</w:t>
      </w:r>
      <w:r w:rsidR="00542533" w:rsidRPr="005D0A64">
        <w:rPr>
          <w:color w:val="000000" w:themeColor="text1"/>
          <w:sz w:val="26"/>
          <w:szCs w:val="26"/>
          <w:vertAlign w:val="superscript"/>
        </w:rPr>
        <w:t>th</w:t>
      </w:r>
      <w:r w:rsidR="009F6925" w:rsidRPr="005D0A64">
        <w:rPr>
          <w:color w:val="000000" w:themeColor="text1"/>
          <w:sz w:val="26"/>
          <w:szCs w:val="26"/>
        </w:rPr>
        <w:t>, 2023.</w:t>
      </w:r>
    </w:p>
    <w:p w14:paraId="19A4064E" w14:textId="77777777" w:rsidR="005A6D9C" w:rsidRPr="005D0A64" w:rsidRDefault="005A6D9C" w:rsidP="005A6D9C">
      <w:pPr>
        <w:bidi w:val="0"/>
        <w:jc w:val="both"/>
        <w:rPr>
          <w:color w:val="000000" w:themeColor="text1"/>
          <w:sz w:val="26"/>
          <w:szCs w:val="26"/>
        </w:rPr>
      </w:pPr>
    </w:p>
    <w:p w14:paraId="6E5BAF41" w14:textId="77777777" w:rsidR="00AF637E" w:rsidRPr="005D0A64" w:rsidRDefault="00AF637E" w:rsidP="00AF637E">
      <w:pPr>
        <w:pStyle w:val="BodyText"/>
        <w:bidi w:val="0"/>
        <w:spacing w:after="0"/>
        <w:jc w:val="center"/>
        <w:rPr>
          <w:rStyle w:val="shorttext"/>
          <w:rFonts w:asciiTheme="majorBidi" w:hAnsiTheme="majorBidi" w:cstheme="majorBidi"/>
          <w:b/>
          <w:bCs/>
          <w:color w:val="000000" w:themeColor="text1"/>
          <w:sz w:val="26"/>
          <w:szCs w:val="26"/>
          <w:rtl/>
        </w:rPr>
      </w:pPr>
      <w:r w:rsidRPr="005D0A64">
        <w:rPr>
          <w:rStyle w:val="shorttext"/>
          <w:rFonts w:asciiTheme="majorBidi" w:hAnsiTheme="majorBidi" w:cstheme="majorBidi"/>
          <w:b/>
          <w:bCs/>
          <w:color w:val="000000" w:themeColor="text1"/>
          <w:sz w:val="26"/>
          <w:szCs w:val="26"/>
        </w:rPr>
        <w:t>More than 134 Thousand Martyrs since the</w:t>
      </w:r>
      <w:r w:rsidRPr="005D0A64">
        <w:rPr>
          <w:b/>
          <w:bCs/>
          <w:color w:val="000000" w:themeColor="text1"/>
          <w:sz w:val="26"/>
          <w:szCs w:val="26"/>
        </w:rPr>
        <w:t xml:space="preserve"> Nakba,</w:t>
      </w:r>
      <w:r w:rsidRPr="005D0A64">
        <w:rPr>
          <w:rStyle w:val="shorttext"/>
          <w:rFonts w:asciiTheme="majorBidi" w:hAnsiTheme="majorBidi" w:cstheme="majorBidi"/>
          <w:b/>
          <w:bCs/>
          <w:color w:val="000000" w:themeColor="text1"/>
          <w:sz w:val="26"/>
          <w:szCs w:val="26"/>
        </w:rPr>
        <w:t xml:space="preserve"> 1948</w:t>
      </w:r>
    </w:p>
    <w:p w14:paraId="4E5F4A85" w14:textId="7A5BAE99" w:rsidR="00AF637E" w:rsidRPr="005D0A64" w:rsidRDefault="00AF637E" w:rsidP="009A15DD">
      <w:pPr>
        <w:pStyle w:val="BodyTextIndent"/>
        <w:ind w:left="0"/>
        <w:jc w:val="both"/>
        <w:rPr>
          <w:color w:val="000000" w:themeColor="text1"/>
          <w:sz w:val="26"/>
          <w:szCs w:val="26"/>
        </w:rPr>
      </w:pPr>
      <w:r w:rsidRPr="005D0A64">
        <w:rPr>
          <w:color w:val="000000" w:themeColor="text1"/>
          <w:sz w:val="26"/>
          <w:szCs w:val="26"/>
        </w:rPr>
        <w:t>The number of Palestinian and Arab martyrs killed since the Nakba in 1948 and until this day (inside and outside Palestine) reached more than 134 thousand martyrs</w:t>
      </w:r>
      <w:r w:rsidRPr="005D0A64">
        <w:rPr>
          <w:rStyle w:val="FootnoteReference"/>
          <w:color w:val="000000" w:themeColor="text1"/>
          <w:sz w:val="26"/>
          <w:szCs w:val="26"/>
          <w:rtl/>
        </w:rPr>
        <w:footnoteReference w:id="1"/>
      </w:r>
      <w:r w:rsidRPr="005D0A64">
        <w:rPr>
          <w:color w:val="000000" w:themeColor="text1"/>
          <w:sz w:val="26"/>
          <w:szCs w:val="26"/>
        </w:rPr>
        <w:t xml:space="preserve">. Moreover, the number of martyrs killed in Al-Aqsa Intifada </w:t>
      </w:r>
      <w:r w:rsidR="008E117C" w:rsidRPr="005D0A64">
        <w:rPr>
          <w:color w:val="000000" w:themeColor="text1"/>
          <w:sz w:val="26"/>
          <w:szCs w:val="26"/>
        </w:rPr>
        <w:t xml:space="preserve">on </w:t>
      </w:r>
      <w:r w:rsidRPr="005D0A64">
        <w:rPr>
          <w:color w:val="000000" w:themeColor="text1"/>
          <w:sz w:val="26"/>
          <w:szCs w:val="26"/>
        </w:rPr>
        <w:t>September 29</w:t>
      </w:r>
      <w:r w:rsidRPr="005D0A64">
        <w:rPr>
          <w:color w:val="000000" w:themeColor="text1"/>
          <w:sz w:val="26"/>
          <w:szCs w:val="26"/>
          <w:vertAlign w:val="superscript"/>
        </w:rPr>
        <w:t>th</w:t>
      </w:r>
      <w:r w:rsidR="00BA072D" w:rsidRPr="005D0A64">
        <w:rPr>
          <w:color w:val="000000" w:themeColor="text1"/>
          <w:sz w:val="26"/>
          <w:szCs w:val="26"/>
        </w:rPr>
        <w:t xml:space="preserve">, </w:t>
      </w:r>
      <w:r w:rsidRPr="005D0A64">
        <w:rPr>
          <w:color w:val="000000" w:themeColor="text1"/>
          <w:sz w:val="26"/>
          <w:szCs w:val="26"/>
        </w:rPr>
        <w:t>2000 until April 30</w:t>
      </w:r>
      <w:r w:rsidRPr="005D0A64">
        <w:rPr>
          <w:color w:val="000000" w:themeColor="text1"/>
          <w:sz w:val="26"/>
          <w:szCs w:val="26"/>
          <w:vertAlign w:val="superscript"/>
        </w:rPr>
        <w:t>th</w:t>
      </w:r>
      <w:r w:rsidR="00E40E38" w:rsidRPr="005D0A64">
        <w:rPr>
          <w:color w:val="000000" w:themeColor="text1"/>
          <w:sz w:val="26"/>
          <w:szCs w:val="26"/>
        </w:rPr>
        <w:t xml:space="preserve">, </w:t>
      </w:r>
      <w:r w:rsidRPr="005D0A64">
        <w:rPr>
          <w:color w:val="000000" w:themeColor="text1"/>
          <w:sz w:val="26"/>
          <w:szCs w:val="26"/>
        </w:rPr>
        <w:t xml:space="preserve">2024 was about 46,500. The number of martyrs in Palestine since the start of the Israeli occupation aggression </w:t>
      </w:r>
      <w:r w:rsidR="00180E9D" w:rsidRPr="005D0A64">
        <w:rPr>
          <w:color w:val="000000" w:themeColor="text1"/>
          <w:sz w:val="26"/>
          <w:szCs w:val="26"/>
        </w:rPr>
        <w:t xml:space="preserve">against Gaza Strip </w:t>
      </w:r>
      <w:r w:rsidRPr="005D0A64">
        <w:rPr>
          <w:color w:val="000000" w:themeColor="text1"/>
          <w:sz w:val="26"/>
          <w:szCs w:val="26"/>
        </w:rPr>
        <w:t>on October 7</w:t>
      </w:r>
      <w:r w:rsidRPr="005D0A64">
        <w:rPr>
          <w:color w:val="000000" w:themeColor="text1"/>
          <w:sz w:val="26"/>
          <w:szCs w:val="26"/>
          <w:vertAlign w:val="superscript"/>
        </w:rPr>
        <w:t>th</w:t>
      </w:r>
      <w:r w:rsidRPr="005D0A64">
        <w:rPr>
          <w:color w:val="000000" w:themeColor="text1"/>
          <w:sz w:val="26"/>
          <w:szCs w:val="26"/>
        </w:rPr>
        <w:t xml:space="preserve">, 2023 until </w:t>
      </w:r>
      <w:r w:rsidR="009A6BA9" w:rsidRPr="005D0A64">
        <w:rPr>
          <w:color w:val="000000" w:themeColor="text1"/>
          <w:sz w:val="26"/>
          <w:szCs w:val="26"/>
        </w:rPr>
        <w:t>May</w:t>
      </w:r>
      <w:r w:rsidRPr="005D0A64">
        <w:rPr>
          <w:color w:val="000000" w:themeColor="text1"/>
          <w:sz w:val="26"/>
          <w:szCs w:val="26"/>
        </w:rPr>
        <w:t xml:space="preserve"> </w:t>
      </w:r>
      <w:r w:rsidR="008F3C69" w:rsidRPr="005D0A64">
        <w:rPr>
          <w:color w:val="000000" w:themeColor="text1"/>
          <w:sz w:val="26"/>
          <w:szCs w:val="26"/>
        </w:rPr>
        <w:t>7</w:t>
      </w:r>
      <w:r w:rsidR="008F3C69" w:rsidRPr="005D0A64">
        <w:rPr>
          <w:color w:val="000000" w:themeColor="text1"/>
          <w:sz w:val="26"/>
          <w:szCs w:val="26"/>
          <w:vertAlign w:val="superscript"/>
        </w:rPr>
        <w:t>th</w:t>
      </w:r>
      <w:r w:rsidR="008F3C69" w:rsidRPr="005D0A64">
        <w:rPr>
          <w:color w:val="000000" w:themeColor="text1"/>
          <w:sz w:val="26"/>
          <w:szCs w:val="26"/>
        </w:rPr>
        <w:t>,</w:t>
      </w:r>
      <w:r w:rsidRPr="005D0A64">
        <w:rPr>
          <w:color w:val="000000" w:themeColor="text1"/>
          <w:sz w:val="26"/>
          <w:szCs w:val="26"/>
        </w:rPr>
        <w:t xml:space="preserve"> 2024 reached </w:t>
      </w:r>
      <w:r w:rsidR="008D4B66" w:rsidRPr="005D0A64">
        <w:rPr>
          <w:color w:val="000000" w:themeColor="text1"/>
          <w:sz w:val="26"/>
          <w:szCs w:val="26"/>
        </w:rPr>
        <w:t>about 35 thousand</w:t>
      </w:r>
      <w:r w:rsidRPr="005D0A64">
        <w:rPr>
          <w:color w:val="000000" w:themeColor="text1"/>
          <w:sz w:val="26"/>
          <w:szCs w:val="26"/>
        </w:rPr>
        <w:t xml:space="preserve"> martyrs; more than 14,873 children and more than 9,</w:t>
      </w:r>
      <w:r w:rsidRPr="005D0A64">
        <w:rPr>
          <w:rFonts w:hint="cs"/>
          <w:color w:val="000000" w:themeColor="text1"/>
          <w:sz w:val="26"/>
          <w:szCs w:val="26"/>
          <w:rtl/>
        </w:rPr>
        <w:t>801</w:t>
      </w:r>
      <w:r w:rsidRPr="005D0A64">
        <w:rPr>
          <w:color w:val="000000" w:themeColor="text1"/>
          <w:sz w:val="26"/>
          <w:szCs w:val="26"/>
        </w:rPr>
        <w:t xml:space="preserve"> women, in addition to more than 141 journalists were martyred according to the records of the Palestinian Ministry of Health in Gaza Strip</w:t>
      </w:r>
      <w:r w:rsidR="009A15DD" w:rsidRPr="005D0A64">
        <w:rPr>
          <w:color w:val="000000" w:themeColor="text1"/>
          <w:sz w:val="26"/>
          <w:szCs w:val="26"/>
        </w:rPr>
        <w:t xml:space="preserve">. </w:t>
      </w:r>
      <w:r w:rsidRPr="005D0A64">
        <w:rPr>
          <w:color w:val="000000" w:themeColor="text1"/>
          <w:sz w:val="26"/>
          <w:szCs w:val="26"/>
        </w:rPr>
        <w:t>In addition to the loss of more than 7,000 citizens, most of whom were women and children. While the number of martyrs reached 49</w:t>
      </w:r>
      <w:r w:rsidR="009A6BA9" w:rsidRPr="005D0A64">
        <w:rPr>
          <w:color w:val="000000" w:themeColor="text1"/>
          <w:sz w:val="26"/>
          <w:szCs w:val="26"/>
        </w:rPr>
        <w:t>2</w:t>
      </w:r>
      <w:r w:rsidRPr="005D0A64">
        <w:rPr>
          <w:color w:val="000000" w:themeColor="text1"/>
          <w:sz w:val="26"/>
          <w:szCs w:val="26"/>
        </w:rPr>
        <w:t xml:space="preserve"> martyrs in the West Bank since the start of the Israeli occupation aggression on October 7</w:t>
      </w:r>
      <w:r w:rsidRPr="005D0A64">
        <w:rPr>
          <w:color w:val="000000" w:themeColor="text1"/>
          <w:sz w:val="26"/>
          <w:szCs w:val="26"/>
          <w:vertAlign w:val="superscript"/>
        </w:rPr>
        <w:t>th</w:t>
      </w:r>
      <w:r w:rsidRPr="005D0A64">
        <w:rPr>
          <w:color w:val="000000" w:themeColor="text1"/>
          <w:sz w:val="26"/>
          <w:szCs w:val="26"/>
        </w:rPr>
        <w:t>, 2023.</w:t>
      </w:r>
    </w:p>
    <w:p w14:paraId="199FAB5D" w14:textId="71D2C5AD" w:rsidR="00455295" w:rsidRPr="005D0A64" w:rsidRDefault="00455295" w:rsidP="00455295">
      <w:pPr>
        <w:bidi w:val="0"/>
        <w:jc w:val="center"/>
        <w:rPr>
          <w:b/>
          <w:bCs/>
          <w:color w:val="000000" w:themeColor="text1"/>
          <w:sz w:val="26"/>
          <w:szCs w:val="26"/>
        </w:rPr>
      </w:pPr>
      <w:r w:rsidRPr="005D0A64">
        <w:rPr>
          <w:b/>
          <w:bCs/>
          <w:color w:val="000000" w:themeColor="text1"/>
          <w:sz w:val="26"/>
          <w:szCs w:val="26"/>
        </w:rPr>
        <w:t>Israeli Settlements: Continuous Expansion</w:t>
      </w:r>
    </w:p>
    <w:p w14:paraId="1D7DD60B" w14:textId="4F8D6F40" w:rsidR="00455295" w:rsidRPr="005D0A64" w:rsidRDefault="00455295" w:rsidP="00455295">
      <w:pPr>
        <w:bidi w:val="0"/>
        <w:jc w:val="both"/>
        <w:rPr>
          <w:color w:val="000000" w:themeColor="text1"/>
          <w:sz w:val="26"/>
          <w:szCs w:val="26"/>
        </w:rPr>
      </w:pPr>
      <w:r w:rsidRPr="005D0A64">
        <w:rPr>
          <w:color w:val="000000" w:themeColor="text1"/>
          <w:sz w:val="26"/>
          <w:szCs w:val="26"/>
        </w:rPr>
        <w:t xml:space="preserve">By the end of 2022, there were 483 Israeli occupation sites and military bases in the West Bank, including 151 settlements and 25 inhabited outposts that </w:t>
      </w:r>
      <w:r w:rsidR="001E090E" w:rsidRPr="005D0A64">
        <w:rPr>
          <w:color w:val="000000" w:themeColor="text1"/>
          <w:sz w:val="26"/>
          <w:szCs w:val="26"/>
        </w:rPr>
        <w:t xml:space="preserve">were </w:t>
      </w:r>
      <w:r w:rsidRPr="005D0A64">
        <w:rPr>
          <w:color w:val="000000" w:themeColor="text1"/>
          <w:sz w:val="26"/>
          <w:szCs w:val="26"/>
        </w:rPr>
        <w:t>considered as neighborhoods following established settlements, in addition to 163 settlement outposts, and 144 classified as other sites (industrial, tourists, service areas and Israeli army bases).</w:t>
      </w:r>
    </w:p>
    <w:p w14:paraId="4D97BD9D" w14:textId="2A460A4F" w:rsidR="00455295" w:rsidRPr="005D0A64" w:rsidRDefault="00455295" w:rsidP="008E117C">
      <w:pPr>
        <w:bidi w:val="0"/>
        <w:jc w:val="both"/>
        <w:rPr>
          <w:color w:val="000000" w:themeColor="text1"/>
          <w:sz w:val="26"/>
          <w:szCs w:val="26"/>
        </w:rPr>
      </w:pPr>
      <w:r w:rsidRPr="005D0A64">
        <w:rPr>
          <w:color w:val="000000" w:themeColor="text1"/>
          <w:sz w:val="26"/>
          <w:szCs w:val="26"/>
        </w:rPr>
        <w:t>As for the number of settlers in the West Bank, it reached 745,467 settlers by the end of 2022, data show</w:t>
      </w:r>
      <w:r w:rsidR="008E117C" w:rsidRPr="005D0A64">
        <w:rPr>
          <w:color w:val="000000" w:themeColor="text1"/>
          <w:sz w:val="26"/>
          <w:szCs w:val="26"/>
        </w:rPr>
        <w:t>ed</w:t>
      </w:r>
      <w:r w:rsidRPr="005D0A64">
        <w:rPr>
          <w:color w:val="000000" w:themeColor="text1"/>
          <w:sz w:val="26"/>
          <w:szCs w:val="26"/>
        </w:rPr>
        <w:t xml:space="preserve"> that around 45.1% of settlers live in Jerusalem Governorate, where their number reached </w:t>
      </w:r>
      <w:r w:rsidRPr="005D0A64">
        <w:rPr>
          <w:color w:val="000000" w:themeColor="text1"/>
          <w:sz w:val="26"/>
          <w:szCs w:val="26"/>
        </w:rPr>
        <w:lastRenderedPageBreak/>
        <w:t>about 336,272 settlers; out of which 246,990 settlers live in East Jerusalem (J1) “includes those parts of Jerusalem which were annexed by Israeli occupation in 1967”,, followed by Ramallah and Al-Bireh Governorate with 149,143 settlers, 98,384 settlers in Bethlehem Governorate, and 53,455 settlers in Salfit Governorate. Tubas &amp; the Northern Valleys Governorate has the lowest number of settlers that reach</w:t>
      </w:r>
      <w:r w:rsidR="00BB246F" w:rsidRPr="005D0A64">
        <w:rPr>
          <w:color w:val="000000" w:themeColor="text1"/>
          <w:sz w:val="26"/>
          <w:szCs w:val="26"/>
        </w:rPr>
        <w:t>ed</w:t>
      </w:r>
      <w:r w:rsidRPr="005D0A64">
        <w:rPr>
          <w:color w:val="000000" w:themeColor="text1"/>
          <w:sz w:val="26"/>
          <w:szCs w:val="26"/>
        </w:rPr>
        <w:t xml:space="preserve"> 2,717 settlers.</w:t>
      </w:r>
    </w:p>
    <w:p w14:paraId="51521483" w14:textId="77777777" w:rsidR="00455295" w:rsidRPr="005D0A64" w:rsidRDefault="00455295" w:rsidP="00455295">
      <w:pPr>
        <w:bidi w:val="0"/>
        <w:jc w:val="both"/>
        <w:rPr>
          <w:color w:val="000000" w:themeColor="text1"/>
          <w:sz w:val="26"/>
          <w:szCs w:val="26"/>
        </w:rPr>
      </w:pPr>
    </w:p>
    <w:p w14:paraId="54E9D5AE" w14:textId="49FC15B1" w:rsidR="00455295" w:rsidRPr="005D0A64" w:rsidRDefault="00455295" w:rsidP="000E3C52">
      <w:pPr>
        <w:bidi w:val="0"/>
        <w:jc w:val="both"/>
        <w:rPr>
          <w:color w:val="000000" w:themeColor="text1"/>
          <w:sz w:val="26"/>
          <w:szCs w:val="26"/>
        </w:rPr>
      </w:pPr>
      <w:r w:rsidRPr="005D0A64">
        <w:rPr>
          <w:color w:val="000000" w:themeColor="text1"/>
          <w:sz w:val="26"/>
          <w:szCs w:val="26"/>
        </w:rPr>
        <w:t>In regards to demographics, the proportion of settlers to Palestinian population in the West Bank is about 23 settlers per 100 Palestinians. It was the highest in Jerusalem Governorate, where there were 69 settlers per 100 Palestinians.</w:t>
      </w:r>
      <w:r w:rsidRPr="005D0A64">
        <w:rPr>
          <w:rFonts w:hint="cs"/>
          <w:color w:val="000000" w:themeColor="text1"/>
          <w:sz w:val="26"/>
          <w:szCs w:val="26"/>
          <w:rtl/>
        </w:rPr>
        <w:t xml:space="preserve"> </w:t>
      </w:r>
      <w:r w:rsidRPr="005D0A64">
        <w:rPr>
          <w:color w:val="000000" w:themeColor="text1"/>
          <w:sz w:val="26"/>
          <w:szCs w:val="26"/>
        </w:rPr>
        <w:t xml:space="preserve">Accordingly, 2023 witnessed a significant increase in the pace of construction and expansion of the Israeli settlements in the West Bank, where the Israeli occupation approved the construction of more than 18,000 new settlement housing units in </w:t>
      </w:r>
      <w:r w:rsidR="000E3C52" w:rsidRPr="005D0A64">
        <w:rPr>
          <w:color w:val="000000" w:themeColor="text1"/>
          <w:sz w:val="26"/>
          <w:szCs w:val="26"/>
        </w:rPr>
        <w:t xml:space="preserve">the </w:t>
      </w:r>
      <w:r w:rsidRPr="005D0A64">
        <w:rPr>
          <w:color w:val="000000" w:themeColor="text1"/>
          <w:sz w:val="26"/>
          <w:szCs w:val="26"/>
        </w:rPr>
        <w:t>West Bank</w:t>
      </w:r>
      <w:r w:rsidR="000E3C52" w:rsidRPr="005D0A64">
        <w:rPr>
          <w:color w:val="000000" w:themeColor="text1"/>
          <w:sz w:val="26"/>
          <w:szCs w:val="26"/>
        </w:rPr>
        <w:t>, including</w:t>
      </w:r>
      <w:r w:rsidRPr="005D0A64">
        <w:rPr>
          <w:color w:val="000000" w:themeColor="text1"/>
          <w:sz w:val="26"/>
          <w:szCs w:val="26"/>
        </w:rPr>
        <w:t xml:space="preserve"> Jerusalem Governorate.</w:t>
      </w:r>
      <w:r w:rsidRPr="005D0A64" w:rsidDel="00D13B51">
        <w:rPr>
          <w:color w:val="000000" w:themeColor="text1"/>
          <w:sz w:val="26"/>
          <w:szCs w:val="26"/>
        </w:rPr>
        <w:t xml:space="preserve"> </w:t>
      </w:r>
    </w:p>
    <w:p w14:paraId="29B76A3A" w14:textId="77777777" w:rsidR="00455295" w:rsidRPr="005D0A64" w:rsidRDefault="00455295" w:rsidP="00455295">
      <w:pPr>
        <w:pStyle w:val="BodyText"/>
        <w:tabs>
          <w:tab w:val="left" w:pos="3882"/>
        </w:tabs>
        <w:jc w:val="lowKashida"/>
        <w:rPr>
          <w:rStyle w:val="shorttext"/>
          <w:rFonts w:asciiTheme="majorBidi" w:hAnsiTheme="majorBidi" w:cstheme="majorBidi"/>
          <w:b/>
          <w:bCs/>
          <w:color w:val="000000" w:themeColor="text1"/>
          <w:sz w:val="26"/>
          <w:szCs w:val="26"/>
          <w:rtl/>
        </w:rPr>
      </w:pPr>
      <w:r w:rsidRPr="00EA5E21">
        <w:rPr>
          <w:rStyle w:val="shorttext"/>
          <w:rFonts w:asciiTheme="majorBidi" w:hAnsiTheme="majorBidi" w:cstheme="majorBidi"/>
          <w:b/>
          <w:bCs/>
          <w:color w:val="000000" w:themeColor="text1"/>
        </w:rPr>
        <w:tab/>
      </w:r>
    </w:p>
    <w:p w14:paraId="4F101C4D" w14:textId="77777777" w:rsidR="005A6D9C" w:rsidRDefault="006C283D" w:rsidP="00412698">
      <w:pPr>
        <w:pStyle w:val="BodyTextIndent"/>
        <w:ind w:left="0"/>
        <w:jc w:val="center"/>
        <w:rPr>
          <w:b/>
          <w:bCs/>
          <w:color w:val="000000" w:themeColor="text1"/>
          <w:sz w:val="26"/>
          <w:szCs w:val="26"/>
          <w:rtl/>
        </w:rPr>
      </w:pPr>
      <w:r w:rsidRPr="005D0A64">
        <w:rPr>
          <w:b/>
          <w:bCs/>
          <w:color w:val="000000" w:themeColor="text1"/>
          <w:sz w:val="26"/>
          <w:szCs w:val="26"/>
        </w:rPr>
        <w:t xml:space="preserve">USD </w:t>
      </w:r>
      <w:r w:rsidR="00AF637E" w:rsidRPr="005D0A64">
        <w:rPr>
          <w:b/>
          <w:bCs/>
          <w:color w:val="000000" w:themeColor="text1"/>
          <w:sz w:val="26"/>
          <w:szCs w:val="26"/>
        </w:rPr>
        <w:t>30 billion the initial direct losses due to the Israeli occupation aggression against</w:t>
      </w:r>
    </w:p>
    <w:p w14:paraId="6F2C6F06" w14:textId="211F7675" w:rsidR="00AF637E" w:rsidRPr="005D0A64" w:rsidRDefault="00AF637E" w:rsidP="00412698">
      <w:pPr>
        <w:pStyle w:val="BodyTextIndent"/>
        <w:ind w:left="0"/>
        <w:jc w:val="center"/>
        <w:rPr>
          <w:b/>
          <w:bCs/>
          <w:color w:val="000000" w:themeColor="text1"/>
          <w:sz w:val="26"/>
          <w:szCs w:val="26"/>
        </w:rPr>
      </w:pPr>
      <w:r w:rsidRPr="005D0A64">
        <w:rPr>
          <w:b/>
          <w:bCs/>
          <w:color w:val="000000" w:themeColor="text1"/>
          <w:sz w:val="26"/>
          <w:szCs w:val="26"/>
        </w:rPr>
        <w:t xml:space="preserve"> Gaza Strip.</w:t>
      </w:r>
    </w:p>
    <w:p w14:paraId="16AC308B" w14:textId="4C4D2F07" w:rsidR="00AF637E" w:rsidRPr="005D0A64" w:rsidRDefault="00AF637E" w:rsidP="0028216A">
      <w:pPr>
        <w:pStyle w:val="BodyTextIndent"/>
        <w:ind w:left="0"/>
        <w:jc w:val="both"/>
        <w:rPr>
          <w:color w:val="000000" w:themeColor="text1"/>
          <w:sz w:val="26"/>
          <w:szCs w:val="26"/>
        </w:rPr>
      </w:pPr>
      <w:r w:rsidRPr="005D0A64">
        <w:rPr>
          <w:color w:val="000000" w:themeColor="text1"/>
          <w:sz w:val="26"/>
          <w:szCs w:val="26"/>
        </w:rPr>
        <w:t>Since</w:t>
      </w:r>
      <w:r w:rsidRPr="005D0A64">
        <w:rPr>
          <w:rFonts w:ascii="Calibri" w:hAnsi="Calibri" w:cs="Calibri"/>
          <w:color w:val="000000" w:themeColor="text1"/>
          <w:sz w:val="26"/>
          <w:szCs w:val="26"/>
          <w:lang w:eastAsia="en-US"/>
        </w:rPr>
        <w:t xml:space="preserve"> </w:t>
      </w:r>
      <w:r w:rsidRPr="005D0A64">
        <w:rPr>
          <w:color w:val="000000" w:themeColor="text1"/>
          <w:sz w:val="26"/>
          <w:szCs w:val="26"/>
        </w:rPr>
        <w:t xml:space="preserve">the Israeli occupation aggression </w:t>
      </w:r>
      <w:r w:rsidR="00412698" w:rsidRPr="005D0A64">
        <w:rPr>
          <w:color w:val="000000" w:themeColor="text1"/>
          <w:sz w:val="26"/>
          <w:szCs w:val="26"/>
        </w:rPr>
        <w:t xml:space="preserve">against </w:t>
      </w:r>
      <w:r w:rsidRPr="005D0A64">
        <w:rPr>
          <w:color w:val="000000" w:themeColor="text1"/>
          <w:sz w:val="26"/>
          <w:szCs w:val="26"/>
        </w:rPr>
        <w:t>Gaza Strip on October 7</w:t>
      </w:r>
      <w:r w:rsidRPr="005D0A64">
        <w:rPr>
          <w:color w:val="000000" w:themeColor="text1"/>
          <w:sz w:val="26"/>
          <w:szCs w:val="26"/>
          <w:vertAlign w:val="superscript"/>
        </w:rPr>
        <w:t>th</w:t>
      </w:r>
      <w:r w:rsidRPr="005D0A64">
        <w:rPr>
          <w:color w:val="000000" w:themeColor="text1"/>
          <w:sz w:val="26"/>
          <w:szCs w:val="26"/>
        </w:rPr>
        <w:t>, 2023, the Israeli occupa</w:t>
      </w:r>
      <w:r w:rsidR="004D7549" w:rsidRPr="005D0A64">
        <w:rPr>
          <w:color w:val="000000" w:themeColor="text1"/>
          <w:sz w:val="26"/>
          <w:szCs w:val="26"/>
        </w:rPr>
        <w:t>tion has destroyed more than 31 thousand buildings, 17 thousand</w:t>
      </w:r>
      <w:r w:rsidRPr="005D0A64">
        <w:rPr>
          <w:color w:val="000000" w:themeColor="text1"/>
          <w:sz w:val="26"/>
          <w:szCs w:val="26"/>
        </w:rPr>
        <w:t xml:space="preserve"> severely damaged buildings</w:t>
      </w:r>
      <w:r w:rsidRPr="005D0A64" w:rsidDel="00A7352C">
        <w:rPr>
          <w:color w:val="000000" w:themeColor="text1"/>
          <w:sz w:val="26"/>
          <w:szCs w:val="26"/>
        </w:rPr>
        <w:t xml:space="preserve"> </w:t>
      </w:r>
      <w:r w:rsidR="004D7549" w:rsidRPr="005D0A64">
        <w:rPr>
          <w:color w:val="000000" w:themeColor="text1"/>
          <w:sz w:val="26"/>
          <w:szCs w:val="26"/>
        </w:rPr>
        <w:t>and 41 thousand</w:t>
      </w:r>
      <w:r w:rsidRPr="005D0A64">
        <w:rPr>
          <w:color w:val="000000" w:themeColor="text1"/>
          <w:sz w:val="26"/>
          <w:szCs w:val="26"/>
        </w:rPr>
        <w:t xml:space="preserve"> moderately damaged bui</w:t>
      </w:r>
      <w:r w:rsidR="004D7549" w:rsidRPr="005D0A64">
        <w:rPr>
          <w:color w:val="000000" w:themeColor="text1"/>
          <w:sz w:val="26"/>
          <w:szCs w:val="26"/>
        </w:rPr>
        <w:t xml:space="preserve">ldings, </w:t>
      </w:r>
      <w:r w:rsidR="00412698" w:rsidRPr="005D0A64">
        <w:rPr>
          <w:color w:val="000000" w:themeColor="text1"/>
          <w:sz w:val="26"/>
          <w:szCs w:val="26"/>
        </w:rPr>
        <w:t xml:space="preserve">with </w:t>
      </w:r>
      <w:r w:rsidR="004D7549" w:rsidRPr="005D0A64">
        <w:rPr>
          <w:color w:val="000000" w:themeColor="text1"/>
          <w:sz w:val="26"/>
          <w:szCs w:val="26"/>
        </w:rPr>
        <w:t>a total of about 89 thousand</w:t>
      </w:r>
      <w:r w:rsidRPr="005D0A64">
        <w:rPr>
          <w:color w:val="000000" w:themeColor="text1"/>
          <w:sz w:val="26"/>
          <w:szCs w:val="26"/>
        </w:rPr>
        <w:t xml:space="preserve"> damaged buildings, where 104 buildings of which  belong to the United Nations. Data show</w:t>
      </w:r>
      <w:r w:rsidR="00180E9D" w:rsidRPr="005D0A64">
        <w:rPr>
          <w:color w:val="000000" w:themeColor="text1"/>
          <w:sz w:val="26"/>
          <w:szCs w:val="26"/>
        </w:rPr>
        <w:t>ed</w:t>
      </w:r>
      <w:r w:rsidRPr="005D0A64">
        <w:rPr>
          <w:color w:val="000000" w:themeColor="text1"/>
          <w:sz w:val="26"/>
          <w:szCs w:val="26"/>
        </w:rPr>
        <w:t xml:space="preserve"> that the number of housing units that have been completely destroyed is estimated to be 86 thousand, in addition to the partially destruction of more than 294 thousand housing units, constituting about 70% of the total housing units in Gaza Strip.</w:t>
      </w:r>
    </w:p>
    <w:p w14:paraId="66CF059B" w14:textId="486BFB17" w:rsidR="00AF637E" w:rsidRDefault="00AF637E" w:rsidP="00973ED3">
      <w:pPr>
        <w:pStyle w:val="BodyTextIndent"/>
        <w:ind w:left="0"/>
        <w:jc w:val="both"/>
        <w:rPr>
          <w:color w:val="000000" w:themeColor="text1"/>
          <w:sz w:val="26"/>
          <w:szCs w:val="26"/>
        </w:rPr>
      </w:pPr>
      <w:r w:rsidRPr="005D0A64">
        <w:rPr>
          <w:color w:val="000000" w:themeColor="text1"/>
          <w:sz w:val="26"/>
          <w:szCs w:val="26"/>
        </w:rPr>
        <w:t>In addition to the destruction of schools, universities, hospitals, mosques, churches, and government headquarters, as well as the destruction of thousands of economic establishments and agricultural areas, and the destruction of all</w:t>
      </w:r>
      <w:r w:rsidRPr="005D0A64">
        <w:rPr>
          <w:rFonts w:ascii="Calibri" w:hAnsi="Calibri" w:cs="Calibri"/>
          <w:color w:val="000000" w:themeColor="text1"/>
          <w:sz w:val="26"/>
          <w:szCs w:val="26"/>
          <w:lang w:eastAsia="en-US"/>
        </w:rPr>
        <w:t xml:space="preserve"> </w:t>
      </w:r>
      <w:r w:rsidRPr="005D0A64">
        <w:rPr>
          <w:color w:val="000000" w:themeColor="text1"/>
          <w:sz w:val="26"/>
          <w:szCs w:val="26"/>
        </w:rPr>
        <w:t>aspects of infrastructure, including streets, water lines, electricity, and sewage lines, making Gaza Strip an uninhabitable place to survive</w:t>
      </w:r>
      <w:r w:rsidR="00EF74C7" w:rsidRPr="005D0A64">
        <w:rPr>
          <w:color w:val="000000" w:themeColor="text1"/>
          <w:sz w:val="26"/>
          <w:szCs w:val="26"/>
        </w:rPr>
        <w:t xml:space="preserve"> in</w:t>
      </w:r>
      <w:r w:rsidRPr="005D0A64">
        <w:rPr>
          <w:color w:val="000000" w:themeColor="text1"/>
          <w:sz w:val="26"/>
          <w:szCs w:val="26"/>
        </w:rPr>
        <w:t xml:space="preserve">.  The initial direct losses due to the Israeli occupation aggression against Gaza Strip were estimated at approximately </w:t>
      </w:r>
      <w:r w:rsidR="00973ED3" w:rsidRPr="005D0A64">
        <w:rPr>
          <w:color w:val="000000" w:themeColor="text1"/>
          <w:sz w:val="26"/>
          <w:szCs w:val="26"/>
        </w:rPr>
        <w:t xml:space="preserve">USD </w:t>
      </w:r>
      <w:r w:rsidRPr="005D0A64">
        <w:rPr>
          <w:color w:val="000000" w:themeColor="text1"/>
          <w:sz w:val="26"/>
          <w:szCs w:val="26"/>
        </w:rPr>
        <w:t>30 billion</w:t>
      </w:r>
      <w:r w:rsidR="009F6925" w:rsidRPr="005D0A64">
        <w:rPr>
          <w:color w:val="000000" w:themeColor="text1"/>
          <w:sz w:val="26"/>
          <w:szCs w:val="26"/>
        </w:rPr>
        <w:t xml:space="preserve"> according to the government information office</w:t>
      </w:r>
      <w:r w:rsidRPr="005D0A64">
        <w:rPr>
          <w:color w:val="000000" w:themeColor="text1"/>
          <w:sz w:val="26"/>
          <w:szCs w:val="26"/>
        </w:rPr>
        <w:t>.</w:t>
      </w:r>
    </w:p>
    <w:p w14:paraId="718C8E26" w14:textId="77777777" w:rsidR="005D0A64" w:rsidRPr="005D0A64" w:rsidRDefault="005D0A64" w:rsidP="00973ED3">
      <w:pPr>
        <w:pStyle w:val="BodyTextIndent"/>
        <w:ind w:left="0"/>
        <w:jc w:val="both"/>
        <w:rPr>
          <w:color w:val="000000" w:themeColor="text1"/>
          <w:sz w:val="26"/>
          <w:szCs w:val="26"/>
        </w:rPr>
      </w:pPr>
    </w:p>
    <w:p w14:paraId="20A40B8C" w14:textId="034E0328" w:rsidR="00AF637E" w:rsidRPr="005D0A64" w:rsidRDefault="00AF637E" w:rsidP="00973ED3">
      <w:pPr>
        <w:bidi w:val="0"/>
        <w:jc w:val="center"/>
        <w:rPr>
          <w:b/>
          <w:bCs/>
          <w:color w:val="000000" w:themeColor="text1"/>
          <w:sz w:val="26"/>
          <w:szCs w:val="26"/>
        </w:rPr>
      </w:pPr>
      <w:r w:rsidRPr="005D0A64">
        <w:rPr>
          <w:b/>
          <w:bCs/>
          <w:color w:val="000000" w:themeColor="text1"/>
          <w:sz w:val="26"/>
          <w:szCs w:val="26"/>
        </w:rPr>
        <w:t>Numbers of damaged buildings in Gaza Strip since October 7</w:t>
      </w:r>
      <w:r w:rsidRPr="005D0A64">
        <w:rPr>
          <w:b/>
          <w:bCs/>
          <w:color w:val="000000" w:themeColor="text1"/>
          <w:sz w:val="26"/>
          <w:szCs w:val="26"/>
          <w:vertAlign w:val="superscript"/>
        </w:rPr>
        <w:t>th</w:t>
      </w:r>
      <w:r w:rsidR="00973ED3" w:rsidRPr="005D0A64">
        <w:rPr>
          <w:b/>
          <w:bCs/>
          <w:color w:val="000000" w:themeColor="text1"/>
          <w:sz w:val="26"/>
          <w:szCs w:val="26"/>
        </w:rPr>
        <w:t xml:space="preserve">, </w:t>
      </w:r>
      <w:r w:rsidRPr="005D0A64">
        <w:rPr>
          <w:b/>
          <w:bCs/>
          <w:color w:val="000000" w:themeColor="text1"/>
          <w:sz w:val="26"/>
          <w:szCs w:val="26"/>
        </w:rPr>
        <w:t>2023, by type of building and type of damage</w:t>
      </w:r>
    </w:p>
    <w:tbl>
      <w:tblPr>
        <w:tblStyle w:val="TableGrid"/>
        <w:bidiVisual/>
        <w:tblW w:w="0" w:type="auto"/>
        <w:jc w:val="center"/>
        <w:tblLook w:val="04A0" w:firstRow="1" w:lastRow="0" w:firstColumn="1" w:lastColumn="0" w:noHBand="0" w:noVBand="1"/>
      </w:tblPr>
      <w:tblGrid>
        <w:gridCol w:w="1517"/>
        <w:gridCol w:w="1134"/>
        <w:gridCol w:w="2125"/>
      </w:tblGrid>
      <w:tr w:rsidR="00EA5E21" w:rsidRPr="00EA5E21" w14:paraId="5CC07726" w14:textId="77777777" w:rsidTr="00EE6F63">
        <w:trPr>
          <w:jc w:val="center"/>
        </w:trPr>
        <w:tc>
          <w:tcPr>
            <w:tcW w:w="2651" w:type="dxa"/>
            <w:gridSpan w:val="2"/>
          </w:tcPr>
          <w:p w14:paraId="505BB5BA" w14:textId="0CDC5CCE" w:rsidR="00AF637E" w:rsidRPr="00EA5E21" w:rsidRDefault="00973ED3" w:rsidP="00973ED3">
            <w:pPr>
              <w:jc w:val="center"/>
              <w:rPr>
                <w:b/>
                <w:bCs/>
                <w:color w:val="000000" w:themeColor="text1"/>
                <w:sz w:val="18"/>
                <w:szCs w:val="18"/>
                <w:rtl/>
              </w:rPr>
            </w:pPr>
            <w:r>
              <w:rPr>
                <w:b/>
                <w:bCs/>
                <w:color w:val="000000" w:themeColor="text1"/>
                <w:sz w:val="18"/>
                <w:szCs w:val="18"/>
              </w:rPr>
              <w:t>T</w:t>
            </w:r>
            <w:r w:rsidRPr="00EA5E21">
              <w:rPr>
                <w:b/>
                <w:bCs/>
                <w:color w:val="000000" w:themeColor="text1"/>
                <w:sz w:val="18"/>
                <w:szCs w:val="18"/>
              </w:rPr>
              <w:t xml:space="preserve">ype </w:t>
            </w:r>
            <w:r w:rsidR="00AF637E" w:rsidRPr="00EA5E21">
              <w:rPr>
                <w:b/>
                <w:bCs/>
                <w:color w:val="000000" w:themeColor="text1"/>
                <w:sz w:val="18"/>
                <w:szCs w:val="18"/>
              </w:rPr>
              <w:t xml:space="preserve">of </w:t>
            </w:r>
            <w:r>
              <w:rPr>
                <w:b/>
                <w:bCs/>
                <w:color w:val="000000" w:themeColor="text1"/>
                <w:sz w:val="18"/>
                <w:szCs w:val="18"/>
              </w:rPr>
              <w:t>D</w:t>
            </w:r>
            <w:r w:rsidRPr="00EA5E21">
              <w:rPr>
                <w:b/>
                <w:bCs/>
                <w:color w:val="000000" w:themeColor="text1"/>
                <w:sz w:val="18"/>
                <w:szCs w:val="18"/>
              </w:rPr>
              <w:t>amage</w:t>
            </w:r>
          </w:p>
        </w:tc>
        <w:tc>
          <w:tcPr>
            <w:tcW w:w="2125" w:type="dxa"/>
            <w:vMerge w:val="restart"/>
            <w:vAlign w:val="center"/>
          </w:tcPr>
          <w:p w14:paraId="69577F6D" w14:textId="5EDC70FB" w:rsidR="00AF637E" w:rsidRPr="00EA5E21" w:rsidRDefault="00973ED3" w:rsidP="00973ED3">
            <w:pPr>
              <w:jc w:val="center"/>
              <w:rPr>
                <w:b/>
                <w:bCs/>
                <w:color w:val="000000" w:themeColor="text1"/>
                <w:sz w:val="18"/>
                <w:szCs w:val="18"/>
                <w:rtl/>
              </w:rPr>
            </w:pPr>
            <w:r>
              <w:rPr>
                <w:b/>
                <w:bCs/>
                <w:color w:val="000000" w:themeColor="text1"/>
                <w:sz w:val="18"/>
                <w:szCs w:val="18"/>
              </w:rPr>
              <w:t>T</w:t>
            </w:r>
            <w:r w:rsidRPr="00EA5E21">
              <w:rPr>
                <w:b/>
                <w:bCs/>
                <w:color w:val="000000" w:themeColor="text1"/>
                <w:sz w:val="18"/>
                <w:szCs w:val="18"/>
              </w:rPr>
              <w:t xml:space="preserve">ype </w:t>
            </w:r>
            <w:r w:rsidR="00AF637E" w:rsidRPr="00EA5E21">
              <w:rPr>
                <w:b/>
                <w:bCs/>
                <w:color w:val="000000" w:themeColor="text1"/>
                <w:sz w:val="18"/>
                <w:szCs w:val="18"/>
              </w:rPr>
              <w:t xml:space="preserve">of </w:t>
            </w:r>
            <w:r>
              <w:rPr>
                <w:b/>
                <w:bCs/>
                <w:color w:val="000000" w:themeColor="text1"/>
                <w:sz w:val="18"/>
                <w:szCs w:val="18"/>
              </w:rPr>
              <w:t>B</w:t>
            </w:r>
            <w:r w:rsidRPr="00EA5E21">
              <w:rPr>
                <w:b/>
                <w:bCs/>
                <w:color w:val="000000" w:themeColor="text1"/>
                <w:sz w:val="18"/>
                <w:szCs w:val="18"/>
              </w:rPr>
              <w:t>uilding</w:t>
            </w:r>
          </w:p>
        </w:tc>
      </w:tr>
      <w:tr w:rsidR="00EA5E21" w:rsidRPr="00EA5E21" w14:paraId="705EE6F1" w14:textId="77777777" w:rsidTr="00EE6F63">
        <w:trPr>
          <w:jc w:val="center"/>
        </w:trPr>
        <w:tc>
          <w:tcPr>
            <w:tcW w:w="1517" w:type="dxa"/>
            <w:tcBorders>
              <w:bottom w:val="single" w:sz="4" w:space="0" w:color="auto"/>
            </w:tcBorders>
          </w:tcPr>
          <w:p w14:paraId="5EA7E4FD" w14:textId="77777777" w:rsidR="00AF637E" w:rsidRPr="00EA5E21" w:rsidRDefault="00AF637E" w:rsidP="00EE6F63">
            <w:pPr>
              <w:jc w:val="center"/>
              <w:rPr>
                <w:color w:val="000000" w:themeColor="text1"/>
                <w:sz w:val="18"/>
                <w:szCs w:val="18"/>
                <w:rtl/>
              </w:rPr>
            </w:pPr>
            <w:r w:rsidRPr="00EA5E21">
              <w:rPr>
                <w:color w:val="000000" w:themeColor="text1"/>
                <w:sz w:val="18"/>
                <w:szCs w:val="18"/>
              </w:rPr>
              <w:t>Partially Damaged</w:t>
            </w:r>
          </w:p>
        </w:tc>
        <w:tc>
          <w:tcPr>
            <w:tcW w:w="1134" w:type="dxa"/>
            <w:tcBorders>
              <w:bottom w:val="single" w:sz="4" w:space="0" w:color="auto"/>
            </w:tcBorders>
          </w:tcPr>
          <w:p w14:paraId="6A08A53C" w14:textId="49E74897" w:rsidR="00AF637E" w:rsidRPr="00EA5E21" w:rsidRDefault="00AF637E" w:rsidP="00973ED3">
            <w:pPr>
              <w:jc w:val="center"/>
              <w:rPr>
                <w:color w:val="000000" w:themeColor="text1"/>
                <w:sz w:val="18"/>
                <w:szCs w:val="18"/>
                <w:rtl/>
              </w:rPr>
            </w:pPr>
            <w:r w:rsidRPr="00EA5E21">
              <w:rPr>
                <w:color w:val="000000" w:themeColor="text1"/>
                <w:sz w:val="18"/>
                <w:szCs w:val="18"/>
              </w:rPr>
              <w:t xml:space="preserve">Completely </w:t>
            </w:r>
            <w:r w:rsidR="00973ED3">
              <w:rPr>
                <w:color w:val="000000" w:themeColor="text1"/>
                <w:sz w:val="18"/>
                <w:szCs w:val="18"/>
              </w:rPr>
              <w:t>D</w:t>
            </w:r>
            <w:r w:rsidR="00973ED3" w:rsidRPr="00EA5E21">
              <w:rPr>
                <w:color w:val="000000" w:themeColor="text1"/>
                <w:sz w:val="18"/>
                <w:szCs w:val="18"/>
              </w:rPr>
              <w:t>amage</w:t>
            </w:r>
            <w:r w:rsidR="00973ED3">
              <w:rPr>
                <w:color w:val="000000" w:themeColor="text1"/>
                <w:sz w:val="18"/>
                <w:szCs w:val="18"/>
              </w:rPr>
              <w:t>d</w:t>
            </w:r>
          </w:p>
        </w:tc>
        <w:tc>
          <w:tcPr>
            <w:tcW w:w="2125" w:type="dxa"/>
            <w:vMerge/>
            <w:tcBorders>
              <w:bottom w:val="single" w:sz="4" w:space="0" w:color="auto"/>
            </w:tcBorders>
          </w:tcPr>
          <w:p w14:paraId="68B7DB24" w14:textId="77777777" w:rsidR="00AF637E" w:rsidRPr="00EA5E21" w:rsidRDefault="00AF637E" w:rsidP="00EE6F63">
            <w:pPr>
              <w:jc w:val="center"/>
              <w:rPr>
                <w:b/>
                <w:bCs/>
                <w:color w:val="000000" w:themeColor="text1"/>
                <w:sz w:val="18"/>
                <w:szCs w:val="18"/>
                <w:rtl/>
              </w:rPr>
            </w:pPr>
          </w:p>
        </w:tc>
      </w:tr>
      <w:tr w:rsidR="00EA5E21" w:rsidRPr="00EA5E21" w14:paraId="634CF5CC" w14:textId="77777777" w:rsidTr="00EE6F63">
        <w:trPr>
          <w:jc w:val="center"/>
        </w:trPr>
        <w:tc>
          <w:tcPr>
            <w:tcW w:w="1517" w:type="dxa"/>
            <w:tcBorders>
              <w:top w:val="single" w:sz="4" w:space="0" w:color="auto"/>
              <w:left w:val="single" w:sz="4" w:space="0" w:color="auto"/>
              <w:bottom w:val="nil"/>
              <w:right w:val="nil"/>
            </w:tcBorders>
          </w:tcPr>
          <w:p w14:paraId="03CE96DA" w14:textId="77777777" w:rsidR="00AF637E" w:rsidRPr="00EA5E21" w:rsidRDefault="00AF637E" w:rsidP="00EE6F63">
            <w:pPr>
              <w:jc w:val="center"/>
              <w:rPr>
                <w:color w:val="000000" w:themeColor="text1"/>
                <w:sz w:val="18"/>
                <w:szCs w:val="18"/>
              </w:rPr>
            </w:pPr>
            <w:r w:rsidRPr="00EA5E21">
              <w:rPr>
                <w:rFonts w:hint="cs"/>
                <w:color w:val="000000" w:themeColor="text1"/>
                <w:sz w:val="18"/>
                <w:szCs w:val="18"/>
                <w:rtl/>
              </w:rPr>
              <w:t>58,000</w:t>
            </w:r>
          </w:p>
        </w:tc>
        <w:tc>
          <w:tcPr>
            <w:tcW w:w="1134" w:type="dxa"/>
            <w:tcBorders>
              <w:top w:val="single" w:sz="4" w:space="0" w:color="auto"/>
              <w:left w:val="nil"/>
              <w:bottom w:val="nil"/>
              <w:right w:val="single" w:sz="4" w:space="0" w:color="auto"/>
            </w:tcBorders>
          </w:tcPr>
          <w:p w14:paraId="277DE0DE" w14:textId="77777777" w:rsidR="00AF637E" w:rsidRPr="00EA5E21" w:rsidRDefault="00AF637E" w:rsidP="00EE6F63">
            <w:pPr>
              <w:jc w:val="center"/>
              <w:rPr>
                <w:color w:val="000000" w:themeColor="text1"/>
                <w:sz w:val="18"/>
                <w:szCs w:val="18"/>
              </w:rPr>
            </w:pPr>
            <w:r w:rsidRPr="00EA5E21">
              <w:rPr>
                <w:rFonts w:hint="cs"/>
                <w:color w:val="000000" w:themeColor="text1"/>
                <w:sz w:val="18"/>
                <w:szCs w:val="18"/>
                <w:rtl/>
              </w:rPr>
              <w:t>31,000</w:t>
            </w:r>
          </w:p>
        </w:tc>
        <w:tc>
          <w:tcPr>
            <w:tcW w:w="2125" w:type="dxa"/>
            <w:tcBorders>
              <w:top w:val="single" w:sz="4" w:space="0" w:color="auto"/>
              <w:left w:val="single" w:sz="4" w:space="0" w:color="auto"/>
              <w:bottom w:val="nil"/>
              <w:right w:val="single" w:sz="4" w:space="0" w:color="auto"/>
            </w:tcBorders>
          </w:tcPr>
          <w:p w14:paraId="23287CEB" w14:textId="77777777" w:rsidR="00AF637E" w:rsidRPr="00EA5E21" w:rsidRDefault="00AF637E" w:rsidP="00EE6F63">
            <w:pPr>
              <w:jc w:val="right"/>
              <w:rPr>
                <w:b/>
                <w:bCs/>
                <w:color w:val="000000" w:themeColor="text1"/>
                <w:sz w:val="18"/>
                <w:szCs w:val="18"/>
                <w:rtl/>
              </w:rPr>
            </w:pPr>
            <w:r w:rsidRPr="00EA5E21">
              <w:rPr>
                <w:color w:val="000000" w:themeColor="text1"/>
                <w:sz w:val="18"/>
                <w:szCs w:val="18"/>
              </w:rPr>
              <w:t>Buildings</w:t>
            </w:r>
          </w:p>
        </w:tc>
      </w:tr>
      <w:tr w:rsidR="00EA5E21" w:rsidRPr="00EA5E21" w14:paraId="6C4F5DB1" w14:textId="77777777" w:rsidTr="00EE6F63">
        <w:trPr>
          <w:jc w:val="center"/>
        </w:trPr>
        <w:tc>
          <w:tcPr>
            <w:tcW w:w="1517" w:type="dxa"/>
            <w:tcBorders>
              <w:top w:val="nil"/>
              <w:left w:val="single" w:sz="4" w:space="0" w:color="auto"/>
              <w:bottom w:val="nil"/>
              <w:right w:val="nil"/>
            </w:tcBorders>
          </w:tcPr>
          <w:p w14:paraId="1A7E7651" w14:textId="77777777" w:rsidR="00AF637E" w:rsidRPr="00EA5E21" w:rsidRDefault="00AF637E" w:rsidP="00EE6F63">
            <w:pPr>
              <w:bidi w:val="0"/>
              <w:jc w:val="center"/>
              <w:rPr>
                <w:color w:val="000000" w:themeColor="text1"/>
                <w:sz w:val="18"/>
                <w:szCs w:val="18"/>
                <w:rtl/>
              </w:rPr>
            </w:pPr>
            <w:r w:rsidRPr="00EA5E21">
              <w:rPr>
                <w:rFonts w:hint="cs"/>
                <w:color w:val="000000" w:themeColor="text1"/>
                <w:sz w:val="18"/>
                <w:szCs w:val="18"/>
                <w:rtl/>
              </w:rPr>
              <w:t>294,000</w:t>
            </w:r>
          </w:p>
        </w:tc>
        <w:tc>
          <w:tcPr>
            <w:tcW w:w="1134" w:type="dxa"/>
            <w:tcBorders>
              <w:top w:val="nil"/>
              <w:left w:val="nil"/>
              <w:bottom w:val="nil"/>
              <w:right w:val="single" w:sz="4" w:space="0" w:color="auto"/>
            </w:tcBorders>
          </w:tcPr>
          <w:p w14:paraId="008DC7CA" w14:textId="77777777" w:rsidR="00AF637E" w:rsidRPr="00EA5E21" w:rsidRDefault="00AF637E" w:rsidP="00EE6F63">
            <w:pPr>
              <w:jc w:val="center"/>
              <w:rPr>
                <w:color w:val="000000" w:themeColor="text1"/>
                <w:sz w:val="18"/>
                <w:szCs w:val="18"/>
                <w:rtl/>
              </w:rPr>
            </w:pPr>
            <w:r w:rsidRPr="00EA5E21">
              <w:rPr>
                <w:rFonts w:hint="cs"/>
                <w:color w:val="000000" w:themeColor="text1"/>
                <w:sz w:val="18"/>
                <w:szCs w:val="18"/>
                <w:rtl/>
              </w:rPr>
              <w:t>86,000</w:t>
            </w:r>
          </w:p>
        </w:tc>
        <w:tc>
          <w:tcPr>
            <w:tcW w:w="2125" w:type="dxa"/>
            <w:tcBorders>
              <w:top w:val="nil"/>
              <w:left w:val="single" w:sz="4" w:space="0" w:color="auto"/>
              <w:bottom w:val="nil"/>
              <w:right w:val="single" w:sz="4" w:space="0" w:color="auto"/>
            </w:tcBorders>
          </w:tcPr>
          <w:p w14:paraId="5A363300" w14:textId="77777777" w:rsidR="00AF637E" w:rsidRPr="00EA5E21" w:rsidRDefault="00AF637E" w:rsidP="00EE6F63">
            <w:pPr>
              <w:jc w:val="right"/>
              <w:rPr>
                <w:color w:val="000000" w:themeColor="text1"/>
                <w:sz w:val="18"/>
                <w:szCs w:val="18"/>
                <w:rtl/>
              </w:rPr>
            </w:pPr>
            <w:r w:rsidRPr="00EA5E21">
              <w:rPr>
                <w:color w:val="000000" w:themeColor="text1"/>
                <w:sz w:val="18"/>
                <w:szCs w:val="18"/>
              </w:rPr>
              <w:t>Housing Units</w:t>
            </w:r>
          </w:p>
        </w:tc>
      </w:tr>
      <w:tr w:rsidR="00EA5E21" w:rsidRPr="00EA5E21" w14:paraId="7BF7E2A3" w14:textId="77777777" w:rsidTr="00EE6F63">
        <w:trPr>
          <w:jc w:val="center"/>
        </w:trPr>
        <w:tc>
          <w:tcPr>
            <w:tcW w:w="1517" w:type="dxa"/>
            <w:tcBorders>
              <w:top w:val="nil"/>
              <w:left w:val="single" w:sz="4" w:space="0" w:color="auto"/>
              <w:bottom w:val="nil"/>
              <w:right w:val="nil"/>
            </w:tcBorders>
          </w:tcPr>
          <w:p w14:paraId="3BCA3AAC" w14:textId="77777777" w:rsidR="00AF637E" w:rsidRPr="00EA5E21" w:rsidRDefault="00AF637E" w:rsidP="00EE6F63">
            <w:pPr>
              <w:jc w:val="center"/>
              <w:rPr>
                <w:color w:val="000000" w:themeColor="text1"/>
                <w:sz w:val="18"/>
                <w:szCs w:val="18"/>
                <w:rtl/>
              </w:rPr>
            </w:pPr>
            <w:r w:rsidRPr="00EA5E21">
              <w:rPr>
                <w:rFonts w:hint="cs"/>
                <w:color w:val="000000" w:themeColor="text1"/>
                <w:sz w:val="18"/>
                <w:szCs w:val="18"/>
                <w:rtl/>
              </w:rPr>
              <w:t>25</w:t>
            </w:r>
          </w:p>
        </w:tc>
        <w:tc>
          <w:tcPr>
            <w:tcW w:w="1134" w:type="dxa"/>
            <w:tcBorders>
              <w:top w:val="nil"/>
              <w:left w:val="nil"/>
              <w:bottom w:val="nil"/>
              <w:right w:val="single" w:sz="4" w:space="0" w:color="auto"/>
            </w:tcBorders>
          </w:tcPr>
          <w:p w14:paraId="5839BD90" w14:textId="77777777" w:rsidR="00AF637E" w:rsidRPr="00EA5E21" w:rsidRDefault="00AF637E" w:rsidP="00EE6F63">
            <w:pPr>
              <w:jc w:val="center"/>
              <w:rPr>
                <w:color w:val="000000" w:themeColor="text1"/>
                <w:sz w:val="18"/>
                <w:szCs w:val="18"/>
                <w:rtl/>
              </w:rPr>
            </w:pPr>
            <w:r w:rsidRPr="00EA5E21">
              <w:rPr>
                <w:rFonts w:hint="cs"/>
                <w:color w:val="000000" w:themeColor="text1"/>
                <w:sz w:val="18"/>
                <w:szCs w:val="18"/>
                <w:rtl/>
              </w:rPr>
              <w:t>32</w:t>
            </w:r>
          </w:p>
        </w:tc>
        <w:tc>
          <w:tcPr>
            <w:tcW w:w="2125" w:type="dxa"/>
            <w:tcBorders>
              <w:top w:val="nil"/>
              <w:left w:val="single" w:sz="4" w:space="0" w:color="auto"/>
              <w:bottom w:val="nil"/>
              <w:right w:val="single" w:sz="4" w:space="0" w:color="auto"/>
            </w:tcBorders>
          </w:tcPr>
          <w:p w14:paraId="3A2A186D" w14:textId="77777777" w:rsidR="00AF637E" w:rsidRPr="00EA5E21" w:rsidRDefault="00AF637E" w:rsidP="00EE6F63">
            <w:pPr>
              <w:jc w:val="right"/>
              <w:rPr>
                <w:color w:val="000000" w:themeColor="text1"/>
                <w:sz w:val="18"/>
                <w:szCs w:val="18"/>
                <w:rtl/>
              </w:rPr>
            </w:pPr>
            <w:r w:rsidRPr="00EA5E21">
              <w:rPr>
                <w:color w:val="000000" w:themeColor="text1"/>
                <w:sz w:val="18"/>
                <w:szCs w:val="18"/>
              </w:rPr>
              <w:t>Hospitals</w:t>
            </w:r>
          </w:p>
        </w:tc>
      </w:tr>
      <w:tr w:rsidR="00EA5E21" w:rsidRPr="00EA5E21" w14:paraId="6E302D3E" w14:textId="77777777" w:rsidTr="00EE6F63">
        <w:trPr>
          <w:jc w:val="center"/>
        </w:trPr>
        <w:tc>
          <w:tcPr>
            <w:tcW w:w="1517" w:type="dxa"/>
            <w:tcBorders>
              <w:top w:val="nil"/>
              <w:left w:val="single" w:sz="4" w:space="0" w:color="auto"/>
              <w:bottom w:val="nil"/>
              <w:right w:val="nil"/>
            </w:tcBorders>
          </w:tcPr>
          <w:p w14:paraId="6FBE8DA2" w14:textId="77777777" w:rsidR="00AF637E" w:rsidRPr="00EA5E21" w:rsidRDefault="00AF637E" w:rsidP="00EE6F63">
            <w:pPr>
              <w:bidi w:val="0"/>
              <w:jc w:val="center"/>
              <w:rPr>
                <w:color w:val="000000" w:themeColor="text1"/>
                <w:sz w:val="18"/>
                <w:szCs w:val="18"/>
              </w:rPr>
            </w:pPr>
            <w:r w:rsidRPr="00EA5E21">
              <w:rPr>
                <w:color w:val="000000" w:themeColor="text1"/>
                <w:sz w:val="18"/>
                <w:szCs w:val="18"/>
              </w:rPr>
              <w:t>311</w:t>
            </w:r>
          </w:p>
        </w:tc>
        <w:tc>
          <w:tcPr>
            <w:tcW w:w="1134" w:type="dxa"/>
            <w:tcBorders>
              <w:top w:val="nil"/>
              <w:left w:val="nil"/>
              <w:bottom w:val="nil"/>
              <w:right w:val="single" w:sz="4" w:space="0" w:color="auto"/>
            </w:tcBorders>
          </w:tcPr>
          <w:p w14:paraId="7C4C7AF5" w14:textId="77777777" w:rsidR="00AF637E" w:rsidRPr="00EA5E21" w:rsidRDefault="00AF637E" w:rsidP="00EE6F63">
            <w:pPr>
              <w:bidi w:val="0"/>
              <w:jc w:val="center"/>
              <w:rPr>
                <w:color w:val="000000" w:themeColor="text1"/>
                <w:sz w:val="18"/>
                <w:szCs w:val="18"/>
                <w:rtl/>
              </w:rPr>
            </w:pPr>
            <w:r w:rsidRPr="00EA5E21">
              <w:rPr>
                <w:rFonts w:hint="cs"/>
                <w:color w:val="000000" w:themeColor="text1"/>
                <w:sz w:val="18"/>
                <w:szCs w:val="18"/>
                <w:rtl/>
              </w:rPr>
              <w:t>103</w:t>
            </w:r>
          </w:p>
        </w:tc>
        <w:tc>
          <w:tcPr>
            <w:tcW w:w="2125" w:type="dxa"/>
            <w:tcBorders>
              <w:top w:val="nil"/>
              <w:left w:val="single" w:sz="4" w:space="0" w:color="auto"/>
              <w:bottom w:val="nil"/>
              <w:right w:val="single" w:sz="4" w:space="0" w:color="auto"/>
            </w:tcBorders>
          </w:tcPr>
          <w:p w14:paraId="1D15F3A1" w14:textId="77777777" w:rsidR="00AF637E" w:rsidRPr="00EA5E21" w:rsidRDefault="00AF637E" w:rsidP="00EE6F63">
            <w:pPr>
              <w:jc w:val="right"/>
              <w:rPr>
                <w:color w:val="000000" w:themeColor="text1"/>
                <w:sz w:val="18"/>
                <w:szCs w:val="18"/>
                <w:rtl/>
              </w:rPr>
            </w:pPr>
            <w:r w:rsidRPr="00EA5E21">
              <w:rPr>
                <w:color w:val="000000" w:themeColor="text1"/>
                <w:sz w:val="18"/>
                <w:szCs w:val="18"/>
              </w:rPr>
              <w:t>Schools &amp; Universities</w:t>
            </w:r>
          </w:p>
        </w:tc>
      </w:tr>
      <w:tr w:rsidR="00EA5E21" w:rsidRPr="00EA5E21" w14:paraId="20ADCD2B" w14:textId="77777777" w:rsidTr="00EE6F63">
        <w:trPr>
          <w:jc w:val="center"/>
        </w:trPr>
        <w:tc>
          <w:tcPr>
            <w:tcW w:w="1517" w:type="dxa"/>
            <w:tcBorders>
              <w:top w:val="nil"/>
              <w:left w:val="single" w:sz="4" w:space="0" w:color="auto"/>
              <w:bottom w:val="nil"/>
              <w:right w:val="nil"/>
            </w:tcBorders>
          </w:tcPr>
          <w:p w14:paraId="4944A7D9" w14:textId="77777777" w:rsidR="00AF637E" w:rsidRPr="00EA5E21" w:rsidRDefault="00AF637E" w:rsidP="00EE6F63">
            <w:pPr>
              <w:jc w:val="center"/>
              <w:rPr>
                <w:color w:val="000000" w:themeColor="text1"/>
                <w:sz w:val="18"/>
                <w:szCs w:val="18"/>
                <w:rtl/>
              </w:rPr>
            </w:pPr>
            <w:r w:rsidRPr="00EA5E21">
              <w:rPr>
                <w:color w:val="000000" w:themeColor="text1"/>
                <w:sz w:val="18"/>
                <w:szCs w:val="18"/>
              </w:rPr>
              <w:t>321</w:t>
            </w:r>
          </w:p>
        </w:tc>
        <w:tc>
          <w:tcPr>
            <w:tcW w:w="1134" w:type="dxa"/>
            <w:tcBorders>
              <w:top w:val="nil"/>
              <w:left w:val="nil"/>
              <w:bottom w:val="nil"/>
              <w:right w:val="single" w:sz="4" w:space="0" w:color="auto"/>
            </w:tcBorders>
          </w:tcPr>
          <w:p w14:paraId="69E80147" w14:textId="77777777" w:rsidR="00AF637E" w:rsidRPr="00EA5E21" w:rsidRDefault="00AF637E" w:rsidP="00EE6F63">
            <w:pPr>
              <w:bidi w:val="0"/>
              <w:jc w:val="center"/>
              <w:rPr>
                <w:color w:val="000000" w:themeColor="text1"/>
                <w:sz w:val="18"/>
                <w:szCs w:val="18"/>
                <w:rtl/>
              </w:rPr>
            </w:pPr>
            <w:r w:rsidRPr="00EA5E21">
              <w:rPr>
                <w:rFonts w:hint="cs"/>
                <w:color w:val="000000" w:themeColor="text1"/>
                <w:sz w:val="18"/>
                <w:szCs w:val="18"/>
                <w:rtl/>
              </w:rPr>
              <w:t>2</w:t>
            </w:r>
            <w:r w:rsidRPr="00EA5E21">
              <w:rPr>
                <w:color w:val="000000" w:themeColor="text1"/>
                <w:sz w:val="18"/>
                <w:szCs w:val="18"/>
              </w:rPr>
              <w:t>43</w:t>
            </w:r>
          </w:p>
        </w:tc>
        <w:tc>
          <w:tcPr>
            <w:tcW w:w="2125" w:type="dxa"/>
            <w:tcBorders>
              <w:top w:val="nil"/>
              <w:left w:val="single" w:sz="4" w:space="0" w:color="auto"/>
              <w:bottom w:val="nil"/>
              <w:right w:val="single" w:sz="4" w:space="0" w:color="auto"/>
            </w:tcBorders>
          </w:tcPr>
          <w:p w14:paraId="0485EBA5" w14:textId="77777777" w:rsidR="00AF637E" w:rsidRPr="00EA5E21" w:rsidRDefault="00AF637E" w:rsidP="00EE6F63">
            <w:pPr>
              <w:jc w:val="right"/>
              <w:rPr>
                <w:color w:val="000000" w:themeColor="text1"/>
                <w:sz w:val="18"/>
                <w:szCs w:val="18"/>
                <w:rtl/>
              </w:rPr>
            </w:pPr>
            <w:r w:rsidRPr="00EA5E21">
              <w:rPr>
                <w:color w:val="000000" w:themeColor="text1"/>
                <w:sz w:val="18"/>
                <w:szCs w:val="18"/>
              </w:rPr>
              <w:t>Mosques</w:t>
            </w:r>
          </w:p>
        </w:tc>
      </w:tr>
      <w:tr w:rsidR="00EA5E21" w:rsidRPr="00EA5E21" w14:paraId="489FA8BE" w14:textId="77777777" w:rsidTr="00EE6F63">
        <w:trPr>
          <w:jc w:val="center"/>
        </w:trPr>
        <w:tc>
          <w:tcPr>
            <w:tcW w:w="1517" w:type="dxa"/>
            <w:tcBorders>
              <w:top w:val="nil"/>
              <w:left w:val="single" w:sz="4" w:space="0" w:color="auto"/>
              <w:bottom w:val="nil"/>
              <w:right w:val="nil"/>
            </w:tcBorders>
          </w:tcPr>
          <w:p w14:paraId="46A4B540" w14:textId="77777777" w:rsidR="00AF637E" w:rsidRPr="00EA5E21" w:rsidRDefault="00AF637E" w:rsidP="00EE6F63">
            <w:pPr>
              <w:jc w:val="center"/>
              <w:rPr>
                <w:color w:val="000000" w:themeColor="text1"/>
                <w:sz w:val="18"/>
                <w:szCs w:val="18"/>
                <w:rtl/>
              </w:rPr>
            </w:pPr>
            <w:r w:rsidRPr="00EA5E21">
              <w:rPr>
                <w:rFonts w:hint="cs"/>
                <w:color w:val="000000" w:themeColor="text1"/>
                <w:sz w:val="18"/>
                <w:szCs w:val="18"/>
                <w:rtl/>
              </w:rPr>
              <w:t>-</w:t>
            </w:r>
          </w:p>
        </w:tc>
        <w:tc>
          <w:tcPr>
            <w:tcW w:w="1134" w:type="dxa"/>
            <w:tcBorders>
              <w:top w:val="nil"/>
              <w:left w:val="nil"/>
              <w:bottom w:val="nil"/>
              <w:right w:val="single" w:sz="4" w:space="0" w:color="auto"/>
            </w:tcBorders>
          </w:tcPr>
          <w:p w14:paraId="37CA2ECB" w14:textId="77777777" w:rsidR="00AF637E" w:rsidRPr="00EA5E21" w:rsidRDefault="00AF637E" w:rsidP="00EE6F63">
            <w:pPr>
              <w:jc w:val="center"/>
              <w:rPr>
                <w:color w:val="000000" w:themeColor="text1"/>
                <w:sz w:val="18"/>
                <w:szCs w:val="18"/>
                <w:rtl/>
              </w:rPr>
            </w:pPr>
            <w:r w:rsidRPr="00EA5E21">
              <w:rPr>
                <w:rFonts w:hint="cs"/>
                <w:color w:val="000000" w:themeColor="text1"/>
                <w:sz w:val="18"/>
                <w:szCs w:val="18"/>
                <w:rtl/>
              </w:rPr>
              <w:t>3</w:t>
            </w:r>
          </w:p>
        </w:tc>
        <w:tc>
          <w:tcPr>
            <w:tcW w:w="2125" w:type="dxa"/>
            <w:tcBorders>
              <w:top w:val="nil"/>
              <w:left w:val="single" w:sz="4" w:space="0" w:color="auto"/>
              <w:bottom w:val="nil"/>
              <w:right w:val="single" w:sz="4" w:space="0" w:color="auto"/>
            </w:tcBorders>
          </w:tcPr>
          <w:p w14:paraId="6271F3B7" w14:textId="77777777" w:rsidR="00AF637E" w:rsidRPr="00EA5E21" w:rsidRDefault="00AF637E" w:rsidP="00EE6F63">
            <w:pPr>
              <w:jc w:val="right"/>
              <w:rPr>
                <w:color w:val="000000" w:themeColor="text1"/>
                <w:sz w:val="18"/>
                <w:szCs w:val="18"/>
                <w:rtl/>
              </w:rPr>
            </w:pPr>
            <w:r w:rsidRPr="00EA5E21">
              <w:rPr>
                <w:color w:val="000000" w:themeColor="text1"/>
                <w:sz w:val="18"/>
                <w:szCs w:val="18"/>
              </w:rPr>
              <w:t>Churches</w:t>
            </w:r>
          </w:p>
        </w:tc>
      </w:tr>
      <w:tr w:rsidR="00EA5E21" w:rsidRPr="00EA5E21" w14:paraId="19A695B3" w14:textId="77777777" w:rsidTr="00EE6F63">
        <w:trPr>
          <w:jc w:val="center"/>
        </w:trPr>
        <w:tc>
          <w:tcPr>
            <w:tcW w:w="1517" w:type="dxa"/>
            <w:tcBorders>
              <w:top w:val="nil"/>
              <w:left w:val="single" w:sz="4" w:space="0" w:color="auto"/>
              <w:bottom w:val="single" w:sz="4" w:space="0" w:color="auto"/>
              <w:right w:val="nil"/>
            </w:tcBorders>
          </w:tcPr>
          <w:p w14:paraId="30196521" w14:textId="77777777" w:rsidR="00AF637E" w:rsidRPr="00EA5E21" w:rsidRDefault="00AF637E" w:rsidP="00EE6F63">
            <w:pPr>
              <w:jc w:val="center"/>
              <w:rPr>
                <w:color w:val="000000" w:themeColor="text1"/>
                <w:sz w:val="18"/>
                <w:szCs w:val="18"/>
                <w:rtl/>
              </w:rPr>
            </w:pPr>
            <w:r w:rsidRPr="00EA5E21">
              <w:rPr>
                <w:rFonts w:hint="cs"/>
                <w:color w:val="000000" w:themeColor="text1"/>
                <w:sz w:val="18"/>
                <w:szCs w:val="18"/>
                <w:rtl/>
              </w:rPr>
              <w:t>-</w:t>
            </w:r>
          </w:p>
        </w:tc>
        <w:tc>
          <w:tcPr>
            <w:tcW w:w="1134" w:type="dxa"/>
            <w:tcBorders>
              <w:top w:val="nil"/>
              <w:left w:val="nil"/>
              <w:bottom w:val="single" w:sz="4" w:space="0" w:color="auto"/>
              <w:right w:val="single" w:sz="4" w:space="0" w:color="auto"/>
            </w:tcBorders>
          </w:tcPr>
          <w:p w14:paraId="5949703D" w14:textId="77777777" w:rsidR="00AF637E" w:rsidRPr="00EA5E21" w:rsidRDefault="00AF637E" w:rsidP="00EE6F63">
            <w:pPr>
              <w:bidi w:val="0"/>
              <w:jc w:val="center"/>
              <w:rPr>
                <w:color w:val="000000" w:themeColor="text1"/>
                <w:sz w:val="18"/>
                <w:szCs w:val="18"/>
              </w:rPr>
            </w:pPr>
            <w:r w:rsidRPr="00EA5E21">
              <w:rPr>
                <w:color w:val="000000" w:themeColor="text1"/>
                <w:sz w:val="18"/>
                <w:szCs w:val="18"/>
              </w:rPr>
              <w:t>181</w:t>
            </w:r>
          </w:p>
        </w:tc>
        <w:tc>
          <w:tcPr>
            <w:tcW w:w="2125" w:type="dxa"/>
            <w:tcBorders>
              <w:top w:val="nil"/>
              <w:left w:val="single" w:sz="4" w:space="0" w:color="auto"/>
              <w:bottom w:val="single" w:sz="4" w:space="0" w:color="auto"/>
              <w:right w:val="single" w:sz="4" w:space="0" w:color="auto"/>
            </w:tcBorders>
          </w:tcPr>
          <w:p w14:paraId="7163B869" w14:textId="77777777" w:rsidR="00AF637E" w:rsidRPr="00EA5E21" w:rsidRDefault="00AF637E" w:rsidP="00EE6F63">
            <w:pPr>
              <w:jc w:val="right"/>
              <w:rPr>
                <w:color w:val="000000" w:themeColor="text1"/>
                <w:sz w:val="18"/>
                <w:szCs w:val="18"/>
                <w:rtl/>
              </w:rPr>
            </w:pPr>
            <w:r w:rsidRPr="00EA5E21">
              <w:rPr>
                <w:color w:val="000000" w:themeColor="text1"/>
                <w:sz w:val="18"/>
                <w:szCs w:val="18"/>
              </w:rPr>
              <w:t>Government Headquarters</w:t>
            </w:r>
          </w:p>
        </w:tc>
      </w:tr>
    </w:tbl>
    <w:p w14:paraId="26C9A9C1" w14:textId="77777777" w:rsidR="00AF637E" w:rsidRPr="00EA5E21" w:rsidRDefault="00AF637E" w:rsidP="00AF637E">
      <w:pPr>
        <w:bidi w:val="0"/>
        <w:rPr>
          <w:color w:val="000000" w:themeColor="text1"/>
          <w:sz w:val="18"/>
          <w:szCs w:val="18"/>
        </w:rPr>
      </w:pPr>
      <w:r w:rsidRPr="00EA5E21">
        <w:rPr>
          <w:color w:val="000000" w:themeColor="text1"/>
          <w:sz w:val="18"/>
          <w:szCs w:val="18"/>
        </w:rPr>
        <w:t>-: Nill</w:t>
      </w:r>
    </w:p>
    <w:p w14:paraId="21820DA8" w14:textId="77777777" w:rsidR="00AF637E" w:rsidRPr="00EA5E21" w:rsidRDefault="00AF637E" w:rsidP="00AF637E">
      <w:pPr>
        <w:bidi w:val="0"/>
        <w:jc w:val="both"/>
        <w:rPr>
          <w:rFonts w:asciiTheme="majorBidi" w:hAnsiTheme="majorBidi" w:cstheme="majorBidi"/>
          <w:color w:val="000000" w:themeColor="text1"/>
          <w:sz w:val="22"/>
          <w:szCs w:val="22"/>
        </w:rPr>
      </w:pPr>
    </w:p>
    <w:p w14:paraId="1552B6E2" w14:textId="2991EBE1" w:rsidR="00AF637E" w:rsidRDefault="00AF637E" w:rsidP="00AF637E">
      <w:pPr>
        <w:bidi w:val="0"/>
        <w:jc w:val="both"/>
        <w:rPr>
          <w:rFonts w:asciiTheme="majorBidi" w:hAnsiTheme="majorBidi" w:cstheme="majorBidi"/>
          <w:color w:val="000000" w:themeColor="text1"/>
          <w:sz w:val="26"/>
          <w:szCs w:val="26"/>
        </w:rPr>
      </w:pPr>
      <w:r w:rsidRPr="005D0A64">
        <w:rPr>
          <w:rFonts w:asciiTheme="majorBidi" w:hAnsiTheme="majorBidi" w:cstheme="majorBidi"/>
          <w:color w:val="000000" w:themeColor="text1"/>
          <w:sz w:val="26"/>
          <w:szCs w:val="26"/>
        </w:rPr>
        <w:t>During 2023, the Israeli occupation demolished and destroyed more than 659 buildings and facilities, completely or partially in the West Bank, including 70 self-demolition operations in Jerusalem, according to data from the United Nations Office for the Coordination of Humanitarian Affairs (OCHA), in addition to issuing 1,333 demolition orders for Palestinian facilities under the pretext of not having a license.</w:t>
      </w:r>
    </w:p>
    <w:p w14:paraId="5E12CDF5" w14:textId="35CC89DF" w:rsidR="005A6D9C" w:rsidRDefault="005A6D9C" w:rsidP="005A6D9C">
      <w:pPr>
        <w:bidi w:val="0"/>
        <w:jc w:val="both"/>
        <w:rPr>
          <w:rFonts w:asciiTheme="majorBidi" w:hAnsiTheme="majorBidi" w:cstheme="majorBidi"/>
          <w:color w:val="000000" w:themeColor="text1"/>
          <w:sz w:val="26"/>
          <w:szCs w:val="26"/>
        </w:rPr>
      </w:pPr>
    </w:p>
    <w:p w14:paraId="02D1F82C" w14:textId="6C2C5161" w:rsidR="005A6D9C" w:rsidRDefault="005A6D9C" w:rsidP="005A6D9C">
      <w:pPr>
        <w:bidi w:val="0"/>
        <w:jc w:val="both"/>
        <w:rPr>
          <w:rFonts w:asciiTheme="majorBidi" w:hAnsiTheme="majorBidi" w:cstheme="majorBidi"/>
          <w:color w:val="000000" w:themeColor="text1"/>
          <w:sz w:val="26"/>
          <w:szCs w:val="26"/>
        </w:rPr>
      </w:pPr>
    </w:p>
    <w:p w14:paraId="7B3ADADD" w14:textId="790C4CB0" w:rsidR="005A6D9C" w:rsidRDefault="005A6D9C" w:rsidP="005A6D9C">
      <w:pPr>
        <w:bidi w:val="0"/>
        <w:jc w:val="both"/>
        <w:rPr>
          <w:rFonts w:asciiTheme="majorBidi" w:hAnsiTheme="majorBidi" w:cstheme="majorBidi"/>
          <w:color w:val="000000" w:themeColor="text1"/>
          <w:sz w:val="26"/>
          <w:szCs w:val="26"/>
        </w:rPr>
      </w:pPr>
    </w:p>
    <w:p w14:paraId="7CD43315" w14:textId="77777777" w:rsidR="00AF637E" w:rsidRPr="005D0A64" w:rsidRDefault="00AF637E" w:rsidP="00AF637E">
      <w:pPr>
        <w:pStyle w:val="BodyTextIndent"/>
        <w:ind w:left="0"/>
        <w:jc w:val="center"/>
        <w:rPr>
          <w:b/>
          <w:bCs/>
          <w:color w:val="000000" w:themeColor="text1"/>
          <w:sz w:val="26"/>
          <w:szCs w:val="26"/>
        </w:rPr>
      </w:pPr>
      <w:r w:rsidRPr="005D0A64">
        <w:rPr>
          <w:b/>
          <w:bCs/>
          <w:color w:val="000000" w:themeColor="text1"/>
          <w:sz w:val="26"/>
          <w:szCs w:val="26"/>
        </w:rPr>
        <w:lastRenderedPageBreak/>
        <w:t xml:space="preserve">Self-Demolitions in </w:t>
      </w:r>
      <w:r w:rsidRPr="005D0A64">
        <w:rPr>
          <w:rStyle w:val="shorttext"/>
          <w:b/>
          <w:bCs/>
          <w:color w:val="000000" w:themeColor="text1"/>
          <w:sz w:val="26"/>
          <w:szCs w:val="26"/>
        </w:rPr>
        <w:t>Jerusalem Governorate</w:t>
      </w:r>
      <w:r w:rsidRPr="005D0A64">
        <w:rPr>
          <w:b/>
          <w:bCs/>
          <w:color w:val="000000" w:themeColor="text1"/>
          <w:sz w:val="26"/>
          <w:szCs w:val="26"/>
        </w:rPr>
        <w:t xml:space="preserve"> 2008 - 2023</w:t>
      </w:r>
    </w:p>
    <w:p w14:paraId="73B89A9F" w14:textId="77777777" w:rsidR="00AF637E" w:rsidRPr="00EA5E21" w:rsidRDefault="00AF637E" w:rsidP="00AF637E">
      <w:pPr>
        <w:pStyle w:val="BodyTextIndent"/>
        <w:ind w:left="0"/>
        <w:jc w:val="center"/>
        <w:rPr>
          <w:color w:val="000000" w:themeColor="text1"/>
          <w:sz w:val="22"/>
          <w:szCs w:val="22"/>
        </w:rPr>
      </w:pPr>
      <w:r w:rsidRPr="00EA5E21">
        <w:rPr>
          <w:noProof/>
          <w:color w:val="000000" w:themeColor="text1"/>
          <w:sz w:val="22"/>
          <w:szCs w:val="22"/>
          <w:lang w:eastAsia="en-US"/>
        </w:rPr>
        <w:drawing>
          <wp:inline distT="0" distB="0" distL="0" distR="0" wp14:anchorId="6908430F" wp14:editId="02F92297">
            <wp:extent cx="3020695" cy="1419225"/>
            <wp:effectExtent l="0" t="0" r="8255" b="9525"/>
            <wp:docPr id="1"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56BF34E" w14:textId="77777777" w:rsidR="00BC1FB8" w:rsidRDefault="00BC1FB8" w:rsidP="00AF637E">
      <w:pPr>
        <w:pStyle w:val="BodyTextIndent2"/>
        <w:ind w:left="0"/>
        <w:jc w:val="center"/>
        <w:rPr>
          <w:rFonts w:asciiTheme="majorBidi" w:hAnsiTheme="majorBidi" w:cstheme="majorBidi"/>
          <w:b/>
          <w:bCs/>
          <w:color w:val="000000" w:themeColor="text1"/>
          <w:sz w:val="22"/>
          <w:szCs w:val="22"/>
        </w:rPr>
      </w:pPr>
    </w:p>
    <w:p w14:paraId="02A29124" w14:textId="77777777" w:rsidR="00BC1FB8" w:rsidRPr="005D0A64" w:rsidRDefault="00BC1FB8" w:rsidP="00BC1FB8">
      <w:pPr>
        <w:pStyle w:val="BodyText"/>
        <w:bidi w:val="0"/>
        <w:spacing w:after="0"/>
        <w:jc w:val="center"/>
        <w:rPr>
          <w:rStyle w:val="shorttext"/>
          <w:rFonts w:asciiTheme="majorBidi" w:hAnsiTheme="majorBidi" w:cstheme="majorBidi"/>
          <w:b/>
          <w:bCs/>
          <w:color w:val="000000" w:themeColor="text1"/>
          <w:sz w:val="26"/>
          <w:szCs w:val="26"/>
        </w:rPr>
      </w:pPr>
      <w:r w:rsidRPr="005D0A64">
        <w:rPr>
          <w:rStyle w:val="shorttext"/>
          <w:rFonts w:asciiTheme="majorBidi" w:hAnsiTheme="majorBidi" w:cstheme="majorBidi"/>
          <w:b/>
          <w:bCs/>
          <w:color w:val="000000" w:themeColor="text1"/>
          <w:sz w:val="26"/>
          <w:szCs w:val="26"/>
        </w:rPr>
        <w:t>Continuous Confiscation of Land</w:t>
      </w:r>
    </w:p>
    <w:p w14:paraId="31A6BF90" w14:textId="431B6B76" w:rsidR="00BC1FB8" w:rsidRDefault="00BC1FB8" w:rsidP="00B43AFF">
      <w:pPr>
        <w:pStyle w:val="BodyTextIndent"/>
        <w:ind w:left="0"/>
        <w:rPr>
          <w:color w:val="000000" w:themeColor="text1"/>
          <w:sz w:val="26"/>
          <w:szCs w:val="26"/>
        </w:rPr>
      </w:pPr>
      <w:r w:rsidRPr="005D0A64">
        <w:rPr>
          <w:color w:val="000000" w:themeColor="text1"/>
          <w:sz w:val="26"/>
          <w:szCs w:val="26"/>
        </w:rPr>
        <w:t xml:space="preserve">The Israeli occupation is still imposing its control over more Palestinian lands in the West Bank under various pretexts and names, as the confiscated areas doubled during 2023 (50,526) dunums, compared to 2022, which was (26,000) dunums. During 2023, 32 sequestration orders were issued regarding about 619 dunums, four expropriation orders for approximately 433 dunums, two orders declaring state land for approximately 515 dunums, in addition to four orders amending the boundaries of natural reserves through which 48,959 dunums were confiscated. All of such were part of the systematic and ongoing policy to control all Palestinian lands and deprive </w:t>
      </w:r>
      <w:r w:rsidR="00B43AFF" w:rsidRPr="005D0A64">
        <w:rPr>
          <w:color w:val="000000" w:themeColor="text1"/>
          <w:sz w:val="26"/>
          <w:szCs w:val="26"/>
        </w:rPr>
        <w:t>the Palestinians</w:t>
      </w:r>
      <w:r w:rsidRPr="005D0A64">
        <w:rPr>
          <w:color w:val="000000" w:themeColor="text1"/>
          <w:sz w:val="26"/>
          <w:szCs w:val="26"/>
        </w:rPr>
        <w:t xml:space="preserve"> from </w:t>
      </w:r>
      <w:r w:rsidR="00B43AFF" w:rsidRPr="005D0A64">
        <w:rPr>
          <w:color w:val="000000" w:themeColor="text1"/>
          <w:sz w:val="26"/>
          <w:szCs w:val="26"/>
        </w:rPr>
        <w:t xml:space="preserve">utilizing </w:t>
      </w:r>
      <w:r w:rsidRPr="005D0A64">
        <w:rPr>
          <w:color w:val="000000" w:themeColor="text1"/>
          <w:sz w:val="26"/>
          <w:szCs w:val="26"/>
        </w:rPr>
        <w:t>their natural resources.</w:t>
      </w:r>
    </w:p>
    <w:p w14:paraId="0DF66E74" w14:textId="77777777" w:rsidR="005A6D9C" w:rsidRPr="005D0A64" w:rsidRDefault="005A6D9C" w:rsidP="00B43AFF">
      <w:pPr>
        <w:pStyle w:val="BodyTextIndent"/>
        <w:ind w:left="0"/>
        <w:rPr>
          <w:color w:val="000000" w:themeColor="text1"/>
          <w:sz w:val="26"/>
          <w:szCs w:val="26"/>
          <w:rtl/>
        </w:rPr>
      </w:pPr>
    </w:p>
    <w:p w14:paraId="7881FDC1" w14:textId="15AC098F" w:rsidR="00AF637E" w:rsidRPr="005D0A64" w:rsidRDefault="00AF637E" w:rsidP="00CE04CD">
      <w:pPr>
        <w:pStyle w:val="BodyTextIndent2"/>
        <w:ind w:left="0"/>
        <w:jc w:val="center"/>
        <w:rPr>
          <w:color w:val="000000" w:themeColor="text1"/>
          <w:sz w:val="26"/>
          <w:szCs w:val="26"/>
        </w:rPr>
      </w:pPr>
      <w:r w:rsidRPr="005D0A64">
        <w:rPr>
          <w:rFonts w:asciiTheme="majorBidi" w:hAnsiTheme="majorBidi" w:cstheme="majorBidi"/>
          <w:b/>
          <w:bCs/>
          <w:color w:val="000000" w:themeColor="text1"/>
          <w:sz w:val="26"/>
          <w:szCs w:val="26"/>
        </w:rPr>
        <w:t>A severe water and famine crisis threaten</w:t>
      </w:r>
      <w:r w:rsidR="00CE04CD" w:rsidRPr="005D0A64">
        <w:rPr>
          <w:rFonts w:asciiTheme="majorBidi" w:hAnsiTheme="majorBidi" w:cstheme="majorBidi"/>
          <w:b/>
          <w:bCs/>
          <w:color w:val="000000" w:themeColor="text1"/>
          <w:sz w:val="26"/>
          <w:szCs w:val="26"/>
        </w:rPr>
        <w:t>s</w:t>
      </w:r>
      <w:r w:rsidRPr="005D0A64">
        <w:rPr>
          <w:rFonts w:asciiTheme="majorBidi" w:hAnsiTheme="majorBidi" w:cstheme="majorBidi"/>
          <w:b/>
          <w:bCs/>
          <w:color w:val="000000" w:themeColor="text1"/>
          <w:sz w:val="26"/>
          <w:szCs w:val="26"/>
        </w:rPr>
        <w:t xml:space="preserve"> the lives of </w:t>
      </w:r>
      <w:r w:rsidRPr="005D0A64">
        <w:rPr>
          <w:b/>
          <w:bCs/>
          <w:color w:val="000000" w:themeColor="text1"/>
          <w:sz w:val="26"/>
          <w:szCs w:val="26"/>
        </w:rPr>
        <w:t>the population of Gaza</w:t>
      </w:r>
      <w:r w:rsidRPr="005D0A64">
        <w:rPr>
          <w:color w:val="000000" w:themeColor="text1"/>
          <w:sz w:val="26"/>
          <w:szCs w:val="26"/>
        </w:rPr>
        <w:t xml:space="preserve"> </w:t>
      </w:r>
      <w:r w:rsidRPr="005D0A64">
        <w:rPr>
          <w:b/>
          <w:bCs/>
          <w:color w:val="000000" w:themeColor="text1"/>
          <w:sz w:val="26"/>
          <w:szCs w:val="26"/>
        </w:rPr>
        <w:t>Strip</w:t>
      </w:r>
    </w:p>
    <w:p w14:paraId="2DF0C25C" w14:textId="77777777" w:rsidR="00AF637E" w:rsidRPr="005D0A64" w:rsidRDefault="00AF637E" w:rsidP="00AF637E">
      <w:pPr>
        <w:pStyle w:val="BodyTextIndent"/>
        <w:ind w:left="0"/>
        <w:rPr>
          <w:color w:val="000000" w:themeColor="text1"/>
          <w:sz w:val="26"/>
          <w:szCs w:val="26"/>
        </w:rPr>
      </w:pPr>
      <w:r w:rsidRPr="005D0A64">
        <w:rPr>
          <w:color w:val="000000" w:themeColor="text1"/>
          <w:sz w:val="26"/>
          <w:szCs w:val="26"/>
        </w:rPr>
        <w:t xml:space="preserve">The population of Gaza Strip are lacking the basic essentials of life, including housing, food, and water. The United Nations Relief and Works Agency for Palestine Refugees (UNRWA) indicated that no less than </w:t>
      </w:r>
      <w:r w:rsidRPr="005D0A64">
        <w:rPr>
          <w:rFonts w:hint="cs"/>
          <w:color w:val="000000" w:themeColor="text1"/>
          <w:sz w:val="26"/>
          <w:szCs w:val="26"/>
          <w:rtl/>
        </w:rPr>
        <w:t>70</w:t>
      </w:r>
      <w:r w:rsidRPr="005D0A64">
        <w:rPr>
          <w:color w:val="000000" w:themeColor="text1"/>
          <w:sz w:val="26"/>
          <w:szCs w:val="26"/>
        </w:rPr>
        <w:t>% of the population of Gaza Strip is at risk of famine, which means that the population of Gaza Strip is suffering from catastrophic hunger, and this indicates that Gaza Strip is now considered one of the most famished regions in the world. Data indicate that 90% of children aged 6 to 23 months and pregnant women face severe nutritional deficiencies, and more than 30 Palestinians lost their lives due to hunger and dehydration, most of them children.</w:t>
      </w:r>
    </w:p>
    <w:p w14:paraId="085D16F8" w14:textId="667C014F" w:rsidR="00AF637E" w:rsidRPr="005D0A64" w:rsidRDefault="00AF637E" w:rsidP="00BC1FB8">
      <w:pPr>
        <w:bidi w:val="0"/>
        <w:jc w:val="both"/>
        <w:rPr>
          <w:b/>
          <w:bCs/>
          <w:color w:val="000000" w:themeColor="text1"/>
          <w:sz w:val="26"/>
          <w:szCs w:val="26"/>
        </w:rPr>
      </w:pPr>
      <w:r w:rsidRPr="005D0A64">
        <w:rPr>
          <w:rFonts w:asciiTheme="majorBidi" w:hAnsiTheme="majorBidi" w:cstheme="majorBidi"/>
          <w:color w:val="000000" w:themeColor="text1"/>
          <w:sz w:val="26"/>
          <w:szCs w:val="26"/>
        </w:rPr>
        <w:t>Gaza Strip suffers from a severe crisis in accessing water, where under normal conditions in times before October 7</w:t>
      </w:r>
      <w:r w:rsidRPr="005D0A64">
        <w:rPr>
          <w:rFonts w:asciiTheme="majorBidi" w:hAnsiTheme="majorBidi" w:cstheme="majorBidi"/>
          <w:color w:val="000000" w:themeColor="text1"/>
          <w:sz w:val="26"/>
          <w:szCs w:val="26"/>
          <w:vertAlign w:val="superscript"/>
        </w:rPr>
        <w:t>th</w:t>
      </w:r>
      <w:r w:rsidRPr="005D0A64">
        <w:rPr>
          <w:rFonts w:asciiTheme="majorBidi" w:hAnsiTheme="majorBidi" w:cstheme="majorBidi"/>
          <w:color w:val="000000" w:themeColor="text1"/>
          <w:sz w:val="26"/>
          <w:szCs w:val="26"/>
        </w:rPr>
        <w:t xml:space="preserve">, </w:t>
      </w:r>
      <w:r w:rsidR="001E3CCF" w:rsidRPr="005D0A64">
        <w:rPr>
          <w:rFonts w:asciiTheme="majorBidi" w:hAnsiTheme="majorBidi" w:cstheme="majorBidi"/>
          <w:color w:val="000000" w:themeColor="text1"/>
          <w:sz w:val="26"/>
          <w:szCs w:val="26"/>
        </w:rPr>
        <w:t xml:space="preserve">2023, </w:t>
      </w:r>
      <w:r w:rsidRPr="005D0A64">
        <w:rPr>
          <w:rFonts w:asciiTheme="majorBidi" w:hAnsiTheme="majorBidi" w:cstheme="majorBidi"/>
          <w:color w:val="000000" w:themeColor="text1"/>
          <w:sz w:val="26"/>
          <w:szCs w:val="26"/>
        </w:rPr>
        <w:t>the average per capita consumption of water in Gaza Strip was estimated at approximately 84.6 liters/person/day. However and since the beginning of the Israeli occupation aggression, this figure has dropped to only 3-</w:t>
      </w:r>
      <w:r w:rsidRPr="005D0A64">
        <w:rPr>
          <w:rFonts w:asciiTheme="majorBidi" w:hAnsiTheme="majorBidi" w:cstheme="majorBidi" w:hint="cs"/>
          <w:color w:val="000000" w:themeColor="text1"/>
          <w:sz w:val="26"/>
          <w:szCs w:val="26"/>
          <w:rtl/>
        </w:rPr>
        <w:t>15</w:t>
      </w:r>
      <w:r w:rsidRPr="005D0A64">
        <w:rPr>
          <w:rFonts w:asciiTheme="majorBidi" w:hAnsiTheme="majorBidi" w:cstheme="majorBidi" w:hint="cs"/>
          <w:color w:val="000000" w:themeColor="text1"/>
          <w:sz w:val="26"/>
          <w:szCs w:val="26"/>
        </w:rPr>
        <w:t> </w:t>
      </w:r>
      <w:r w:rsidRPr="005D0A64">
        <w:rPr>
          <w:rFonts w:asciiTheme="majorBidi" w:hAnsiTheme="majorBidi" w:cstheme="majorBidi"/>
          <w:color w:val="000000" w:themeColor="text1"/>
          <w:sz w:val="26"/>
          <w:szCs w:val="26"/>
        </w:rPr>
        <w:t xml:space="preserve">(l/c/d). </w:t>
      </w:r>
    </w:p>
    <w:p w14:paraId="6179217A" w14:textId="77777777" w:rsidR="00BC1FB8" w:rsidRPr="005D0A64" w:rsidRDefault="00BC1FB8" w:rsidP="00BC1FB8">
      <w:pPr>
        <w:bidi w:val="0"/>
        <w:jc w:val="both"/>
        <w:rPr>
          <w:b/>
          <w:bCs/>
          <w:color w:val="000000" w:themeColor="text1"/>
          <w:sz w:val="26"/>
          <w:szCs w:val="26"/>
        </w:rPr>
      </w:pPr>
    </w:p>
    <w:p w14:paraId="1A6D3EAB" w14:textId="77777777" w:rsidR="00AF637E" w:rsidRPr="005D0A64" w:rsidRDefault="00AF637E" w:rsidP="00BC1FB8">
      <w:pPr>
        <w:bidi w:val="0"/>
        <w:jc w:val="center"/>
        <w:rPr>
          <w:b/>
          <w:bCs/>
          <w:color w:val="000000" w:themeColor="text1"/>
          <w:sz w:val="26"/>
          <w:szCs w:val="26"/>
        </w:rPr>
      </w:pPr>
      <w:r w:rsidRPr="005D0A64">
        <w:rPr>
          <w:b/>
          <w:bCs/>
          <w:color w:val="000000" w:themeColor="text1"/>
          <w:sz w:val="26"/>
          <w:szCs w:val="26"/>
        </w:rPr>
        <w:t xml:space="preserve">The Demographic Reality: Palestinian population has </w:t>
      </w:r>
      <w:r w:rsidRPr="005D0A64">
        <w:rPr>
          <w:b/>
          <w:bCs/>
          <w:color w:val="000000" w:themeColor="text1"/>
          <w:sz w:val="26"/>
          <w:szCs w:val="26"/>
          <w:lang w:bidi="ar-JO"/>
        </w:rPr>
        <w:t xml:space="preserve">doubled </w:t>
      </w:r>
      <w:r w:rsidRPr="005D0A64">
        <w:rPr>
          <w:b/>
          <w:bCs/>
          <w:color w:val="000000" w:themeColor="text1"/>
          <w:sz w:val="26"/>
          <w:szCs w:val="26"/>
        </w:rPr>
        <w:t>about 10 times since the Nakba, 1948</w:t>
      </w:r>
    </w:p>
    <w:p w14:paraId="6C09D4F3" w14:textId="4E99E82B" w:rsidR="00AF637E" w:rsidRDefault="00AF637E" w:rsidP="00AF637E">
      <w:pPr>
        <w:bidi w:val="0"/>
        <w:ind w:right="-34"/>
        <w:jc w:val="both"/>
        <w:rPr>
          <w:rFonts w:asciiTheme="majorBidi" w:hAnsiTheme="majorBidi" w:cstheme="majorBidi"/>
          <w:color w:val="000000" w:themeColor="text1"/>
          <w:sz w:val="26"/>
          <w:szCs w:val="26"/>
          <w:rtl/>
        </w:rPr>
      </w:pPr>
      <w:r w:rsidRPr="005D0A64">
        <w:rPr>
          <w:rFonts w:asciiTheme="majorBidi" w:hAnsiTheme="majorBidi" w:cstheme="majorBidi"/>
          <w:color w:val="000000" w:themeColor="text1"/>
          <w:sz w:val="26"/>
          <w:szCs w:val="26"/>
        </w:rPr>
        <w:t>The population of Palestine in 1914 was around 690 thousand; of whom only 8% were Jewish. In 1948, the number of Palestinians in Palestine exceeded 2 million; 31.5% of them were Jews. Between 1932 and 1939, the largest number of Jewish immigrants to Palestine reached 225 thousand Jews. Between 1940 and 1947, more than 93 thousand Jews poured into Palestine. Thus, Palestine received around 318 thousand Jews between 1932 and 1947 and more than 3.3 million from 1948 to 2023.</w:t>
      </w:r>
    </w:p>
    <w:p w14:paraId="016CA3F3" w14:textId="77777777" w:rsidR="005D0A64" w:rsidRPr="005D0A64" w:rsidRDefault="005D0A64" w:rsidP="005D0A64">
      <w:pPr>
        <w:bidi w:val="0"/>
        <w:ind w:right="-34"/>
        <w:jc w:val="both"/>
        <w:rPr>
          <w:rFonts w:asciiTheme="majorBidi" w:hAnsiTheme="majorBidi" w:cstheme="majorBidi"/>
          <w:color w:val="000000" w:themeColor="text1"/>
          <w:sz w:val="26"/>
          <w:szCs w:val="26"/>
        </w:rPr>
      </w:pPr>
    </w:p>
    <w:p w14:paraId="104FB5C9" w14:textId="366447F2" w:rsidR="00AF637E" w:rsidRDefault="00AF637E" w:rsidP="005E0393">
      <w:pPr>
        <w:pStyle w:val="BodyTextIndent"/>
        <w:ind w:left="0"/>
        <w:rPr>
          <w:color w:val="000000" w:themeColor="text1"/>
          <w:sz w:val="26"/>
          <w:szCs w:val="26"/>
          <w:rtl/>
        </w:rPr>
      </w:pPr>
      <w:r w:rsidRPr="005D0A64">
        <w:rPr>
          <w:rFonts w:asciiTheme="majorBidi" w:hAnsiTheme="majorBidi" w:cstheme="majorBidi"/>
          <w:color w:val="000000" w:themeColor="text1"/>
          <w:sz w:val="26"/>
          <w:szCs w:val="26"/>
        </w:rPr>
        <w:t xml:space="preserve">Despite the displacement of more than </w:t>
      </w:r>
      <w:r w:rsidRPr="005D0A64">
        <w:rPr>
          <w:color w:val="000000" w:themeColor="text1"/>
          <w:sz w:val="26"/>
          <w:szCs w:val="26"/>
        </w:rPr>
        <w:t xml:space="preserve">one million Palestinians </w:t>
      </w:r>
      <w:r w:rsidRPr="005D0A64">
        <w:rPr>
          <w:rFonts w:asciiTheme="majorBidi" w:hAnsiTheme="majorBidi" w:cstheme="majorBidi"/>
          <w:color w:val="000000" w:themeColor="text1"/>
          <w:sz w:val="26"/>
          <w:szCs w:val="26"/>
        </w:rPr>
        <w:t xml:space="preserve">in 1948, and the displacement of more than 200 thousand Palestinians (majority of them to Jordan) after the 1967 war, </w:t>
      </w:r>
      <w:r w:rsidRPr="005D0A64">
        <w:rPr>
          <w:color w:val="000000" w:themeColor="text1"/>
          <w:sz w:val="26"/>
          <w:szCs w:val="26"/>
        </w:rPr>
        <w:t>the Palestinian world population was 14.63 million by the end of 2023</w:t>
      </w:r>
      <w:r w:rsidRPr="005D0A64">
        <w:rPr>
          <w:rFonts w:asciiTheme="majorBidi" w:hAnsiTheme="majorBidi" w:cstheme="majorBidi"/>
          <w:color w:val="000000" w:themeColor="text1"/>
          <w:sz w:val="26"/>
          <w:szCs w:val="26"/>
        </w:rPr>
        <w:t xml:space="preserve">, which means that the number of Palestinians in the world has doubled about 10 times since the Nakba, </w:t>
      </w:r>
      <w:r w:rsidRPr="005D0A64">
        <w:rPr>
          <w:color w:val="000000" w:themeColor="text1"/>
          <w:sz w:val="26"/>
          <w:szCs w:val="26"/>
        </w:rPr>
        <w:t>Thus, the number of Palestinians in historic</w:t>
      </w:r>
      <w:r w:rsidR="00121842" w:rsidRPr="005D0A64">
        <w:rPr>
          <w:color w:val="000000" w:themeColor="text1"/>
          <w:sz w:val="26"/>
          <w:szCs w:val="26"/>
        </w:rPr>
        <w:t>al</w:t>
      </w:r>
      <w:r w:rsidRPr="005D0A64">
        <w:rPr>
          <w:color w:val="000000" w:themeColor="text1"/>
          <w:sz w:val="26"/>
          <w:szCs w:val="26"/>
        </w:rPr>
        <w:t xml:space="preserve"> Palestine reached about 7.3 million, while the number of Israelis</w:t>
      </w:r>
      <w:r w:rsidRPr="005D0A64">
        <w:rPr>
          <w:b/>
          <w:bCs/>
          <w:color w:val="000000" w:themeColor="text1"/>
          <w:sz w:val="26"/>
          <w:szCs w:val="26"/>
        </w:rPr>
        <w:t xml:space="preserve"> </w:t>
      </w:r>
      <w:r w:rsidRPr="005D0A64">
        <w:rPr>
          <w:color w:val="000000" w:themeColor="text1"/>
          <w:sz w:val="26"/>
          <w:szCs w:val="26"/>
        </w:rPr>
        <w:t xml:space="preserve">reached 7.2 million by the end of 2023, which means that the number of Palestinians exceeds the number of Israelis in historical Palestine, </w:t>
      </w:r>
      <w:r w:rsidRPr="005D0A64">
        <w:rPr>
          <w:rFonts w:asciiTheme="majorBidi" w:hAnsiTheme="majorBidi" w:cstheme="majorBidi"/>
          <w:color w:val="000000" w:themeColor="text1"/>
          <w:sz w:val="26"/>
          <w:szCs w:val="26"/>
        </w:rPr>
        <w:t xml:space="preserve">that Palestinians represented </w:t>
      </w:r>
      <w:r w:rsidRPr="005D0A64">
        <w:rPr>
          <w:rFonts w:asciiTheme="majorBidi" w:hAnsiTheme="majorBidi" w:cstheme="majorBidi" w:hint="cs"/>
          <w:color w:val="000000" w:themeColor="text1"/>
          <w:sz w:val="26"/>
          <w:szCs w:val="26"/>
          <w:rtl/>
        </w:rPr>
        <w:t>50.3</w:t>
      </w:r>
      <w:r w:rsidRPr="005D0A64">
        <w:rPr>
          <w:rFonts w:asciiTheme="majorBidi" w:hAnsiTheme="majorBidi" w:cstheme="majorBidi"/>
          <w:color w:val="000000" w:themeColor="text1"/>
          <w:sz w:val="26"/>
          <w:szCs w:val="26"/>
        </w:rPr>
        <w:t xml:space="preserve">% of the population living in historical Palestine, while </w:t>
      </w:r>
      <w:r w:rsidRPr="005D0A64">
        <w:rPr>
          <w:rFonts w:asciiTheme="majorBidi" w:hAnsiTheme="majorBidi" w:cstheme="majorBidi"/>
          <w:color w:val="000000" w:themeColor="text1"/>
          <w:sz w:val="26"/>
          <w:szCs w:val="26"/>
        </w:rPr>
        <w:lastRenderedPageBreak/>
        <w:t>Jews constituted 49.</w:t>
      </w:r>
      <w:r w:rsidRPr="005D0A64">
        <w:rPr>
          <w:rFonts w:asciiTheme="majorBidi" w:hAnsiTheme="majorBidi" w:cstheme="majorBidi" w:hint="cs"/>
          <w:color w:val="000000" w:themeColor="text1"/>
          <w:sz w:val="26"/>
          <w:szCs w:val="26"/>
          <w:rtl/>
        </w:rPr>
        <w:t>7</w:t>
      </w:r>
      <w:r w:rsidRPr="005D0A64">
        <w:rPr>
          <w:rFonts w:asciiTheme="majorBidi" w:hAnsiTheme="majorBidi" w:cstheme="majorBidi"/>
          <w:color w:val="000000" w:themeColor="text1"/>
          <w:sz w:val="26"/>
          <w:szCs w:val="26"/>
        </w:rPr>
        <w:t>% by the end of 202</w:t>
      </w:r>
      <w:r w:rsidRPr="005D0A64">
        <w:rPr>
          <w:rFonts w:asciiTheme="majorBidi" w:hAnsiTheme="majorBidi" w:cstheme="majorBidi" w:hint="cs"/>
          <w:color w:val="000000" w:themeColor="text1"/>
          <w:sz w:val="26"/>
          <w:szCs w:val="26"/>
          <w:rtl/>
        </w:rPr>
        <w:t>3</w:t>
      </w:r>
      <w:r w:rsidR="005E0393" w:rsidRPr="005D0A64">
        <w:rPr>
          <w:rFonts w:asciiTheme="majorBidi" w:hAnsiTheme="majorBidi" w:cstheme="majorBidi"/>
          <w:color w:val="000000" w:themeColor="text1"/>
          <w:sz w:val="26"/>
          <w:szCs w:val="26"/>
        </w:rPr>
        <w:t>.</w:t>
      </w:r>
      <w:r w:rsidRPr="005D0A64">
        <w:rPr>
          <w:color w:val="000000" w:themeColor="text1"/>
          <w:sz w:val="26"/>
          <w:szCs w:val="26"/>
        </w:rPr>
        <w:t xml:space="preserve"> However, the Israeli occupation exploits more than 85% of the total land in historic</w:t>
      </w:r>
      <w:r w:rsidR="00121842" w:rsidRPr="005D0A64">
        <w:rPr>
          <w:color w:val="000000" w:themeColor="text1"/>
          <w:sz w:val="26"/>
          <w:szCs w:val="26"/>
        </w:rPr>
        <w:t>al</w:t>
      </w:r>
      <w:r w:rsidRPr="005D0A64">
        <w:rPr>
          <w:color w:val="000000" w:themeColor="text1"/>
          <w:sz w:val="26"/>
          <w:szCs w:val="26"/>
        </w:rPr>
        <w:t xml:space="preserve"> Palestine</w:t>
      </w:r>
      <w:r w:rsidR="008D4B66" w:rsidRPr="005D0A64">
        <w:rPr>
          <w:color w:val="000000" w:themeColor="text1"/>
          <w:sz w:val="26"/>
          <w:szCs w:val="26"/>
        </w:rPr>
        <w:t xml:space="preserve"> (27,000 km</w:t>
      </w:r>
      <w:r w:rsidR="008D4B66" w:rsidRPr="005D0A64">
        <w:rPr>
          <w:color w:val="000000" w:themeColor="text1"/>
          <w:sz w:val="26"/>
          <w:szCs w:val="26"/>
          <w:vertAlign w:val="superscript"/>
        </w:rPr>
        <w:t>2</w:t>
      </w:r>
      <w:r w:rsidR="008D4B66" w:rsidRPr="005D0A64">
        <w:rPr>
          <w:color w:val="000000" w:themeColor="text1"/>
          <w:sz w:val="26"/>
          <w:szCs w:val="26"/>
        </w:rPr>
        <w:t>).</w:t>
      </w:r>
    </w:p>
    <w:p w14:paraId="33F8CC61" w14:textId="7D5BC297" w:rsidR="005D0A64" w:rsidRDefault="005D0A64" w:rsidP="005E0393">
      <w:pPr>
        <w:pStyle w:val="BodyTextIndent"/>
        <w:ind w:left="0"/>
        <w:rPr>
          <w:color w:val="000000" w:themeColor="text1"/>
          <w:sz w:val="26"/>
          <w:szCs w:val="26"/>
          <w:rtl/>
        </w:rPr>
      </w:pPr>
    </w:p>
    <w:p w14:paraId="07975ABC" w14:textId="3A89A603" w:rsidR="00AF637E" w:rsidRPr="005D0A64" w:rsidRDefault="00AF637E" w:rsidP="005E0393">
      <w:pPr>
        <w:pStyle w:val="NormalWeb"/>
        <w:spacing w:before="0" w:beforeAutospacing="0" w:after="0" w:afterAutospacing="0"/>
        <w:jc w:val="center"/>
        <w:rPr>
          <w:rFonts w:asciiTheme="majorBidi" w:hAnsiTheme="majorBidi" w:cstheme="majorBidi"/>
          <w:b/>
          <w:bCs/>
          <w:strike/>
          <w:color w:val="000000" w:themeColor="text1"/>
          <w:sz w:val="26"/>
          <w:szCs w:val="26"/>
        </w:rPr>
      </w:pPr>
      <w:r w:rsidRPr="005D0A64">
        <w:rPr>
          <w:rFonts w:asciiTheme="majorBidi" w:hAnsiTheme="majorBidi" w:cstheme="majorBidi"/>
          <w:b/>
          <w:bCs/>
          <w:color w:val="000000" w:themeColor="text1"/>
          <w:sz w:val="26"/>
          <w:szCs w:val="26"/>
        </w:rPr>
        <w:t>Percentage of Palestinians and Jews in Historical Palestine in Various Years</w:t>
      </w:r>
    </w:p>
    <w:p w14:paraId="60995CB9" w14:textId="0291C65A" w:rsidR="00AF637E" w:rsidRPr="005D0A64" w:rsidRDefault="00AF637E" w:rsidP="005D0A64">
      <w:pPr>
        <w:pStyle w:val="NormalWeb"/>
        <w:bidi/>
        <w:spacing w:before="0" w:beforeAutospacing="0" w:after="0" w:afterAutospacing="0"/>
        <w:jc w:val="center"/>
        <w:rPr>
          <w:rFonts w:ascii="Simplified Arabic" w:hAnsi="Simplified Arabic" w:cs="Simplified Arabic"/>
          <w:strike/>
          <w:color w:val="000000" w:themeColor="text1"/>
          <w:rtl/>
        </w:rPr>
      </w:pPr>
      <w:r w:rsidRPr="00EA5E21">
        <w:rPr>
          <w:rFonts w:ascii="Simplified Arabic" w:hAnsi="Simplified Arabic" w:cs="Simplified Arabic" w:hint="cs"/>
          <w:strike/>
          <w:noProof/>
          <w:color w:val="000000" w:themeColor="text1"/>
          <w:rtl/>
          <w:lang w:eastAsia="en-US"/>
        </w:rPr>
        <w:drawing>
          <wp:inline distT="0" distB="0" distL="0" distR="0" wp14:anchorId="3EB2F0B9" wp14:editId="030B66DC">
            <wp:extent cx="3009900" cy="1952625"/>
            <wp:effectExtent l="0" t="0" r="0" b="9525"/>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F2CDFCA" w14:textId="77777777" w:rsidR="00AF637E" w:rsidRPr="005D0A64" w:rsidRDefault="00AF637E" w:rsidP="00AF637E">
      <w:pPr>
        <w:pStyle w:val="BodyTextIndent"/>
        <w:ind w:left="0"/>
        <w:jc w:val="center"/>
        <w:rPr>
          <w:b/>
          <w:bCs/>
          <w:sz w:val="26"/>
          <w:szCs w:val="26"/>
        </w:rPr>
      </w:pPr>
      <w:r w:rsidRPr="005D0A64">
        <w:rPr>
          <w:b/>
          <w:bCs/>
          <w:sz w:val="26"/>
          <w:szCs w:val="26"/>
        </w:rPr>
        <w:t>Gaza Strip has one of the highest population densities in the world</w:t>
      </w:r>
    </w:p>
    <w:p w14:paraId="4D3897AC" w14:textId="135FD874" w:rsidR="000D64DA" w:rsidRPr="005D0A64" w:rsidRDefault="00AF637E" w:rsidP="004948CB">
      <w:pPr>
        <w:pStyle w:val="BodyTextIndent"/>
        <w:ind w:left="0"/>
        <w:jc w:val="both"/>
        <w:rPr>
          <w:rFonts w:asciiTheme="majorBidi" w:hAnsiTheme="majorBidi" w:cstheme="majorBidi"/>
          <w:sz w:val="26"/>
          <w:szCs w:val="26"/>
        </w:rPr>
      </w:pPr>
      <w:r w:rsidRPr="005D0A64">
        <w:rPr>
          <w:sz w:val="26"/>
          <w:szCs w:val="26"/>
        </w:rPr>
        <w:t xml:space="preserve">The population density in the </w:t>
      </w:r>
      <w:r w:rsidRPr="005D0A64">
        <w:rPr>
          <w:rFonts w:asciiTheme="majorBidi" w:hAnsiTheme="majorBidi" w:cstheme="majorBidi"/>
          <w:sz w:val="26"/>
          <w:szCs w:val="26"/>
        </w:rPr>
        <w:t xml:space="preserve">State </w:t>
      </w:r>
      <w:r w:rsidRPr="005D0A64">
        <w:rPr>
          <w:sz w:val="26"/>
          <w:szCs w:val="26"/>
        </w:rPr>
        <w:t>of Palestine by the end of 202</w:t>
      </w:r>
      <w:r w:rsidR="008D38C8" w:rsidRPr="005D0A64">
        <w:rPr>
          <w:sz w:val="26"/>
          <w:szCs w:val="26"/>
        </w:rPr>
        <w:t>3</w:t>
      </w:r>
      <w:r w:rsidRPr="005D0A64">
        <w:rPr>
          <w:sz w:val="26"/>
          <w:szCs w:val="26"/>
        </w:rPr>
        <w:t xml:space="preserve"> was </w:t>
      </w:r>
      <w:r w:rsidR="008D38C8" w:rsidRPr="005D0A64">
        <w:rPr>
          <w:sz w:val="26"/>
          <w:szCs w:val="26"/>
        </w:rPr>
        <w:t>921</w:t>
      </w:r>
      <w:r w:rsidRPr="005D0A64">
        <w:rPr>
          <w:sz w:val="26"/>
          <w:szCs w:val="26"/>
        </w:rPr>
        <w:t xml:space="preserve"> individuals per square kilometer</w:t>
      </w:r>
      <w:r w:rsidRPr="005D0A64">
        <w:rPr>
          <w:rFonts w:asciiTheme="majorBidi" w:hAnsiTheme="majorBidi" w:cstheme="majorBidi"/>
          <w:sz w:val="26"/>
          <w:szCs w:val="26"/>
        </w:rPr>
        <w:t xml:space="preserve"> (km</w:t>
      </w:r>
      <w:r w:rsidRPr="005D0A64">
        <w:rPr>
          <w:rFonts w:asciiTheme="majorBidi" w:hAnsiTheme="majorBidi" w:cstheme="majorBidi"/>
          <w:sz w:val="26"/>
          <w:szCs w:val="26"/>
          <w:vertAlign w:val="superscript"/>
        </w:rPr>
        <w:t>2</w:t>
      </w:r>
      <w:r w:rsidRPr="005D0A64">
        <w:rPr>
          <w:rFonts w:asciiTheme="majorBidi" w:hAnsiTheme="majorBidi" w:cstheme="majorBidi"/>
          <w:sz w:val="26"/>
          <w:szCs w:val="26"/>
        </w:rPr>
        <w:t>): 5</w:t>
      </w:r>
      <w:r w:rsidR="008D38C8" w:rsidRPr="005D0A64">
        <w:rPr>
          <w:rFonts w:asciiTheme="majorBidi" w:hAnsiTheme="majorBidi" w:cstheme="majorBidi"/>
          <w:sz w:val="26"/>
          <w:szCs w:val="26"/>
        </w:rPr>
        <w:t>82</w:t>
      </w:r>
      <w:r w:rsidRPr="005D0A64">
        <w:rPr>
          <w:rFonts w:asciiTheme="majorBidi" w:hAnsiTheme="majorBidi" w:cstheme="majorBidi"/>
          <w:sz w:val="26"/>
          <w:szCs w:val="26"/>
        </w:rPr>
        <w:t xml:space="preserve"> individuals/km</w:t>
      </w:r>
      <w:r w:rsidRPr="005D0A64">
        <w:rPr>
          <w:rFonts w:asciiTheme="majorBidi" w:hAnsiTheme="majorBidi" w:cstheme="majorBidi"/>
          <w:sz w:val="26"/>
          <w:szCs w:val="26"/>
          <w:vertAlign w:val="superscript"/>
        </w:rPr>
        <w:t>2</w:t>
      </w:r>
      <w:r w:rsidR="008D38C8" w:rsidRPr="005D0A64">
        <w:rPr>
          <w:rFonts w:asciiTheme="majorBidi" w:hAnsiTheme="majorBidi" w:cstheme="majorBidi"/>
          <w:sz w:val="26"/>
          <w:szCs w:val="26"/>
        </w:rPr>
        <w:t xml:space="preserve"> in the West Bank and 6,185</w:t>
      </w:r>
      <w:r w:rsidRPr="005D0A64">
        <w:rPr>
          <w:rFonts w:asciiTheme="majorBidi" w:hAnsiTheme="majorBidi" w:cstheme="majorBidi"/>
          <w:sz w:val="26"/>
          <w:szCs w:val="26"/>
        </w:rPr>
        <w:t xml:space="preserve"> individuals/km</w:t>
      </w:r>
      <w:r w:rsidRPr="005D0A64">
        <w:rPr>
          <w:rFonts w:asciiTheme="majorBidi" w:hAnsiTheme="majorBidi" w:cstheme="majorBidi"/>
          <w:sz w:val="26"/>
          <w:szCs w:val="26"/>
          <w:vertAlign w:val="superscript"/>
        </w:rPr>
        <w:t>2</w:t>
      </w:r>
      <w:r w:rsidRPr="005D0A64">
        <w:rPr>
          <w:rFonts w:asciiTheme="majorBidi" w:hAnsiTheme="majorBidi" w:cstheme="majorBidi"/>
          <w:sz w:val="26"/>
          <w:szCs w:val="26"/>
        </w:rPr>
        <w:t xml:space="preserve"> in Gaza Strip, noting that 66% of the total population of Gaza Strip are refugees. The flux of refugees turned Gaza Strip into one of the highest population densities in the world.</w:t>
      </w:r>
      <w:r w:rsidRPr="005D0A64">
        <w:rPr>
          <w:sz w:val="26"/>
          <w:szCs w:val="26"/>
        </w:rPr>
        <w:t xml:space="preserve"> </w:t>
      </w:r>
      <w:r w:rsidR="00BC1FB8" w:rsidRPr="005D0A64">
        <w:rPr>
          <w:rFonts w:asciiTheme="majorBidi" w:hAnsiTheme="majorBidi" w:cstheme="majorBidi"/>
          <w:sz w:val="26"/>
          <w:szCs w:val="26"/>
        </w:rPr>
        <w:t xml:space="preserve">Especially after the displacement of hundreds of thousands of residents to Rafah Governorate, in which more than </w:t>
      </w:r>
      <w:r w:rsidR="004948CB" w:rsidRPr="005D0A64">
        <w:rPr>
          <w:rFonts w:asciiTheme="majorBidi" w:hAnsiTheme="majorBidi" w:cstheme="majorBidi"/>
          <w:sz w:val="26"/>
          <w:szCs w:val="26"/>
        </w:rPr>
        <w:t xml:space="preserve">1.5 </w:t>
      </w:r>
      <w:r w:rsidR="00BC1FB8" w:rsidRPr="005D0A64">
        <w:rPr>
          <w:rFonts w:asciiTheme="majorBidi" w:hAnsiTheme="majorBidi" w:cstheme="majorBidi"/>
          <w:sz w:val="26"/>
          <w:szCs w:val="26"/>
        </w:rPr>
        <w:t>million people lived in an area not exceeding 65 km2 during the Israeli occupation aggression against Gaza Strip since October 7</w:t>
      </w:r>
      <w:r w:rsidR="00A125BA" w:rsidRPr="005D0A64">
        <w:rPr>
          <w:rFonts w:asciiTheme="majorBidi" w:hAnsiTheme="majorBidi" w:cstheme="majorBidi"/>
          <w:sz w:val="26"/>
          <w:szCs w:val="26"/>
          <w:vertAlign w:val="superscript"/>
        </w:rPr>
        <w:t>th</w:t>
      </w:r>
      <w:r w:rsidR="00BC1FB8" w:rsidRPr="005D0A64">
        <w:rPr>
          <w:rFonts w:asciiTheme="majorBidi" w:hAnsiTheme="majorBidi" w:cstheme="majorBidi"/>
          <w:sz w:val="26"/>
          <w:szCs w:val="26"/>
        </w:rPr>
        <w:t>, 2023.</w:t>
      </w:r>
    </w:p>
    <w:p w14:paraId="72EF3291" w14:textId="77777777" w:rsidR="00BC1FB8" w:rsidRPr="005D0A64" w:rsidRDefault="00BC1FB8" w:rsidP="00BC1FB8">
      <w:pPr>
        <w:pStyle w:val="BodyTextIndent"/>
        <w:ind w:left="0"/>
        <w:jc w:val="both"/>
        <w:rPr>
          <w:rFonts w:asciiTheme="majorBidi" w:hAnsiTheme="majorBidi" w:cstheme="majorBidi"/>
          <w:sz w:val="26"/>
          <w:szCs w:val="26"/>
        </w:rPr>
      </w:pPr>
    </w:p>
    <w:p w14:paraId="1DDA2F91" w14:textId="0F78F63C" w:rsidR="00AF637E" w:rsidRPr="005D0A64" w:rsidRDefault="00AF637E" w:rsidP="00BC5775">
      <w:pPr>
        <w:pStyle w:val="Title"/>
        <w:rPr>
          <w:rFonts w:cs="Times New Roman"/>
          <w:color w:val="4F81BD" w:themeColor="accent1"/>
          <w:sz w:val="25"/>
          <w:szCs w:val="25"/>
          <w:rtl/>
        </w:rPr>
      </w:pPr>
      <w:r w:rsidRPr="005D0A64">
        <w:rPr>
          <w:rStyle w:val="shorttext"/>
          <w:rFonts w:asciiTheme="majorBidi" w:hAnsiTheme="majorBidi" w:cstheme="majorBidi"/>
          <w:color w:val="auto"/>
          <w:sz w:val="25"/>
          <w:szCs w:val="25"/>
        </w:rPr>
        <w:t xml:space="preserve">More than </w:t>
      </w:r>
      <w:r w:rsidR="00A125BA" w:rsidRPr="005D0A64">
        <w:rPr>
          <w:rFonts w:cs="Times New Roman"/>
          <w:color w:val="auto"/>
          <w:sz w:val="25"/>
          <w:szCs w:val="25"/>
        </w:rPr>
        <w:t xml:space="preserve">1 </w:t>
      </w:r>
      <w:r w:rsidRPr="005D0A64">
        <w:rPr>
          <w:rFonts w:cs="Times New Roman"/>
          <w:color w:val="auto"/>
          <w:sz w:val="25"/>
          <w:szCs w:val="25"/>
        </w:rPr>
        <w:t>Million Detention Cases since 1967</w:t>
      </w:r>
    </w:p>
    <w:p w14:paraId="46A3EEC3" w14:textId="744F0D10" w:rsidR="00BC5775" w:rsidRPr="005D0A64" w:rsidRDefault="00BC5775" w:rsidP="00BC5775">
      <w:pPr>
        <w:pStyle w:val="BodyTextIndent"/>
        <w:ind w:left="0"/>
        <w:jc w:val="center"/>
        <w:rPr>
          <w:rFonts w:asciiTheme="majorBidi" w:hAnsiTheme="majorBidi" w:cstheme="majorBidi"/>
          <w:b/>
          <w:bCs/>
          <w:color w:val="000000" w:themeColor="text1"/>
          <w:sz w:val="25"/>
          <w:szCs w:val="25"/>
        </w:rPr>
      </w:pPr>
      <w:r w:rsidRPr="005D0A64">
        <w:rPr>
          <w:rFonts w:asciiTheme="majorBidi" w:hAnsiTheme="majorBidi" w:cstheme="majorBidi"/>
          <w:b/>
          <w:bCs/>
          <w:color w:val="000000" w:themeColor="text1"/>
          <w:sz w:val="25"/>
          <w:szCs w:val="25"/>
        </w:rPr>
        <w:t>More than 9,400 detainees in Israeli occupation prisons</w:t>
      </w:r>
    </w:p>
    <w:p w14:paraId="1B479269" w14:textId="6D42D75A" w:rsidR="00AF637E" w:rsidRPr="005D0A64" w:rsidRDefault="00BC5775" w:rsidP="00542100">
      <w:pPr>
        <w:pStyle w:val="BodyTextIndent"/>
        <w:ind w:left="0"/>
        <w:jc w:val="both"/>
        <w:rPr>
          <w:rFonts w:asciiTheme="majorBidi" w:hAnsiTheme="majorBidi" w:cstheme="majorBidi"/>
          <w:color w:val="000000" w:themeColor="text1"/>
          <w:sz w:val="26"/>
          <w:szCs w:val="26"/>
        </w:rPr>
      </w:pPr>
      <w:r w:rsidRPr="005D0A64">
        <w:rPr>
          <w:rFonts w:asciiTheme="majorBidi" w:hAnsiTheme="majorBidi" w:cstheme="majorBidi"/>
          <w:color w:val="000000" w:themeColor="text1"/>
          <w:sz w:val="26"/>
          <w:szCs w:val="26"/>
        </w:rPr>
        <w:t xml:space="preserve">According to the data of </w:t>
      </w:r>
      <w:r w:rsidRPr="005D0A64">
        <w:rPr>
          <w:color w:val="000000" w:themeColor="text1"/>
          <w:sz w:val="26"/>
          <w:szCs w:val="26"/>
        </w:rPr>
        <w:t>Commission of Detainees and Ex-Detainees Affairs</w:t>
      </w:r>
      <w:r w:rsidRPr="005D0A64" w:rsidDel="00444A5D">
        <w:rPr>
          <w:rFonts w:asciiTheme="majorBidi" w:hAnsiTheme="majorBidi" w:cstheme="majorBidi"/>
          <w:color w:val="000000" w:themeColor="text1"/>
          <w:sz w:val="26"/>
          <w:szCs w:val="26"/>
        </w:rPr>
        <w:t xml:space="preserve"> </w:t>
      </w:r>
      <w:r w:rsidRPr="005D0A64">
        <w:rPr>
          <w:rFonts w:asciiTheme="majorBidi" w:hAnsiTheme="majorBidi" w:cstheme="majorBidi"/>
          <w:color w:val="000000" w:themeColor="text1"/>
          <w:sz w:val="26"/>
          <w:szCs w:val="26"/>
        </w:rPr>
        <w:t>the number of detainees</w:t>
      </w:r>
      <w:r w:rsidRPr="005D0A64">
        <w:rPr>
          <w:rFonts w:asciiTheme="majorBidi" w:hAnsiTheme="majorBidi" w:cstheme="majorBidi"/>
          <w:b/>
          <w:bCs/>
          <w:color w:val="000000" w:themeColor="text1"/>
          <w:sz w:val="26"/>
          <w:szCs w:val="26"/>
        </w:rPr>
        <w:t xml:space="preserve"> </w:t>
      </w:r>
      <w:r w:rsidRPr="005D0A64">
        <w:rPr>
          <w:rFonts w:asciiTheme="majorBidi" w:hAnsiTheme="majorBidi" w:cstheme="majorBidi"/>
          <w:color w:val="000000" w:themeColor="text1"/>
          <w:sz w:val="26"/>
          <w:szCs w:val="26"/>
        </w:rPr>
        <w:t>in the Israeli occupation prisons reached more than 9,400 by the end of April 2024, including (3,600) administrative detainees (detained without charge), and (849) classified</w:t>
      </w:r>
      <w:r w:rsidR="00A618F3" w:rsidRPr="005D0A64">
        <w:rPr>
          <w:rFonts w:asciiTheme="majorBidi" w:hAnsiTheme="majorBidi" w:cstheme="majorBidi"/>
          <w:color w:val="000000" w:themeColor="text1"/>
          <w:sz w:val="26"/>
          <w:szCs w:val="26"/>
        </w:rPr>
        <w:t xml:space="preserve"> by Israeli occupation</w:t>
      </w:r>
      <w:r w:rsidRPr="005D0A64">
        <w:rPr>
          <w:rFonts w:asciiTheme="majorBidi" w:hAnsiTheme="majorBidi" w:cstheme="majorBidi"/>
          <w:color w:val="000000" w:themeColor="text1"/>
          <w:sz w:val="26"/>
          <w:szCs w:val="26"/>
        </w:rPr>
        <w:t xml:space="preserve"> as (unlawful combatants). There are (80) female detainees in the Israeli occupation prisons, and the number of </w:t>
      </w:r>
      <w:r w:rsidR="00A618F3" w:rsidRPr="005D0A64">
        <w:rPr>
          <w:rFonts w:asciiTheme="majorBidi" w:hAnsiTheme="majorBidi" w:cstheme="majorBidi"/>
          <w:color w:val="000000" w:themeColor="text1"/>
          <w:sz w:val="26"/>
          <w:szCs w:val="26"/>
        </w:rPr>
        <w:t xml:space="preserve">detained </w:t>
      </w:r>
      <w:r w:rsidRPr="005D0A64">
        <w:rPr>
          <w:rFonts w:asciiTheme="majorBidi" w:hAnsiTheme="majorBidi" w:cstheme="majorBidi"/>
          <w:color w:val="000000" w:themeColor="text1"/>
          <w:sz w:val="26"/>
          <w:szCs w:val="26"/>
        </w:rPr>
        <w:t>children in the Israeli occupation prisons reached (</w:t>
      </w:r>
      <w:r w:rsidRPr="005D0A64">
        <w:rPr>
          <w:rFonts w:asciiTheme="majorBidi" w:hAnsiTheme="majorBidi" w:cstheme="majorBidi" w:hint="cs"/>
          <w:color w:val="000000" w:themeColor="text1"/>
          <w:sz w:val="26"/>
          <w:szCs w:val="26"/>
          <w:rtl/>
        </w:rPr>
        <w:t>229</w:t>
      </w:r>
      <w:r w:rsidRPr="005D0A64">
        <w:rPr>
          <w:rFonts w:asciiTheme="majorBidi" w:hAnsiTheme="majorBidi" w:cstheme="majorBidi"/>
          <w:color w:val="000000" w:themeColor="text1"/>
          <w:sz w:val="26"/>
          <w:szCs w:val="26"/>
        </w:rPr>
        <w:t>), while the number of arrest cases reached (the number includes those are still detained as well those released) More than 8,520 in the West Bank since the beginning of the Israeli occupation aggression on October 7</w:t>
      </w:r>
      <w:r w:rsidR="00A618F3" w:rsidRPr="005D0A64">
        <w:rPr>
          <w:rFonts w:asciiTheme="majorBidi" w:hAnsiTheme="majorBidi" w:cstheme="majorBidi"/>
          <w:color w:val="000000" w:themeColor="text1"/>
          <w:sz w:val="26"/>
          <w:szCs w:val="26"/>
          <w:vertAlign w:val="superscript"/>
        </w:rPr>
        <w:t>th</w:t>
      </w:r>
      <w:r w:rsidRPr="005D0A64">
        <w:rPr>
          <w:rFonts w:asciiTheme="majorBidi" w:hAnsiTheme="majorBidi" w:cstheme="majorBidi"/>
          <w:color w:val="000000" w:themeColor="text1"/>
          <w:sz w:val="26"/>
          <w:szCs w:val="26"/>
        </w:rPr>
        <w:t>, 2023 until March 25</w:t>
      </w:r>
      <w:r w:rsidR="00A618F3" w:rsidRPr="005D0A64">
        <w:rPr>
          <w:rFonts w:asciiTheme="majorBidi" w:hAnsiTheme="majorBidi" w:cstheme="majorBidi"/>
          <w:color w:val="000000" w:themeColor="text1"/>
          <w:sz w:val="26"/>
          <w:szCs w:val="26"/>
          <w:vertAlign w:val="superscript"/>
        </w:rPr>
        <w:t>th</w:t>
      </w:r>
      <w:r w:rsidRPr="005D0A64">
        <w:rPr>
          <w:rFonts w:asciiTheme="majorBidi" w:hAnsiTheme="majorBidi" w:cstheme="majorBidi"/>
          <w:color w:val="000000" w:themeColor="text1"/>
          <w:sz w:val="26"/>
          <w:szCs w:val="26"/>
        </w:rPr>
        <w:t xml:space="preserve">, 2024, </w:t>
      </w:r>
      <w:r w:rsidR="00E73211" w:rsidRPr="005D0A64">
        <w:rPr>
          <w:rFonts w:asciiTheme="majorBidi" w:hAnsiTheme="majorBidi" w:cstheme="majorBidi"/>
          <w:color w:val="000000" w:themeColor="text1"/>
          <w:sz w:val="26"/>
          <w:szCs w:val="26"/>
        </w:rPr>
        <w:t>these data do not include cases of arrest in Gaza Strip during the Israeli occupation aggression since October 7</w:t>
      </w:r>
      <w:r w:rsidR="00542100" w:rsidRPr="005D0A64">
        <w:rPr>
          <w:rFonts w:asciiTheme="majorBidi" w:hAnsiTheme="majorBidi" w:cstheme="majorBidi"/>
          <w:color w:val="000000" w:themeColor="text1"/>
          <w:sz w:val="26"/>
          <w:szCs w:val="26"/>
          <w:vertAlign w:val="superscript"/>
        </w:rPr>
        <w:t>th</w:t>
      </w:r>
      <w:r w:rsidR="00E73211" w:rsidRPr="005D0A64">
        <w:rPr>
          <w:rFonts w:asciiTheme="majorBidi" w:hAnsiTheme="majorBidi" w:cstheme="majorBidi"/>
          <w:color w:val="000000" w:themeColor="text1"/>
          <w:sz w:val="26"/>
          <w:szCs w:val="26"/>
        </w:rPr>
        <w:t xml:space="preserve">, 2023, knowing that their number is estimated </w:t>
      </w:r>
      <w:r w:rsidR="00542100" w:rsidRPr="005D0A64">
        <w:rPr>
          <w:rFonts w:asciiTheme="majorBidi" w:hAnsiTheme="majorBidi" w:cstheme="majorBidi"/>
          <w:color w:val="000000" w:themeColor="text1"/>
          <w:sz w:val="26"/>
          <w:szCs w:val="26"/>
        </w:rPr>
        <w:t>to be</w:t>
      </w:r>
      <w:r w:rsidR="00E73211" w:rsidRPr="005D0A64">
        <w:rPr>
          <w:rFonts w:asciiTheme="majorBidi" w:hAnsiTheme="majorBidi" w:cstheme="majorBidi"/>
          <w:color w:val="000000" w:themeColor="text1"/>
          <w:sz w:val="26"/>
          <w:szCs w:val="26"/>
        </w:rPr>
        <w:t xml:space="preserve"> thousands.</w:t>
      </w:r>
    </w:p>
    <w:p w14:paraId="13DE4F6A" w14:textId="77777777" w:rsidR="00BC5775" w:rsidRPr="005D0A64" w:rsidRDefault="00BC5775" w:rsidP="00BC5775">
      <w:pPr>
        <w:pStyle w:val="BodyTextIndent"/>
        <w:ind w:left="0"/>
        <w:jc w:val="both"/>
        <w:rPr>
          <w:rFonts w:asciiTheme="majorBidi" w:hAnsiTheme="majorBidi" w:cstheme="majorBidi"/>
          <w:color w:val="000000" w:themeColor="text1"/>
          <w:sz w:val="26"/>
          <w:szCs w:val="26"/>
        </w:rPr>
      </w:pPr>
    </w:p>
    <w:p w14:paraId="41B0CBEB" w14:textId="41CAC103" w:rsidR="00AF637E" w:rsidRPr="005D0A64" w:rsidRDefault="00AF637E" w:rsidP="004D7549">
      <w:pPr>
        <w:pStyle w:val="BodyTextIndent2"/>
        <w:ind w:left="0"/>
        <w:jc w:val="center"/>
        <w:rPr>
          <w:b/>
          <w:bCs/>
          <w:color w:val="000000" w:themeColor="text1"/>
          <w:sz w:val="26"/>
          <w:szCs w:val="26"/>
        </w:rPr>
      </w:pPr>
      <w:r w:rsidRPr="005D0A64">
        <w:rPr>
          <w:b/>
          <w:bCs/>
          <w:color w:val="000000" w:themeColor="text1"/>
          <w:sz w:val="26"/>
          <w:szCs w:val="26"/>
        </w:rPr>
        <w:t>More than 12,000 attacks by settlers</w:t>
      </w:r>
    </w:p>
    <w:p w14:paraId="368BD4C8" w14:textId="77777777" w:rsidR="00AF637E" w:rsidRPr="005D0A64" w:rsidRDefault="00AF637E" w:rsidP="00AF637E">
      <w:pPr>
        <w:pStyle w:val="BodyTextIndent"/>
        <w:ind w:left="0"/>
        <w:rPr>
          <w:color w:val="000000" w:themeColor="text1"/>
          <w:sz w:val="26"/>
          <w:szCs w:val="26"/>
        </w:rPr>
      </w:pPr>
      <w:r w:rsidRPr="005D0A64">
        <w:rPr>
          <w:color w:val="000000" w:themeColor="text1"/>
          <w:sz w:val="26"/>
          <w:szCs w:val="26"/>
        </w:rPr>
        <w:t>In 2023, settlers, under the protection of the Israeli occupation army, carried out about 12,161 attacks against Palestinian citizens and their property; the attacks included 3,808 attacks on property and religious places, 707 attacks on lands and natural resources, and 7,646 attacks on individuals. These attacks also caused the uprooting, damage, and bulldozing of more than 21,700 trees, including about 18,964 olive trees.</w:t>
      </w:r>
    </w:p>
    <w:p w14:paraId="59A74406" w14:textId="4A3AC3D2" w:rsidR="00AF637E" w:rsidRDefault="00AF637E" w:rsidP="00DD4090">
      <w:pPr>
        <w:bidi w:val="0"/>
        <w:jc w:val="both"/>
        <w:rPr>
          <w:b/>
          <w:bCs/>
          <w:color w:val="000000" w:themeColor="text1"/>
          <w:sz w:val="22"/>
          <w:szCs w:val="22"/>
          <w:rtl/>
        </w:rPr>
      </w:pPr>
    </w:p>
    <w:p w14:paraId="4B773185" w14:textId="3F0C8A14" w:rsidR="005A6D9C" w:rsidRDefault="005A6D9C" w:rsidP="005A6D9C">
      <w:pPr>
        <w:bidi w:val="0"/>
        <w:jc w:val="both"/>
        <w:rPr>
          <w:b/>
          <w:bCs/>
          <w:color w:val="000000" w:themeColor="text1"/>
          <w:sz w:val="22"/>
          <w:szCs w:val="22"/>
          <w:rtl/>
        </w:rPr>
      </w:pPr>
    </w:p>
    <w:p w14:paraId="5F19EDC4" w14:textId="0FDA77AA" w:rsidR="005A6D9C" w:rsidRDefault="005A6D9C" w:rsidP="005A6D9C">
      <w:pPr>
        <w:bidi w:val="0"/>
        <w:jc w:val="both"/>
        <w:rPr>
          <w:b/>
          <w:bCs/>
          <w:color w:val="000000" w:themeColor="text1"/>
          <w:sz w:val="22"/>
          <w:szCs w:val="22"/>
          <w:rtl/>
        </w:rPr>
      </w:pPr>
    </w:p>
    <w:p w14:paraId="4B2D6443" w14:textId="38A6C7AF" w:rsidR="005A6D9C" w:rsidRDefault="005A6D9C" w:rsidP="005A6D9C">
      <w:pPr>
        <w:bidi w:val="0"/>
        <w:jc w:val="both"/>
        <w:rPr>
          <w:b/>
          <w:bCs/>
          <w:color w:val="000000" w:themeColor="text1"/>
          <w:sz w:val="22"/>
          <w:szCs w:val="22"/>
          <w:rtl/>
        </w:rPr>
      </w:pPr>
    </w:p>
    <w:p w14:paraId="71475246" w14:textId="614874C7" w:rsidR="005A6D9C" w:rsidRDefault="005A6D9C" w:rsidP="005A6D9C">
      <w:pPr>
        <w:bidi w:val="0"/>
        <w:jc w:val="both"/>
        <w:rPr>
          <w:b/>
          <w:bCs/>
          <w:color w:val="000000" w:themeColor="text1"/>
          <w:sz w:val="22"/>
          <w:szCs w:val="22"/>
          <w:rtl/>
        </w:rPr>
      </w:pPr>
    </w:p>
    <w:p w14:paraId="33B4DB39" w14:textId="0F4ADC89" w:rsidR="005A6D9C" w:rsidRDefault="005A6D9C" w:rsidP="005A6D9C">
      <w:pPr>
        <w:bidi w:val="0"/>
        <w:jc w:val="both"/>
        <w:rPr>
          <w:b/>
          <w:bCs/>
          <w:color w:val="000000" w:themeColor="text1"/>
          <w:sz w:val="22"/>
          <w:szCs w:val="22"/>
          <w:rtl/>
        </w:rPr>
      </w:pPr>
    </w:p>
    <w:p w14:paraId="45FB2C31" w14:textId="77777777" w:rsidR="005A6D9C" w:rsidRDefault="005A6D9C" w:rsidP="005A6D9C">
      <w:pPr>
        <w:bidi w:val="0"/>
        <w:jc w:val="both"/>
        <w:rPr>
          <w:b/>
          <w:bCs/>
          <w:color w:val="000000" w:themeColor="text1"/>
          <w:sz w:val="22"/>
          <w:szCs w:val="22"/>
        </w:rPr>
      </w:pPr>
      <w:bookmarkStart w:id="0" w:name="_GoBack"/>
      <w:bookmarkEnd w:id="0"/>
    </w:p>
    <w:p w14:paraId="757B66AB" w14:textId="63C381F8" w:rsidR="00BD6FB4" w:rsidRPr="005D0A64" w:rsidRDefault="00BD6FB4" w:rsidP="00AF637E">
      <w:pPr>
        <w:bidi w:val="0"/>
        <w:jc w:val="both"/>
        <w:rPr>
          <w:b/>
          <w:bCs/>
          <w:color w:val="000000" w:themeColor="text1"/>
        </w:rPr>
      </w:pPr>
      <w:r w:rsidRPr="005D0A64">
        <w:rPr>
          <w:b/>
          <w:bCs/>
          <w:color w:val="000000" w:themeColor="text1"/>
        </w:rPr>
        <w:lastRenderedPageBreak/>
        <w:t>Sources:</w:t>
      </w:r>
    </w:p>
    <w:p w14:paraId="1A1EAA81" w14:textId="384C8A69" w:rsidR="00DD4090" w:rsidRPr="00A47877" w:rsidRDefault="00E77D51" w:rsidP="007E5239">
      <w:pPr>
        <w:pStyle w:val="ListParagraph"/>
        <w:bidi w:val="0"/>
        <w:ind w:left="284"/>
        <w:jc w:val="both"/>
        <w:rPr>
          <w:color w:val="000000" w:themeColor="text1"/>
          <w:sz w:val="20"/>
          <w:szCs w:val="20"/>
        </w:rPr>
      </w:pPr>
      <w:r w:rsidRPr="00A47877">
        <w:rPr>
          <w:color w:val="000000" w:themeColor="text1"/>
          <w:sz w:val="20"/>
          <w:szCs w:val="20"/>
        </w:rPr>
        <w:t xml:space="preserve">1. Palestinian Central Bureau of Statistics 2023: Israeli </w:t>
      </w:r>
      <w:r w:rsidR="007E5239">
        <w:rPr>
          <w:color w:val="000000" w:themeColor="text1"/>
          <w:sz w:val="20"/>
          <w:szCs w:val="20"/>
        </w:rPr>
        <w:t>S</w:t>
      </w:r>
      <w:r w:rsidR="007E5239" w:rsidRPr="00A47877">
        <w:rPr>
          <w:color w:val="000000" w:themeColor="text1"/>
          <w:sz w:val="20"/>
          <w:szCs w:val="20"/>
        </w:rPr>
        <w:t xml:space="preserve">ettlements </w:t>
      </w:r>
      <w:r w:rsidRPr="00A47877">
        <w:rPr>
          <w:color w:val="000000" w:themeColor="text1"/>
          <w:sz w:val="20"/>
          <w:szCs w:val="20"/>
        </w:rPr>
        <w:t>in the West Bank 2022. Ramallah - Palestine.</w:t>
      </w:r>
    </w:p>
    <w:p w14:paraId="257FDE6C" w14:textId="41137E07" w:rsidR="00DD4090" w:rsidRPr="00A47877" w:rsidRDefault="00E77D51" w:rsidP="00B926E2">
      <w:pPr>
        <w:pStyle w:val="ListParagraph"/>
        <w:bidi w:val="0"/>
        <w:ind w:left="284"/>
        <w:jc w:val="both"/>
        <w:rPr>
          <w:color w:val="000000" w:themeColor="text1"/>
          <w:sz w:val="20"/>
          <w:szCs w:val="20"/>
        </w:rPr>
      </w:pPr>
      <w:r w:rsidRPr="00A47877">
        <w:rPr>
          <w:color w:val="000000" w:themeColor="text1"/>
          <w:sz w:val="20"/>
          <w:szCs w:val="20"/>
        </w:rPr>
        <w:t xml:space="preserve">2. </w:t>
      </w:r>
      <w:r w:rsidR="00B926E2">
        <w:rPr>
          <w:color w:val="000000" w:themeColor="text1"/>
          <w:sz w:val="20"/>
          <w:szCs w:val="20"/>
        </w:rPr>
        <w:t>Colonization and</w:t>
      </w:r>
      <w:r w:rsidR="00B926E2" w:rsidRPr="00A47877">
        <w:rPr>
          <w:color w:val="000000" w:themeColor="text1"/>
          <w:sz w:val="20"/>
          <w:szCs w:val="20"/>
        </w:rPr>
        <w:t xml:space="preserve"> </w:t>
      </w:r>
      <w:r w:rsidRPr="00A47877">
        <w:rPr>
          <w:color w:val="000000" w:themeColor="text1"/>
          <w:sz w:val="20"/>
          <w:szCs w:val="20"/>
        </w:rPr>
        <w:t xml:space="preserve">Wall Resistance Commission 2024, the most prominent violations of the </w:t>
      </w:r>
      <w:r w:rsidR="00B926E2">
        <w:rPr>
          <w:color w:val="000000" w:themeColor="text1"/>
          <w:sz w:val="20"/>
          <w:szCs w:val="20"/>
        </w:rPr>
        <w:t xml:space="preserve">Israeli </w:t>
      </w:r>
      <w:r w:rsidR="00185B82">
        <w:rPr>
          <w:color w:val="000000" w:themeColor="text1"/>
          <w:sz w:val="20"/>
          <w:szCs w:val="20"/>
        </w:rPr>
        <w:t>o</w:t>
      </w:r>
      <w:r w:rsidR="00B926E2">
        <w:rPr>
          <w:color w:val="000000" w:themeColor="text1"/>
          <w:sz w:val="20"/>
          <w:szCs w:val="20"/>
        </w:rPr>
        <w:t>ccupation State</w:t>
      </w:r>
      <w:r w:rsidRPr="00A47877">
        <w:rPr>
          <w:color w:val="000000" w:themeColor="text1"/>
          <w:sz w:val="20"/>
          <w:szCs w:val="20"/>
        </w:rPr>
        <w:t xml:space="preserve"> and colonizers in the occupied Palestinian territories, annual report, 2023. Ramallah - Palestine.</w:t>
      </w:r>
    </w:p>
    <w:p w14:paraId="35849A9E" w14:textId="5C7631E0" w:rsidR="00DD4090" w:rsidRPr="00A47877" w:rsidRDefault="00E77D51" w:rsidP="0088302F">
      <w:pPr>
        <w:pStyle w:val="ListParagraph"/>
        <w:bidi w:val="0"/>
        <w:ind w:left="284"/>
        <w:jc w:val="both"/>
        <w:rPr>
          <w:color w:val="000000" w:themeColor="text1"/>
          <w:sz w:val="20"/>
          <w:szCs w:val="20"/>
        </w:rPr>
      </w:pPr>
      <w:r w:rsidRPr="00A47877">
        <w:rPr>
          <w:color w:val="000000" w:themeColor="text1"/>
          <w:sz w:val="20"/>
          <w:szCs w:val="20"/>
        </w:rPr>
        <w:t xml:space="preserve">3. </w:t>
      </w:r>
      <w:r w:rsidR="00B926E2" w:rsidRPr="00B926E2">
        <w:rPr>
          <w:color w:val="000000" w:themeColor="text1"/>
          <w:sz w:val="20"/>
          <w:szCs w:val="20"/>
        </w:rPr>
        <w:t xml:space="preserve">Commission </w:t>
      </w:r>
      <w:r w:rsidR="0088302F">
        <w:rPr>
          <w:color w:val="000000" w:themeColor="text1"/>
          <w:sz w:val="20"/>
          <w:szCs w:val="20"/>
        </w:rPr>
        <w:t xml:space="preserve">of </w:t>
      </w:r>
      <w:r w:rsidR="00B926E2" w:rsidRPr="00B926E2">
        <w:rPr>
          <w:color w:val="000000" w:themeColor="text1"/>
          <w:sz w:val="20"/>
          <w:szCs w:val="20"/>
        </w:rPr>
        <w:t>Detainees and Ex-Detainees Affairs</w:t>
      </w:r>
      <w:r w:rsidRPr="00A47877">
        <w:rPr>
          <w:color w:val="000000" w:themeColor="text1"/>
          <w:sz w:val="20"/>
          <w:szCs w:val="20"/>
        </w:rPr>
        <w:t xml:space="preserve">, 2024. Annual </w:t>
      </w:r>
      <w:r w:rsidR="00B926E2">
        <w:rPr>
          <w:color w:val="000000" w:themeColor="text1"/>
          <w:sz w:val="20"/>
          <w:szCs w:val="20"/>
        </w:rPr>
        <w:t>Detainees</w:t>
      </w:r>
      <w:r w:rsidR="00B926E2" w:rsidRPr="00A47877">
        <w:rPr>
          <w:color w:val="000000" w:themeColor="text1"/>
          <w:sz w:val="20"/>
          <w:szCs w:val="20"/>
        </w:rPr>
        <w:t xml:space="preserve"> </w:t>
      </w:r>
      <w:r w:rsidRPr="00A47877">
        <w:rPr>
          <w:color w:val="000000" w:themeColor="text1"/>
          <w:sz w:val="20"/>
          <w:szCs w:val="20"/>
        </w:rPr>
        <w:t>Report 2023. Ramallah - Palestine.</w:t>
      </w:r>
    </w:p>
    <w:p w14:paraId="3B2C80E1" w14:textId="2CC92567" w:rsidR="00DD4090" w:rsidRPr="00A47877" w:rsidRDefault="00E77D51" w:rsidP="00DD4090">
      <w:pPr>
        <w:pStyle w:val="ListParagraph"/>
        <w:bidi w:val="0"/>
        <w:ind w:left="284"/>
        <w:jc w:val="both"/>
        <w:rPr>
          <w:color w:val="000000" w:themeColor="text1"/>
          <w:sz w:val="20"/>
          <w:szCs w:val="20"/>
        </w:rPr>
      </w:pPr>
      <w:r w:rsidRPr="00A47877">
        <w:rPr>
          <w:color w:val="000000" w:themeColor="text1"/>
          <w:sz w:val="20"/>
          <w:szCs w:val="20"/>
        </w:rPr>
        <w:t xml:space="preserve">4. </w:t>
      </w:r>
      <w:r w:rsidR="00E02128">
        <w:rPr>
          <w:color w:val="000000" w:themeColor="text1"/>
          <w:sz w:val="20"/>
          <w:szCs w:val="20"/>
        </w:rPr>
        <w:t xml:space="preserve">UN </w:t>
      </w:r>
      <w:r w:rsidRPr="00A47877">
        <w:rPr>
          <w:color w:val="000000" w:themeColor="text1"/>
          <w:sz w:val="20"/>
          <w:szCs w:val="20"/>
        </w:rPr>
        <w:t>Office for the Coordination of Humanitarian Affairs in the Occupied Territories (OCHA), 2023.</w:t>
      </w:r>
    </w:p>
    <w:p w14:paraId="35591DA4" w14:textId="6B66BB94" w:rsidR="00042C5C" w:rsidRDefault="00E77D51" w:rsidP="008B32DD">
      <w:pPr>
        <w:pStyle w:val="ListParagraph"/>
        <w:bidi w:val="0"/>
        <w:ind w:left="284"/>
        <w:jc w:val="both"/>
        <w:rPr>
          <w:rFonts w:asciiTheme="majorBidi" w:hAnsiTheme="majorBidi" w:cstheme="majorBidi"/>
          <w:color w:val="000000" w:themeColor="text1"/>
          <w:sz w:val="18"/>
          <w:szCs w:val="18"/>
        </w:rPr>
      </w:pPr>
      <w:r w:rsidRPr="00A47877">
        <w:rPr>
          <w:color w:val="000000" w:themeColor="text1"/>
          <w:sz w:val="20"/>
          <w:szCs w:val="20"/>
        </w:rPr>
        <w:t xml:space="preserve">5. Palestinian Ministry of Health - General </w:t>
      </w:r>
      <w:r w:rsidR="001B7935">
        <w:rPr>
          <w:color w:val="000000" w:themeColor="text1"/>
          <w:sz w:val="20"/>
          <w:szCs w:val="20"/>
        </w:rPr>
        <w:t xml:space="preserve">Directorate </w:t>
      </w:r>
      <w:r w:rsidR="00185B82">
        <w:rPr>
          <w:color w:val="000000" w:themeColor="text1"/>
          <w:sz w:val="20"/>
          <w:szCs w:val="20"/>
        </w:rPr>
        <w:t xml:space="preserve">of </w:t>
      </w:r>
      <w:r w:rsidRPr="00A47877">
        <w:rPr>
          <w:color w:val="000000" w:themeColor="text1"/>
          <w:sz w:val="20"/>
          <w:szCs w:val="20"/>
        </w:rPr>
        <w:t xml:space="preserve">Emergency, 2024. Annual </w:t>
      </w:r>
      <w:r w:rsidR="008B32DD">
        <w:rPr>
          <w:color w:val="000000" w:themeColor="text1"/>
          <w:sz w:val="20"/>
          <w:szCs w:val="20"/>
        </w:rPr>
        <w:t>R</w:t>
      </w:r>
      <w:r w:rsidR="008B32DD" w:rsidRPr="00A47877">
        <w:rPr>
          <w:color w:val="000000" w:themeColor="text1"/>
          <w:sz w:val="20"/>
          <w:szCs w:val="20"/>
        </w:rPr>
        <w:t xml:space="preserve">eport </w:t>
      </w:r>
      <w:r w:rsidRPr="00A47877">
        <w:rPr>
          <w:color w:val="000000" w:themeColor="text1"/>
          <w:sz w:val="20"/>
          <w:szCs w:val="20"/>
        </w:rPr>
        <w:t>on Israeli occupation attacks, 2023. Ramallah - Palestine.</w:t>
      </w:r>
    </w:p>
    <w:p w14:paraId="06C2A537" w14:textId="22E4A127" w:rsidR="00AF637E" w:rsidRPr="00AF637E" w:rsidRDefault="00AF637E" w:rsidP="00AF637E">
      <w:pPr>
        <w:pStyle w:val="ListParagraph"/>
        <w:bidi w:val="0"/>
        <w:ind w:left="284"/>
        <w:jc w:val="both"/>
        <w:rPr>
          <w:color w:val="000000" w:themeColor="text1"/>
          <w:sz w:val="20"/>
          <w:szCs w:val="20"/>
        </w:rPr>
      </w:pPr>
      <w:r>
        <w:rPr>
          <w:color w:val="000000" w:themeColor="text1"/>
          <w:sz w:val="20"/>
          <w:szCs w:val="20"/>
        </w:rPr>
        <w:t xml:space="preserve">6. </w:t>
      </w:r>
      <w:r w:rsidRPr="00AF637E">
        <w:rPr>
          <w:color w:val="000000" w:themeColor="text1"/>
          <w:sz w:val="20"/>
          <w:szCs w:val="20"/>
        </w:rPr>
        <w:t>Palestinian Central Bureau of Statistics, 202</w:t>
      </w:r>
      <w:r>
        <w:rPr>
          <w:color w:val="000000" w:themeColor="text1"/>
          <w:sz w:val="20"/>
          <w:szCs w:val="20"/>
        </w:rPr>
        <w:t>4</w:t>
      </w:r>
      <w:r w:rsidRPr="00AF637E">
        <w:rPr>
          <w:color w:val="000000" w:themeColor="text1"/>
          <w:sz w:val="20"/>
          <w:szCs w:val="20"/>
        </w:rPr>
        <w:t>.  Revised estimates based on the final results of Population, Housing and Establishments Census 2017. Ramallah-Palestine.</w:t>
      </w:r>
    </w:p>
    <w:p w14:paraId="27BEE71A" w14:textId="77777777" w:rsidR="00AF637E" w:rsidRPr="00A47877" w:rsidRDefault="00AF637E" w:rsidP="00AF637E">
      <w:pPr>
        <w:pStyle w:val="ListParagraph"/>
        <w:bidi w:val="0"/>
        <w:ind w:left="284"/>
        <w:jc w:val="both"/>
        <w:rPr>
          <w:rFonts w:asciiTheme="majorBidi" w:hAnsiTheme="majorBidi" w:cstheme="majorBidi"/>
          <w:color w:val="000000" w:themeColor="text1"/>
          <w:sz w:val="18"/>
          <w:szCs w:val="18"/>
        </w:rPr>
      </w:pPr>
    </w:p>
    <w:sectPr w:rsidR="00AF637E" w:rsidRPr="00A47877" w:rsidSect="005A6D9C">
      <w:footerReference w:type="default" r:id="rId10"/>
      <w:type w:val="continuous"/>
      <w:pgSz w:w="11906" w:h="16838"/>
      <w:pgMar w:top="1134" w:right="720" w:bottom="1134" w:left="720" w:header="567" w:footer="567" w:gutter="0"/>
      <w:cols w:space="894"/>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D60D79" w14:textId="77777777" w:rsidR="00885651" w:rsidRDefault="00885651" w:rsidP="00BF7D80">
      <w:r>
        <w:separator/>
      </w:r>
    </w:p>
  </w:endnote>
  <w:endnote w:type="continuationSeparator" w:id="0">
    <w:p w14:paraId="6A861CBB" w14:textId="77777777" w:rsidR="00885651" w:rsidRDefault="00885651" w:rsidP="00BF7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4F15C" w14:textId="4F2C8D0E" w:rsidR="00C510CB" w:rsidRDefault="00ED37C1">
    <w:pPr>
      <w:pStyle w:val="Footer"/>
      <w:jc w:val="center"/>
    </w:pPr>
    <w:r>
      <w:fldChar w:fldCharType="begin"/>
    </w:r>
    <w:r w:rsidR="00543B83">
      <w:instrText xml:space="preserve"> PAGE   \* MERGEFORMAT </w:instrText>
    </w:r>
    <w:r>
      <w:fldChar w:fldCharType="separate"/>
    </w:r>
    <w:r w:rsidR="005A6D9C">
      <w:rPr>
        <w:noProof/>
        <w:rtl/>
      </w:rPr>
      <w:t>1</w:t>
    </w:r>
    <w:r>
      <w:rPr>
        <w:noProof/>
      </w:rPr>
      <w:fldChar w:fldCharType="end"/>
    </w:r>
  </w:p>
  <w:p w14:paraId="5D1C397A" w14:textId="77777777" w:rsidR="00C510CB" w:rsidRDefault="00C510C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425249" w14:textId="77777777" w:rsidR="00885651" w:rsidRDefault="00885651" w:rsidP="00BF7D80">
      <w:r>
        <w:separator/>
      </w:r>
    </w:p>
  </w:footnote>
  <w:footnote w:type="continuationSeparator" w:id="0">
    <w:p w14:paraId="01946A6C" w14:textId="77777777" w:rsidR="00885651" w:rsidRDefault="00885651" w:rsidP="00BF7D80">
      <w:r>
        <w:continuationSeparator/>
      </w:r>
    </w:p>
  </w:footnote>
  <w:footnote w:id="1">
    <w:p w14:paraId="63C27B3D" w14:textId="1814EA2C" w:rsidR="00AF637E" w:rsidRPr="004D7549" w:rsidRDefault="00AF637E" w:rsidP="004D7549">
      <w:pPr>
        <w:pStyle w:val="FootnoteText"/>
        <w:rPr>
          <w:rtl/>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206D6"/>
    <w:multiLevelType w:val="hybridMultilevel"/>
    <w:tmpl w:val="DB2490DC"/>
    <w:lvl w:ilvl="0" w:tplc="C5723A06">
      <w:start w:val="1"/>
      <w:numFmt w:val="decimal"/>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0A2991"/>
    <w:multiLevelType w:val="hybridMultilevel"/>
    <w:tmpl w:val="B8F8B3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452AFF"/>
    <w:multiLevelType w:val="hybridMultilevel"/>
    <w:tmpl w:val="670002D6"/>
    <w:lvl w:ilvl="0" w:tplc="C5723A06">
      <w:start w:val="1"/>
      <w:numFmt w:val="decimal"/>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80C"/>
    <w:rsid w:val="00001240"/>
    <w:rsid w:val="000049A4"/>
    <w:rsid w:val="00006C52"/>
    <w:rsid w:val="00011499"/>
    <w:rsid w:val="00014362"/>
    <w:rsid w:val="000219F9"/>
    <w:rsid w:val="00023CE5"/>
    <w:rsid w:val="00025EDE"/>
    <w:rsid w:val="0003429B"/>
    <w:rsid w:val="0004045F"/>
    <w:rsid w:val="00040767"/>
    <w:rsid w:val="00042C5C"/>
    <w:rsid w:val="0004721D"/>
    <w:rsid w:val="00050943"/>
    <w:rsid w:val="000604FE"/>
    <w:rsid w:val="000614E2"/>
    <w:rsid w:val="00061DCF"/>
    <w:rsid w:val="0006529E"/>
    <w:rsid w:val="00065B2B"/>
    <w:rsid w:val="00066734"/>
    <w:rsid w:val="00067608"/>
    <w:rsid w:val="0007121B"/>
    <w:rsid w:val="00074A7C"/>
    <w:rsid w:val="00074B99"/>
    <w:rsid w:val="00075D0A"/>
    <w:rsid w:val="00080239"/>
    <w:rsid w:val="00080DA1"/>
    <w:rsid w:val="0008499F"/>
    <w:rsid w:val="00084A7F"/>
    <w:rsid w:val="00084A8B"/>
    <w:rsid w:val="00092E93"/>
    <w:rsid w:val="00095CF3"/>
    <w:rsid w:val="000A1D8E"/>
    <w:rsid w:val="000A2AEA"/>
    <w:rsid w:val="000A3520"/>
    <w:rsid w:val="000B02B7"/>
    <w:rsid w:val="000B07F3"/>
    <w:rsid w:val="000B2F32"/>
    <w:rsid w:val="000B5CB9"/>
    <w:rsid w:val="000C4FA9"/>
    <w:rsid w:val="000C614F"/>
    <w:rsid w:val="000D0D60"/>
    <w:rsid w:val="000D1770"/>
    <w:rsid w:val="000D4B78"/>
    <w:rsid w:val="000D54F1"/>
    <w:rsid w:val="000D5F27"/>
    <w:rsid w:val="000D64DA"/>
    <w:rsid w:val="000D7175"/>
    <w:rsid w:val="000E3C52"/>
    <w:rsid w:val="000E4A55"/>
    <w:rsid w:val="000E583A"/>
    <w:rsid w:val="000F22D9"/>
    <w:rsid w:val="000F269E"/>
    <w:rsid w:val="000F31BA"/>
    <w:rsid w:val="000F64D3"/>
    <w:rsid w:val="0010550B"/>
    <w:rsid w:val="00115EDB"/>
    <w:rsid w:val="001201D7"/>
    <w:rsid w:val="00121842"/>
    <w:rsid w:val="001219BB"/>
    <w:rsid w:val="00121F4D"/>
    <w:rsid w:val="00127695"/>
    <w:rsid w:val="00127820"/>
    <w:rsid w:val="00127CB7"/>
    <w:rsid w:val="00133EA8"/>
    <w:rsid w:val="00134330"/>
    <w:rsid w:val="00137B50"/>
    <w:rsid w:val="0014328A"/>
    <w:rsid w:val="00146C0F"/>
    <w:rsid w:val="00154CBD"/>
    <w:rsid w:val="001572D8"/>
    <w:rsid w:val="00165047"/>
    <w:rsid w:val="001728F9"/>
    <w:rsid w:val="00173F41"/>
    <w:rsid w:val="00173FA7"/>
    <w:rsid w:val="00173FBD"/>
    <w:rsid w:val="0017412F"/>
    <w:rsid w:val="00176FF2"/>
    <w:rsid w:val="00177003"/>
    <w:rsid w:val="001770DB"/>
    <w:rsid w:val="00180E9D"/>
    <w:rsid w:val="0018566C"/>
    <w:rsid w:val="00185B82"/>
    <w:rsid w:val="001974D4"/>
    <w:rsid w:val="001A0DAB"/>
    <w:rsid w:val="001A4F6B"/>
    <w:rsid w:val="001A604D"/>
    <w:rsid w:val="001A6CE3"/>
    <w:rsid w:val="001B2C55"/>
    <w:rsid w:val="001B2CD1"/>
    <w:rsid w:val="001B7935"/>
    <w:rsid w:val="001C28DE"/>
    <w:rsid w:val="001C2B30"/>
    <w:rsid w:val="001C3BA6"/>
    <w:rsid w:val="001C6527"/>
    <w:rsid w:val="001C7FCF"/>
    <w:rsid w:val="001D26F1"/>
    <w:rsid w:val="001D3FFB"/>
    <w:rsid w:val="001D429C"/>
    <w:rsid w:val="001D5484"/>
    <w:rsid w:val="001E090E"/>
    <w:rsid w:val="001E11B5"/>
    <w:rsid w:val="001E193A"/>
    <w:rsid w:val="001E3CCF"/>
    <w:rsid w:val="001E7548"/>
    <w:rsid w:val="001F1F45"/>
    <w:rsid w:val="001F54E5"/>
    <w:rsid w:val="001F6EDC"/>
    <w:rsid w:val="001F7F56"/>
    <w:rsid w:val="00202AB4"/>
    <w:rsid w:val="00202ACA"/>
    <w:rsid w:val="0021032D"/>
    <w:rsid w:val="0021372D"/>
    <w:rsid w:val="00214EDE"/>
    <w:rsid w:val="002172DD"/>
    <w:rsid w:val="0022170A"/>
    <w:rsid w:val="00230FF7"/>
    <w:rsid w:val="0023501B"/>
    <w:rsid w:val="00237969"/>
    <w:rsid w:val="00237EFC"/>
    <w:rsid w:val="0024095B"/>
    <w:rsid w:val="00240FFF"/>
    <w:rsid w:val="00243373"/>
    <w:rsid w:val="00243B12"/>
    <w:rsid w:val="00244B76"/>
    <w:rsid w:val="00245A0A"/>
    <w:rsid w:val="002469D9"/>
    <w:rsid w:val="00247928"/>
    <w:rsid w:val="00251B52"/>
    <w:rsid w:val="00256B0C"/>
    <w:rsid w:val="0025787B"/>
    <w:rsid w:val="00261568"/>
    <w:rsid w:val="0026698E"/>
    <w:rsid w:val="00272C33"/>
    <w:rsid w:val="002804D4"/>
    <w:rsid w:val="0028216A"/>
    <w:rsid w:val="002850F0"/>
    <w:rsid w:val="002A1565"/>
    <w:rsid w:val="002A404F"/>
    <w:rsid w:val="002A67FD"/>
    <w:rsid w:val="002A797B"/>
    <w:rsid w:val="002B2D6F"/>
    <w:rsid w:val="002B4ACA"/>
    <w:rsid w:val="002B74D4"/>
    <w:rsid w:val="002C09DD"/>
    <w:rsid w:val="002C0A52"/>
    <w:rsid w:val="002C1048"/>
    <w:rsid w:val="002C4C1D"/>
    <w:rsid w:val="002C561F"/>
    <w:rsid w:val="002C62B0"/>
    <w:rsid w:val="002C7AA8"/>
    <w:rsid w:val="002D2C4F"/>
    <w:rsid w:val="002D4067"/>
    <w:rsid w:val="002D47F4"/>
    <w:rsid w:val="002D63EC"/>
    <w:rsid w:val="002D74E6"/>
    <w:rsid w:val="002E04DB"/>
    <w:rsid w:val="002E058A"/>
    <w:rsid w:val="002E0595"/>
    <w:rsid w:val="002E1CDC"/>
    <w:rsid w:val="002E553F"/>
    <w:rsid w:val="002F4368"/>
    <w:rsid w:val="002F6F53"/>
    <w:rsid w:val="00302C69"/>
    <w:rsid w:val="003051AA"/>
    <w:rsid w:val="003062EB"/>
    <w:rsid w:val="003111B4"/>
    <w:rsid w:val="00314254"/>
    <w:rsid w:val="00314400"/>
    <w:rsid w:val="00322770"/>
    <w:rsid w:val="00322863"/>
    <w:rsid w:val="00322C0D"/>
    <w:rsid w:val="00322CC9"/>
    <w:rsid w:val="003232FC"/>
    <w:rsid w:val="00323302"/>
    <w:rsid w:val="0032558A"/>
    <w:rsid w:val="00325D27"/>
    <w:rsid w:val="003309F3"/>
    <w:rsid w:val="00330F9F"/>
    <w:rsid w:val="00330FD0"/>
    <w:rsid w:val="003339D1"/>
    <w:rsid w:val="00337A5F"/>
    <w:rsid w:val="00343CBE"/>
    <w:rsid w:val="00345143"/>
    <w:rsid w:val="00350960"/>
    <w:rsid w:val="00353C9C"/>
    <w:rsid w:val="0036599F"/>
    <w:rsid w:val="00367E89"/>
    <w:rsid w:val="00374B0D"/>
    <w:rsid w:val="003758A1"/>
    <w:rsid w:val="003773FF"/>
    <w:rsid w:val="00383270"/>
    <w:rsid w:val="00384F8D"/>
    <w:rsid w:val="00387111"/>
    <w:rsid w:val="00387C47"/>
    <w:rsid w:val="00391B0D"/>
    <w:rsid w:val="00392EE4"/>
    <w:rsid w:val="003A18DF"/>
    <w:rsid w:val="003A340D"/>
    <w:rsid w:val="003A3C71"/>
    <w:rsid w:val="003A6315"/>
    <w:rsid w:val="003A700F"/>
    <w:rsid w:val="003B2AE5"/>
    <w:rsid w:val="003B372F"/>
    <w:rsid w:val="003B4D27"/>
    <w:rsid w:val="003B7C58"/>
    <w:rsid w:val="003C18EE"/>
    <w:rsid w:val="003C38E1"/>
    <w:rsid w:val="003C594C"/>
    <w:rsid w:val="003D1E65"/>
    <w:rsid w:val="003E0681"/>
    <w:rsid w:val="003E0BF9"/>
    <w:rsid w:val="003E2801"/>
    <w:rsid w:val="003E546D"/>
    <w:rsid w:val="003E67A2"/>
    <w:rsid w:val="003F08F5"/>
    <w:rsid w:val="003F0AA1"/>
    <w:rsid w:val="003F2EC6"/>
    <w:rsid w:val="003F42C1"/>
    <w:rsid w:val="003F5363"/>
    <w:rsid w:val="003F5B8F"/>
    <w:rsid w:val="00401367"/>
    <w:rsid w:val="00403235"/>
    <w:rsid w:val="00403443"/>
    <w:rsid w:val="00403D92"/>
    <w:rsid w:val="004064C6"/>
    <w:rsid w:val="0041058C"/>
    <w:rsid w:val="00412698"/>
    <w:rsid w:val="004130DC"/>
    <w:rsid w:val="00415E64"/>
    <w:rsid w:val="004231AF"/>
    <w:rsid w:val="0042351C"/>
    <w:rsid w:val="00426C79"/>
    <w:rsid w:val="00430C33"/>
    <w:rsid w:val="00435E46"/>
    <w:rsid w:val="00437935"/>
    <w:rsid w:val="00437DEC"/>
    <w:rsid w:val="004413C8"/>
    <w:rsid w:val="00443400"/>
    <w:rsid w:val="00443835"/>
    <w:rsid w:val="00444A5D"/>
    <w:rsid w:val="00444F86"/>
    <w:rsid w:val="00445069"/>
    <w:rsid w:val="0044676E"/>
    <w:rsid w:val="004512DF"/>
    <w:rsid w:val="00455295"/>
    <w:rsid w:val="004562BE"/>
    <w:rsid w:val="00460FC7"/>
    <w:rsid w:val="00462677"/>
    <w:rsid w:val="004626B4"/>
    <w:rsid w:val="00470A15"/>
    <w:rsid w:val="00471282"/>
    <w:rsid w:val="004763BC"/>
    <w:rsid w:val="00476B16"/>
    <w:rsid w:val="00484F1B"/>
    <w:rsid w:val="0048524F"/>
    <w:rsid w:val="00486059"/>
    <w:rsid w:val="00487FE4"/>
    <w:rsid w:val="00493B33"/>
    <w:rsid w:val="004948CB"/>
    <w:rsid w:val="004A1A13"/>
    <w:rsid w:val="004A33CE"/>
    <w:rsid w:val="004B04E8"/>
    <w:rsid w:val="004B07B4"/>
    <w:rsid w:val="004B0E73"/>
    <w:rsid w:val="004B4BE3"/>
    <w:rsid w:val="004C065D"/>
    <w:rsid w:val="004C15B3"/>
    <w:rsid w:val="004C161A"/>
    <w:rsid w:val="004C1BE7"/>
    <w:rsid w:val="004C1C80"/>
    <w:rsid w:val="004D2BD5"/>
    <w:rsid w:val="004D38FD"/>
    <w:rsid w:val="004D3C25"/>
    <w:rsid w:val="004D54B7"/>
    <w:rsid w:val="004D703B"/>
    <w:rsid w:val="004D7549"/>
    <w:rsid w:val="004E0B5D"/>
    <w:rsid w:val="004E16DF"/>
    <w:rsid w:val="004E19BE"/>
    <w:rsid w:val="004E2E76"/>
    <w:rsid w:val="004E6841"/>
    <w:rsid w:val="004F4341"/>
    <w:rsid w:val="004F6F94"/>
    <w:rsid w:val="00500C76"/>
    <w:rsid w:val="005017DB"/>
    <w:rsid w:val="00501901"/>
    <w:rsid w:val="0051286A"/>
    <w:rsid w:val="00514164"/>
    <w:rsid w:val="005153B7"/>
    <w:rsid w:val="005218CF"/>
    <w:rsid w:val="00522A92"/>
    <w:rsid w:val="005247C2"/>
    <w:rsid w:val="00530CAC"/>
    <w:rsid w:val="005324F6"/>
    <w:rsid w:val="00533375"/>
    <w:rsid w:val="00542100"/>
    <w:rsid w:val="00542533"/>
    <w:rsid w:val="00543B83"/>
    <w:rsid w:val="00547529"/>
    <w:rsid w:val="00547806"/>
    <w:rsid w:val="00552E0A"/>
    <w:rsid w:val="00554AE0"/>
    <w:rsid w:val="00555E41"/>
    <w:rsid w:val="00556EB6"/>
    <w:rsid w:val="005624A9"/>
    <w:rsid w:val="00562C02"/>
    <w:rsid w:val="00565896"/>
    <w:rsid w:val="00566C50"/>
    <w:rsid w:val="00573D98"/>
    <w:rsid w:val="005749E7"/>
    <w:rsid w:val="0058181E"/>
    <w:rsid w:val="0059680C"/>
    <w:rsid w:val="005A2DD6"/>
    <w:rsid w:val="005A308A"/>
    <w:rsid w:val="005A3395"/>
    <w:rsid w:val="005A6D9C"/>
    <w:rsid w:val="005B4865"/>
    <w:rsid w:val="005B5E74"/>
    <w:rsid w:val="005C07A5"/>
    <w:rsid w:val="005C0984"/>
    <w:rsid w:val="005C486C"/>
    <w:rsid w:val="005C5173"/>
    <w:rsid w:val="005C6A43"/>
    <w:rsid w:val="005D0405"/>
    <w:rsid w:val="005D0A64"/>
    <w:rsid w:val="005D7771"/>
    <w:rsid w:val="005D7838"/>
    <w:rsid w:val="005E0393"/>
    <w:rsid w:val="005E0A20"/>
    <w:rsid w:val="005E1DBE"/>
    <w:rsid w:val="005E6008"/>
    <w:rsid w:val="005F18D8"/>
    <w:rsid w:val="005F6A79"/>
    <w:rsid w:val="005F6F32"/>
    <w:rsid w:val="005F7429"/>
    <w:rsid w:val="00602BD6"/>
    <w:rsid w:val="00603A90"/>
    <w:rsid w:val="006050D5"/>
    <w:rsid w:val="00605A82"/>
    <w:rsid w:val="00613607"/>
    <w:rsid w:val="00613DA3"/>
    <w:rsid w:val="00617543"/>
    <w:rsid w:val="00620A94"/>
    <w:rsid w:val="00623BB2"/>
    <w:rsid w:val="00627CD6"/>
    <w:rsid w:val="0063104A"/>
    <w:rsid w:val="00633347"/>
    <w:rsid w:val="00634285"/>
    <w:rsid w:val="006345D2"/>
    <w:rsid w:val="00634E4B"/>
    <w:rsid w:val="00637C2F"/>
    <w:rsid w:val="00642A57"/>
    <w:rsid w:val="00642A68"/>
    <w:rsid w:val="00644821"/>
    <w:rsid w:val="006458FC"/>
    <w:rsid w:val="006461C9"/>
    <w:rsid w:val="00651A66"/>
    <w:rsid w:val="00652600"/>
    <w:rsid w:val="00655AD7"/>
    <w:rsid w:val="00657380"/>
    <w:rsid w:val="0066306A"/>
    <w:rsid w:val="006759DF"/>
    <w:rsid w:val="00680F55"/>
    <w:rsid w:val="0068147D"/>
    <w:rsid w:val="006827DE"/>
    <w:rsid w:val="006843A6"/>
    <w:rsid w:val="00685BD0"/>
    <w:rsid w:val="00691F01"/>
    <w:rsid w:val="006926B0"/>
    <w:rsid w:val="006962F1"/>
    <w:rsid w:val="006967DA"/>
    <w:rsid w:val="006972C9"/>
    <w:rsid w:val="00697F84"/>
    <w:rsid w:val="006A09A2"/>
    <w:rsid w:val="006A0D47"/>
    <w:rsid w:val="006A1FD7"/>
    <w:rsid w:val="006A3208"/>
    <w:rsid w:val="006A7AC5"/>
    <w:rsid w:val="006B0F87"/>
    <w:rsid w:val="006B1749"/>
    <w:rsid w:val="006B4B1D"/>
    <w:rsid w:val="006C283D"/>
    <w:rsid w:val="006C585D"/>
    <w:rsid w:val="006C64E8"/>
    <w:rsid w:val="006C7DBE"/>
    <w:rsid w:val="006D307B"/>
    <w:rsid w:val="006D364E"/>
    <w:rsid w:val="006D3841"/>
    <w:rsid w:val="006D4037"/>
    <w:rsid w:val="006D5AB3"/>
    <w:rsid w:val="006D5CBD"/>
    <w:rsid w:val="006D607D"/>
    <w:rsid w:val="006D7EEA"/>
    <w:rsid w:val="006E4836"/>
    <w:rsid w:val="006E7F9D"/>
    <w:rsid w:val="006F1277"/>
    <w:rsid w:val="006F3ACE"/>
    <w:rsid w:val="006F49D8"/>
    <w:rsid w:val="006F4CDB"/>
    <w:rsid w:val="006F77BE"/>
    <w:rsid w:val="007057C4"/>
    <w:rsid w:val="00713444"/>
    <w:rsid w:val="00715189"/>
    <w:rsid w:val="00715447"/>
    <w:rsid w:val="00715779"/>
    <w:rsid w:val="007165E7"/>
    <w:rsid w:val="00722EBC"/>
    <w:rsid w:val="00743E43"/>
    <w:rsid w:val="0074477D"/>
    <w:rsid w:val="0074723F"/>
    <w:rsid w:val="00747551"/>
    <w:rsid w:val="00755D2E"/>
    <w:rsid w:val="007567C0"/>
    <w:rsid w:val="00765AA1"/>
    <w:rsid w:val="0076631F"/>
    <w:rsid w:val="00771038"/>
    <w:rsid w:val="007715F9"/>
    <w:rsid w:val="00775B10"/>
    <w:rsid w:val="00783787"/>
    <w:rsid w:val="00784870"/>
    <w:rsid w:val="0078749F"/>
    <w:rsid w:val="007903F9"/>
    <w:rsid w:val="00792BDF"/>
    <w:rsid w:val="00797B9A"/>
    <w:rsid w:val="007A0EA3"/>
    <w:rsid w:val="007A1E6B"/>
    <w:rsid w:val="007A2CDE"/>
    <w:rsid w:val="007A53B3"/>
    <w:rsid w:val="007B0DF4"/>
    <w:rsid w:val="007B68C8"/>
    <w:rsid w:val="007B73DD"/>
    <w:rsid w:val="007C0125"/>
    <w:rsid w:val="007C0D3E"/>
    <w:rsid w:val="007C2DE7"/>
    <w:rsid w:val="007D361E"/>
    <w:rsid w:val="007D57C8"/>
    <w:rsid w:val="007D5B30"/>
    <w:rsid w:val="007D6083"/>
    <w:rsid w:val="007E0782"/>
    <w:rsid w:val="007E2610"/>
    <w:rsid w:val="007E5239"/>
    <w:rsid w:val="007F4B7B"/>
    <w:rsid w:val="007F65C7"/>
    <w:rsid w:val="00821992"/>
    <w:rsid w:val="00826F22"/>
    <w:rsid w:val="00827DC9"/>
    <w:rsid w:val="00830CA0"/>
    <w:rsid w:val="00833354"/>
    <w:rsid w:val="008341AF"/>
    <w:rsid w:val="00835491"/>
    <w:rsid w:val="0084122E"/>
    <w:rsid w:val="00845F59"/>
    <w:rsid w:val="00847F60"/>
    <w:rsid w:val="0085112C"/>
    <w:rsid w:val="008512C3"/>
    <w:rsid w:val="00852BBC"/>
    <w:rsid w:val="008637C5"/>
    <w:rsid w:val="00865E8D"/>
    <w:rsid w:val="00873738"/>
    <w:rsid w:val="00873EBF"/>
    <w:rsid w:val="00882F61"/>
    <w:rsid w:val="0088302F"/>
    <w:rsid w:val="00885651"/>
    <w:rsid w:val="00891782"/>
    <w:rsid w:val="008927D3"/>
    <w:rsid w:val="008A1C6C"/>
    <w:rsid w:val="008A269F"/>
    <w:rsid w:val="008A2733"/>
    <w:rsid w:val="008A33DC"/>
    <w:rsid w:val="008A6FB7"/>
    <w:rsid w:val="008B10FC"/>
    <w:rsid w:val="008B2166"/>
    <w:rsid w:val="008B32DD"/>
    <w:rsid w:val="008B4FE0"/>
    <w:rsid w:val="008B5569"/>
    <w:rsid w:val="008C123B"/>
    <w:rsid w:val="008C352E"/>
    <w:rsid w:val="008D189D"/>
    <w:rsid w:val="008D38C8"/>
    <w:rsid w:val="008D4892"/>
    <w:rsid w:val="008D4B66"/>
    <w:rsid w:val="008D60AC"/>
    <w:rsid w:val="008E117C"/>
    <w:rsid w:val="008E3AB7"/>
    <w:rsid w:val="008E5233"/>
    <w:rsid w:val="008E639F"/>
    <w:rsid w:val="008E7BAE"/>
    <w:rsid w:val="008F021C"/>
    <w:rsid w:val="008F3C69"/>
    <w:rsid w:val="008F44EB"/>
    <w:rsid w:val="009035F9"/>
    <w:rsid w:val="009046AB"/>
    <w:rsid w:val="00905EB5"/>
    <w:rsid w:val="00906FEC"/>
    <w:rsid w:val="00911A0E"/>
    <w:rsid w:val="00915A78"/>
    <w:rsid w:val="0092012D"/>
    <w:rsid w:val="00920E5C"/>
    <w:rsid w:val="00921A79"/>
    <w:rsid w:val="00924163"/>
    <w:rsid w:val="0092544E"/>
    <w:rsid w:val="009265E4"/>
    <w:rsid w:val="00930E74"/>
    <w:rsid w:val="009330B4"/>
    <w:rsid w:val="00933872"/>
    <w:rsid w:val="00935F73"/>
    <w:rsid w:val="0094629E"/>
    <w:rsid w:val="00947118"/>
    <w:rsid w:val="00947CF9"/>
    <w:rsid w:val="00953C7E"/>
    <w:rsid w:val="0095420E"/>
    <w:rsid w:val="0095442E"/>
    <w:rsid w:val="00960382"/>
    <w:rsid w:val="00962F07"/>
    <w:rsid w:val="009641AC"/>
    <w:rsid w:val="009642F9"/>
    <w:rsid w:val="00970B81"/>
    <w:rsid w:val="009720A6"/>
    <w:rsid w:val="00973ED3"/>
    <w:rsid w:val="009753DD"/>
    <w:rsid w:val="00975533"/>
    <w:rsid w:val="00981A5B"/>
    <w:rsid w:val="00986C77"/>
    <w:rsid w:val="00990F86"/>
    <w:rsid w:val="0099464B"/>
    <w:rsid w:val="009965ED"/>
    <w:rsid w:val="009A15DD"/>
    <w:rsid w:val="009A1AFE"/>
    <w:rsid w:val="009A2448"/>
    <w:rsid w:val="009A3FE7"/>
    <w:rsid w:val="009A517E"/>
    <w:rsid w:val="009A6BA9"/>
    <w:rsid w:val="009A76AF"/>
    <w:rsid w:val="009B4CD9"/>
    <w:rsid w:val="009B6550"/>
    <w:rsid w:val="009B729D"/>
    <w:rsid w:val="009C30E7"/>
    <w:rsid w:val="009C35F5"/>
    <w:rsid w:val="009C7B05"/>
    <w:rsid w:val="009D0E37"/>
    <w:rsid w:val="009D3A6F"/>
    <w:rsid w:val="009D4FCF"/>
    <w:rsid w:val="009E283B"/>
    <w:rsid w:val="009E335D"/>
    <w:rsid w:val="009E3871"/>
    <w:rsid w:val="009F011F"/>
    <w:rsid w:val="009F2385"/>
    <w:rsid w:val="009F2ED9"/>
    <w:rsid w:val="009F6925"/>
    <w:rsid w:val="009F7B9D"/>
    <w:rsid w:val="00A02264"/>
    <w:rsid w:val="00A04047"/>
    <w:rsid w:val="00A0473D"/>
    <w:rsid w:val="00A063F4"/>
    <w:rsid w:val="00A075FF"/>
    <w:rsid w:val="00A125BA"/>
    <w:rsid w:val="00A1292D"/>
    <w:rsid w:val="00A1453C"/>
    <w:rsid w:val="00A14BEE"/>
    <w:rsid w:val="00A2015B"/>
    <w:rsid w:val="00A21E0C"/>
    <w:rsid w:val="00A26202"/>
    <w:rsid w:val="00A26258"/>
    <w:rsid w:val="00A3474D"/>
    <w:rsid w:val="00A34DBC"/>
    <w:rsid w:val="00A40F63"/>
    <w:rsid w:val="00A41229"/>
    <w:rsid w:val="00A436DF"/>
    <w:rsid w:val="00A450A8"/>
    <w:rsid w:val="00A47877"/>
    <w:rsid w:val="00A478A3"/>
    <w:rsid w:val="00A47AA2"/>
    <w:rsid w:val="00A52958"/>
    <w:rsid w:val="00A60EF7"/>
    <w:rsid w:val="00A618F3"/>
    <w:rsid w:val="00A624E3"/>
    <w:rsid w:val="00A676C7"/>
    <w:rsid w:val="00A70008"/>
    <w:rsid w:val="00A72BB8"/>
    <w:rsid w:val="00A7352C"/>
    <w:rsid w:val="00A744D2"/>
    <w:rsid w:val="00A751B5"/>
    <w:rsid w:val="00A82A85"/>
    <w:rsid w:val="00A84403"/>
    <w:rsid w:val="00A90F58"/>
    <w:rsid w:val="00A92E3F"/>
    <w:rsid w:val="00A92EFE"/>
    <w:rsid w:val="00AA4324"/>
    <w:rsid w:val="00AA4F16"/>
    <w:rsid w:val="00AA651D"/>
    <w:rsid w:val="00AB496E"/>
    <w:rsid w:val="00AB72F2"/>
    <w:rsid w:val="00AC1353"/>
    <w:rsid w:val="00AC21FC"/>
    <w:rsid w:val="00AC3B6D"/>
    <w:rsid w:val="00AD1C29"/>
    <w:rsid w:val="00AD2F63"/>
    <w:rsid w:val="00AD7F35"/>
    <w:rsid w:val="00AE1973"/>
    <w:rsid w:val="00AE29DE"/>
    <w:rsid w:val="00AF00A0"/>
    <w:rsid w:val="00AF2BDD"/>
    <w:rsid w:val="00AF637E"/>
    <w:rsid w:val="00AF7760"/>
    <w:rsid w:val="00B0037C"/>
    <w:rsid w:val="00B00432"/>
    <w:rsid w:val="00B00CCE"/>
    <w:rsid w:val="00B01A81"/>
    <w:rsid w:val="00B02598"/>
    <w:rsid w:val="00B04DC2"/>
    <w:rsid w:val="00B0626F"/>
    <w:rsid w:val="00B125C8"/>
    <w:rsid w:val="00B1396B"/>
    <w:rsid w:val="00B239DE"/>
    <w:rsid w:val="00B25CD2"/>
    <w:rsid w:val="00B26D6A"/>
    <w:rsid w:val="00B3166E"/>
    <w:rsid w:val="00B318F8"/>
    <w:rsid w:val="00B32096"/>
    <w:rsid w:val="00B37200"/>
    <w:rsid w:val="00B40187"/>
    <w:rsid w:val="00B43AFF"/>
    <w:rsid w:val="00B47E8E"/>
    <w:rsid w:val="00B5078B"/>
    <w:rsid w:val="00B51011"/>
    <w:rsid w:val="00B5121F"/>
    <w:rsid w:val="00B55A32"/>
    <w:rsid w:val="00B55C16"/>
    <w:rsid w:val="00B55EB5"/>
    <w:rsid w:val="00B650A5"/>
    <w:rsid w:val="00B66AF7"/>
    <w:rsid w:val="00B66CC7"/>
    <w:rsid w:val="00B703CB"/>
    <w:rsid w:val="00B70547"/>
    <w:rsid w:val="00B7410C"/>
    <w:rsid w:val="00B752C3"/>
    <w:rsid w:val="00B76B9D"/>
    <w:rsid w:val="00B7721C"/>
    <w:rsid w:val="00B77566"/>
    <w:rsid w:val="00B775C4"/>
    <w:rsid w:val="00B840BB"/>
    <w:rsid w:val="00B871EE"/>
    <w:rsid w:val="00B926E2"/>
    <w:rsid w:val="00B92BCC"/>
    <w:rsid w:val="00B942E0"/>
    <w:rsid w:val="00B95BC4"/>
    <w:rsid w:val="00B973DC"/>
    <w:rsid w:val="00BA02D4"/>
    <w:rsid w:val="00BA072D"/>
    <w:rsid w:val="00BA25FF"/>
    <w:rsid w:val="00BA721B"/>
    <w:rsid w:val="00BB0DBB"/>
    <w:rsid w:val="00BB246F"/>
    <w:rsid w:val="00BB5BB1"/>
    <w:rsid w:val="00BC0FD4"/>
    <w:rsid w:val="00BC1FB8"/>
    <w:rsid w:val="00BC428F"/>
    <w:rsid w:val="00BC5775"/>
    <w:rsid w:val="00BC701E"/>
    <w:rsid w:val="00BD0247"/>
    <w:rsid w:val="00BD2C9F"/>
    <w:rsid w:val="00BD51D0"/>
    <w:rsid w:val="00BD56D1"/>
    <w:rsid w:val="00BD6515"/>
    <w:rsid w:val="00BD6FB4"/>
    <w:rsid w:val="00BD7A55"/>
    <w:rsid w:val="00BE4479"/>
    <w:rsid w:val="00BE450D"/>
    <w:rsid w:val="00BE4FF1"/>
    <w:rsid w:val="00BE5B3D"/>
    <w:rsid w:val="00BF269C"/>
    <w:rsid w:val="00BF41D0"/>
    <w:rsid w:val="00BF5319"/>
    <w:rsid w:val="00BF7D80"/>
    <w:rsid w:val="00C03CD6"/>
    <w:rsid w:val="00C04967"/>
    <w:rsid w:val="00C04C54"/>
    <w:rsid w:val="00C051FF"/>
    <w:rsid w:val="00C0553E"/>
    <w:rsid w:val="00C076E7"/>
    <w:rsid w:val="00C077B9"/>
    <w:rsid w:val="00C079F3"/>
    <w:rsid w:val="00C12398"/>
    <w:rsid w:val="00C24D41"/>
    <w:rsid w:val="00C24E8F"/>
    <w:rsid w:val="00C304F7"/>
    <w:rsid w:val="00C3521F"/>
    <w:rsid w:val="00C35F90"/>
    <w:rsid w:val="00C36FB3"/>
    <w:rsid w:val="00C37070"/>
    <w:rsid w:val="00C40747"/>
    <w:rsid w:val="00C42551"/>
    <w:rsid w:val="00C446EF"/>
    <w:rsid w:val="00C510CB"/>
    <w:rsid w:val="00C52E59"/>
    <w:rsid w:val="00C54AE2"/>
    <w:rsid w:val="00C561A1"/>
    <w:rsid w:val="00C6171E"/>
    <w:rsid w:val="00C63223"/>
    <w:rsid w:val="00C67201"/>
    <w:rsid w:val="00C67CA6"/>
    <w:rsid w:val="00C71B30"/>
    <w:rsid w:val="00C72C58"/>
    <w:rsid w:val="00C74290"/>
    <w:rsid w:val="00C775DB"/>
    <w:rsid w:val="00C82DDA"/>
    <w:rsid w:val="00C83601"/>
    <w:rsid w:val="00C850A7"/>
    <w:rsid w:val="00C87412"/>
    <w:rsid w:val="00C907D3"/>
    <w:rsid w:val="00C934EB"/>
    <w:rsid w:val="00C93D87"/>
    <w:rsid w:val="00C95C4B"/>
    <w:rsid w:val="00C97448"/>
    <w:rsid w:val="00C97F6A"/>
    <w:rsid w:val="00CA03A3"/>
    <w:rsid w:val="00CA3D89"/>
    <w:rsid w:val="00CA7B00"/>
    <w:rsid w:val="00CA7CA6"/>
    <w:rsid w:val="00CB6C2A"/>
    <w:rsid w:val="00CB6F0A"/>
    <w:rsid w:val="00CB762E"/>
    <w:rsid w:val="00CC323B"/>
    <w:rsid w:val="00CC438F"/>
    <w:rsid w:val="00CC5BFB"/>
    <w:rsid w:val="00CD49E7"/>
    <w:rsid w:val="00CD6396"/>
    <w:rsid w:val="00CE04CD"/>
    <w:rsid w:val="00CE1960"/>
    <w:rsid w:val="00CE1D09"/>
    <w:rsid w:val="00CE3537"/>
    <w:rsid w:val="00CE39B2"/>
    <w:rsid w:val="00CF1B43"/>
    <w:rsid w:val="00CF1CAE"/>
    <w:rsid w:val="00D0695E"/>
    <w:rsid w:val="00D11E92"/>
    <w:rsid w:val="00D13B51"/>
    <w:rsid w:val="00D150BF"/>
    <w:rsid w:val="00D157EC"/>
    <w:rsid w:val="00D16CA4"/>
    <w:rsid w:val="00D17597"/>
    <w:rsid w:val="00D244D0"/>
    <w:rsid w:val="00D259B0"/>
    <w:rsid w:val="00D26814"/>
    <w:rsid w:val="00D3231B"/>
    <w:rsid w:val="00D3775C"/>
    <w:rsid w:val="00D377EC"/>
    <w:rsid w:val="00D40FF7"/>
    <w:rsid w:val="00D47E4A"/>
    <w:rsid w:val="00D5036E"/>
    <w:rsid w:val="00D51923"/>
    <w:rsid w:val="00D55AC2"/>
    <w:rsid w:val="00D561BE"/>
    <w:rsid w:val="00D564BE"/>
    <w:rsid w:val="00D62D9B"/>
    <w:rsid w:val="00D701A7"/>
    <w:rsid w:val="00D70D25"/>
    <w:rsid w:val="00D735DA"/>
    <w:rsid w:val="00D83119"/>
    <w:rsid w:val="00D84DE1"/>
    <w:rsid w:val="00D94838"/>
    <w:rsid w:val="00D95FB1"/>
    <w:rsid w:val="00D97652"/>
    <w:rsid w:val="00DA1107"/>
    <w:rsid w:val="00DA53FC"/>
    <w:rsid w:val="00DA769E"/>
    <w:rsid w:val="00DA7777"/>
    <w:rsid w:val="00DB04D2"/>
    <w:rsid w:val="00DB21A3"/>
    <w:rsid w:val="00DB2260"/>
    <w:rsid w:val="00DC602C"/>
    <w:rsid w:val="00DC6FBE"/>
    <w:rsid w:val="00DD0431"/>
    <w:rsid w:val="00DD13D5"/>
    <w:rsid w:val="00DD33BF"/>
    <w:rsid w:val="00DD4090"/>
    <w:rsid w:val="00DE27A9"/>
    <w:rsid w:val="00DE31B9"/>
    <w:rsid w:val="00DE466C"/>
    <w:rsid w:val="00DF765E"/>
    <w:rsid w:val="00E0062F"/>
    <w:rsid w:val="00E02128"/>
    <w:rsid w:val="00E03EE8"/>
    <w:rsid w:val="00E11A5E"/>
    <w:rsid w:val="00E13900"/>
    <w:rsid w:val="00E17646"/>
    <w:rsid w:val="00E17916"/>
    <w:rsid w:val="00E20368"/>
    <w:rsid w:val="00E25F05"/>
    <w:rsid w:val="00E260FE"/>
    <w:rsid w:val="00E27E36"/>
    <w:rsid w:val="00E30122"/>
    <w:rsid w:val="00E371F4"/>
    <w:rsid w:val="00E37C60"/>
    <w:rsid w:val="00E40E38"/>
    <w:rsid w:val="00E439A1"/>
    <w:rsid w:val="00E45414"/>
    <w:rsid w:val="00E5106B"/>
    <w:rsid w:val="00E532A7"/>
    <w:rsid w:val="00E61E79"/>
    <w:rsid w:val="00E63626"/>
    <w:rsid w:val="00E656EB"/>
    <w:rsid w:val="00E672E7"/>
    <w:rsid w:val="00E675B7"/>
    <w:rsid w:val="00E70B93"/>
    <w:rsid w:val="00E73211"/>
    <w:rsid w:val="00E76E4F"/>
    <w:rsid w:val="00E77D51"/>
    <w:rsid w:val="00E84CE2"/>
    <w:rsid w:val="00E86D56"/>
    <w:rsid w:val="00E86E6E"/>
    <w:rsid w:val="00E90F52"/>
    <w:rsid w:val="00E942A5"/>
    <w:rsid w:val="00E954C0"/>
    <w:rsid w:val="00E95620"/>
    <w:rsid w:val="00EA11F7"/>
    <w:rsid w:val="00EA1EAE"/>
    <w:rsid w:val="00EA29E1"/>
    <w:rsid w:val="00EA49D7"/>
    <w:rsid w:val="00EA5B1B"/>
    <w:rsid w:val="00EA5E21"/>
    <w:rsid w:val="00EA7382"/>
    <w:rsid w:val="00EB3478"/>
    <w:rsid w:val="00EC0353"/>
    <w:rsid w:val="00EC0604"/>
    <w:rsid w:val="00EC083D"/>
    <w:rsid w:val="00EC169B"/>
    <w:rsid w:val="00EC5B4C"/>
    <w:rsid w:val="00EC63BD"/>
    <w:rsid w:val="00EC6817"/>
    <w:rsid w:val="00ED0B0A"/>
    <w:rsid w:val="00ED195D"/>
    <w:rsid w:val="00ED27DE"/>
    <w:rsid w:val="00ED28EF"/>
    <w:rsid w:val="00ED37C1"/>
    <w:rsid w:val="00ED4359"/>
    <w:rsid w:val="00ED7076"/>
    <w:rsid w:val="00EE15B8"/>
    <w:rsid w:val="00EE2587"/>
    <w:rsid w:val="00EE59DC"/>
    <w:rsid w:val="00EF00E0"/>
    <w:rsid w:val="00EF149C"/>
    <w:rsid w:val="00EF168B"/>
    <w:rsid w:val="00EF1A9A"/>
    <w:rsid w:val="00EF373F"/>
    <w:rsid w:val="00EF5D2F"/>
    <w:rsid w:val="00EF74C7"/>
    <w:rsid w:val="00F004BC"/>
    <w:rsid w:val="00F029AB"/>
    <w:rsid w:val="00F0377A"/>
    <w:rsid w:val="00F04AFD"/>
    <w:rsid w:val="00F12ED4"/>
    <w:rsid w:val="00F141D2"/>
    <w:rsid w:val="00F150F2"/>
    <w:rsid w:val="00F24B58"/>
    <w:rsid w:val="00F269D9"/>
    <w:rsid w:val="00F42EC7"/>
    <w:rsid w:val="00F463FF"/>
    <w:rsid w:val="00F47A7D"/>
    <w:rsid w:val="00F51F87"/>
    <w:rsid w:val="00F61376"/>
    <w:rsid w:val="00F61D43"/>
    <w:rsid w:val="00F653F5"/>
    <w:rsid w:val="00F65E52"/>
    <w:rsid w:val="00F71E9F"/>
    <w:rsid w:val="00F74D20"/>
    <w:rsid w:val="00F75158"/>
    <w:rsid w:val="00F761AB"/>
    <w:rsid w:val="00F77D4B"/>
    <w:rsid w:val="00F83098"/>
    <w:rsid w:val="00F85047"/>
    <w:rsid w:val="00F861F3"/>
    <w:rsid w:val="00F87895"/>
    <w:rsid w:val="00F918D9"/>
    <w:rsid w:val="00F920D4"/>
    <w:rsid w:val="00FA2ECD"/>
    <w:rsid w:val="00FA3FF5"/>
    <w:rsid w:val="00FA6718"/>
    <w:rsid w:val="00FB1853"/>
    <w:rsid w:val="00FC0350"/>
    <w:rsid w:val="00FC11DE"/>
    <w:rsid w:val="00FC26FA"/>
    <w:rsid w:val="00FD0CE6"/>
    <w:rsid w:val="00FE1C12"/>
    <w:rsid w:val="00FE4D6D"/>
    <w:rsid w:val="00FE63D3"/>
    <w:rsid w:val="00FE67C3"/>
    <w:rsid w:val="00FF1250"/>
    <w:rsid w:val="00FF7161"/>
    <w:rsid w:val="00FF7498"/>
    <w:rsid w:val="00FF78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C6AC80"/>
  <w15:docId w15:val="{7BA04C85-F007-4C91-B390-1230D26D1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7B05"/>
    <w:pPr>
      <w:bidi/>
    </w:pPr>
    <w:rPr>
      <w:sz w:val="24"/>
      <w:szCs w:val="24"/>
      <w:lang w:eastAsia="ar-SA"/>
    </w:rPr>
  </w:style>
  <w:style w:type="paragraph" w:styleId="Heading1">
    <w:name w:val="heading 1"/>
    <w:basedOn w:val="Normal"/>
    <w:next w:val="Normal"/>
    <w:link w:val="Heading1Char"/>
    <w:qFormat/>
    <w:rsid w:val="002E553F"/>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9C7B05"/>
    <w:pPr>
      <w:bidi w:val="0"/>
      <w:ind w:left="-900"/>
      <w:jc w:val="lowKashida"/>
    </w:pPr>
  </w:style>
  <w:style w:type="paragraph" w:styleId="BodyTextIndent2">
    <w:name w:val="Body Text Indent 2"/>
    <w:basedOn w:val="Normal"/>
    <w:link w:val="BodyTextIndent2Char"/>
    <w:rsid w:val="009C7B05"/>
    <w:pPr>
      <w:bidi w:val="0"/>
      <w:ind w:left="-900"/>
    </w:pPr>
  </w:style>
  <w:style w:type="character" w:customStyle="1" w:styleId="longtext">
    <w:name w:val="long_text"/>
    <w:basedOn w:val="DefaultParagraphFont"/>
    <w:rsid w:val="006F1277"/>
  </w:style>
  <w:style w:type="character" w:customStyle="1" w:styleId="shorttext">
    <w:name w:val="short_text"/>
    <w:basedOn w:val="DefaultParagraphFont"/>
    <w:rsid w:val="0041058C"/>
  </w:style>
  <w:style w:type="paragraph" w:styleId="BalloonText">
    <w:name w:val="Balloon Text"/>
    <w:basedOn w:val="Normal"/>
    <w:link w:val="BalloonTextChar"/>
    <w:rsid w:val="00930E74"/>
    <w:rPr>
      <w:rFonts w:ascii="Tahoma" w:hAnsi="Tahoma"/>
      <w:sz w:val="16"/>
      <w:szCs w:val="16"/>
    </w:rPr>
  </w:style>
  <w:style w:type="character" w:customStyle="1" w:styleId="BalloonTextChar">
    <w:name w:val="Balloon Text Char"/>
    <w:link w:val="BalloonText"/>
    <w:rsid w:val="00930E74"/>
    <w:rPr>
      <w:rFonts w:ascii="Tahoma" w:hAnsi="Tahoma" w:cs="Tahoma"/>
      <w:sz w:val="16"/>
      <w:szCs w:val="16"/>
      <w:lang w:eastAsia="ar-SA"/>
    </w:rPr>
  </w:style>
  <w:style w:type="character" w:styleId="Hyperlink">
    <w:name w:val="Hyperlink"/>
    <w:rsid w:val="003A3C71"/>
    <w:rPr>
      <w:strike w:val="0"/>
      <w:dstrike w:val="0"/>
      <w:color w:val="000080"/>
      <w:sz w:val="21"/>
      <w:szCs w:val="21"/>
      <w:u w:val="none"/>
      <w:effect w:val="none"/>
    </w:rPr>
  </w:style>
  <w:style w:type="character" w:customStyle="1" w:styleId="hps">
    <w:name w:val="hps"/>
    <w:basedOn w:val="DefaultParagraphFont"/>
    <w:rsid w:val="003A3C71"/>
  </w:style>
  <w:style w:type="character" w:customStyle="1" w:styleId="BodyTextIndentChar">
    <w:name w:val="Body Text Indent Char"/>
    <w:link w:val="BodyTextIndent"/>
    <w:rsid w:val="00C850A7"/>
    <w:rPr>
      <w:sz w:val="24"/>
      <w:szCs w:val="24"/>
      <w:lang w:eastAsia="ar-SA"/>
    </w:rPr>
  </w:style>
  <w:style w:type="table" w:styleId="TableGrid">
    <w:name w:val="Table Grid"/>
    <w:basedOn w:val="TableNormal"/>
    <w:uiPriority w:val="59"/>
    <w:rsid w:val="000D71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F7D80"/>
    <w:pPr>
      <w:tabs>
        <w:tab w:val="center" w:pos="4153"/>
        <w:tab w:val="right" w:pos="8306"/>
      </w:tabs>
    </w:pPr>
  </w:style>
  <w:style w:type="character" w:customStyle="1" w:styleId="HeaderChar">
    <w:name w:val="Header Char"/>
    <w:link w:val="Header"/>
    <w:rsid w:val="00BF7D80"/>
    <w:rPr>
      <w:sz w:val="24"/>
      <w:szCs w:val="24"/>
      <w:lang w:eastAsia="ar-SA"/>
    </w:rPr>
  </w:style>
  <w:style w:type="paragraph" w:styleId="Footer">
    <w:name w:val="footer"/>
    <w:basedOn w:val="Normal"/>
    <w:link w:val="FooterChar"/>
    <w:uiPriority w:val="99"/>
    <w:rsid w:val="00BF7D80"/>
    <w:pPr>
      <w:tabs>
        <w:tab w:val="center" w:pos="4153"/>
        <w:tab w:val="right" w:pos="8306"/>
      </w:tabs>
    </w:pPr>
  </w:style>
  <w:style w:type="character" w:customStyle="1" w:styleId="FooterChar">
    <w:name w:val="Footer Char"/>
    <w:link w:val="Footer"/>
    <w:uiPriority w:val="99"/>
    <w:rsid w:val="00BF7D80"/>
    <w:rPr>
      <w:sz w:val="24"/>
      <w:szCs w:val="24"/>
      <w:lang w:eastAsia="ar-SA"/>
    </w:rPr>
  </w:style>
  <w:style w:type="character" w:styleId="CommentReference">
    <w:name w:val="annotation reference"/>
    <w:rsid w:val="00237EFC"/>
    <w:rPr>
      <w:sz w:val="16"/>
      <w:szCs w:val="16"/>
    </w:rPr>
  </w:style>
  <w:style w:type="paragraph" w:styleId="CommentText">
    <w:name w:val="annotation text"/>
    <w:basedOn w:val="Normal"/>
    <w:link w:val="CommentTextChar"/>
    <w:rsid w:val="00237EFC"/>
    <w:rPr>
      <w:sz w:val="20"/>
      <w:szCs w:val="20"/>
    </w:rPr>
  </w:style>
  <w:style w:type="character" w:customStyle="1" w:styleId="CommentTextChar">
    <w:name w:val="Comment Text Char"/>
    <w:link w:val="CommentText"/>
    <w:rsid w:val="00237EFC"/>
    <w:rPr>
      <w:lang w:val="en-US" w:eastAsia="ar-SA"/>
    </w:rPr>
  </w:style>
  <w:style w:type="paragraph" w:styleId="CommentSubject">
    <w:name w:val="annotation subject"/>
    <w:basedOn w:val="CommentText"/>
    <w:next w:val="CommentText"/>
    <w:link w:val="CommentSubjectChar"/>
    <w:rsid w:val="00237EFC"/>
    <w:rPr>
      <w:b/>
      <w:bCs/>
    </w:rPr>
  </w:style>
  <w:style w:type="character" w:customStyle="1" w:styleId="CommentSubjectChar">
    <w:name w:val="Comment Subject Char"/>
    <w:link w:val="CommentSubject"/>
    <w:rsid w:val="00237EFC"/>
    <w:rPr>
      <w:b/>
      <w:bCs/>
      <w:lang w:val="en-US" w:eastAsia="ar-SA"/>
    </w:rPr>
  </w:style>
  <w:style w:type="paragraph" w:styleId="Revision">
    <w:name w:val="Revision"/>
    <w:hidden/>
    <w:uiPriority w:val="99"/>
    <w:semiHidden/>
    <w:rsid w:val="00237EFC"/>
    <w:rPr>
      <w:sz w:val="24"/>
      <w:szCs w:val="24"/>
      <w:lang w:eastAsia="ar-SA"/>
    </w:rPr>
  </w:style>
  <w:style w:type="character" w:customStyle="1" w:styleId="Heading1Char">
    <w:name w:val="Heading 1 Char"/>
    <w:basedOn w:val="DefaultParagraphFont"/>
    <w:link w:val="Heading1"/>
    <w:rsid w:val="002E553F"/>
    <w:rPr>
      <w:rFonts w:ascii="Cambria" w:eastAsia="Times New Roman" w:hAnsi="Cambria" w:cs="Times New Roman"/>
      <w:b/>
      <w:bCs/>
      <w:kern w:val="32"/>
      <w:sz w:val="32"/>
      <w:szCs w:val="32"/>
      <w:lang w:eastAsia="ar-SA"/>
    </w:rPr>
  </w:style>
  <w:style w:type="character" w:customStyle="1" w:styleId="BodyTextIndent2Char">
    <w:name w:val="Body Text Indent 2 Char"/>
    <w:basedOn w:val="DefaultParagraphFont"/>
    <w:link w:val="BodyTextIndent2"/>
    <w:rsid w:val="00EA5B1B"/>
    <w:rPr>
      <w:sz w:val="24"/>
      <w:szCs w:val="24"/>
      <w:lang w:eastAsia="ar-SA"/>
    </w:rPr>
  </w:style>
  <w:style w:type="character" w:customStyle="1" w:styleId="alt-edited1">
    <w:name w:val="alt-edited1"/>
    <w:basedOn w:val="DefaultParagraphFont"/>
    <w:rsid w:val="00680F55"/>
    <w:rPr>
      <w:color w:val="4D90F0"/>
    </w:rPr>
  </w:style>
  <w:style w:type="paragraph" w:styleId="ListParagraph">
    <w:name w:val="List Paragraph"/>
    <w:basedOn w:val="Normal"/>
    <w:uiPriority w:val="34"/>
    <w:qFormat/>
    <w:rsid w:val="005A2DD6"/>
    <w:pPr>
      <w:ind w:left="720"/>
      <w:contextualSpacing/>
    </w:pPr>
  </w:style>
  <w:style w:type="paragraph" w:styleId="FootnoteText">
    <w:name w:val="footnote text"/>
    <w:basedOn w:val="Normal"/>
    <w:link w:val="FootnoteTextChar"/>
    <w:uiPriority w:val="99"/>
    <w:unhideWhenUsed/>
    <w:rsid w:val="00A436DF"/>
    <w:rPr>
      <w:sz w:val="20"/>
      <w:szCs w:val="20"/>
    </w:rPr>
  </w:style>
  <w:style w:type="character" w:customStyle="1" w:styleId="FootnoteTextChar">
    <w:name w:val="Footnote Text Char"/>
    <w:basedOn w:val="DefaultParagraphFont"/>
    <w:link w:val="FootnoteText"/>
    <w:uiPriority w:val="99"/>
    <w:rsid w:val="00A436DF"/>
    <w:rPr>
      <w:lang w:eastAsia="ar-SA"/>
    </w:rPr>
  </w:style>
  <w:style w:type="character" w:styleId="FootnoteReference">
    <w:name w:val="footnote reference"/>
    <w:basedOn w:val="DefaultParagraphFont"/>
    <w:uiPriority w:val="99"/>
    <w:unhideWhenUsed/>
    <w:rsid w:val="00A436DF"/>
    <w:rPr>
      <w:vertAlign w:val="superscript"/>
    </w:rPr>
  </w:style>
  <w:style w:type="character" w:customStyle="1" w:styleId="tlid-translation">
    <w:name w:val="tlid-translation"/>
    <w:basedOn w:val="DefaultParagraphFont"/>
    <w:rsid w:val="00AF00A0"/>
  </w:style>
  <w:style w:type="paragraph" w:styleId="EndnoteText">
    <w:name w:val="endnote text"/>
    <w:basedOn w:val="Normal"/>
    <w:link w:val="EndnoteTextChar"/>
    <w:semiHidden/>
    <w:unhideWhenUsed/>
    <w:rsid w:val="00EF5D2F"/>
    <w:rPr>
      <w:sz w:val="20"/>
      <w:szCs w:val="20"/>
    </w:rPr>
  </w:style>
  <w:style w:type="character" w:customStyle="1" w:styleId="EndnoteTextChar">
    <w:name w:val="Endnote Text Char"/>
    <w:basedOn w:val="DefaultParagraphFont"/>
    <w:link w:val="EndnoteText"/>
    <w:semiHidden/>
    <w:rsid w:val="00EF5D2F"/>
    <w:rPr>
      <w:lang w:eastAsia="ar-SA"/>
    </w:rPr>
  </w:style>
  <w:style w:type="character" w:styleId="EndnoteReference">
    <w:name w:val="endnote reference"/>
    <w:basedOn w:val="DefaultParagraphFont"/>
    <w:semiHidden/>
    <w:unhideWhenUsed/>
    <w:rsid w:val="00EF5D2F"/>
    <w:rPr>
      <w:vertAlign w:val="superscript"/>
    </w:rPr>
  </w:style>
  <w:style w:type="paragraph" w:styleId="BodyText">
    <w:name w:val="Body Text"/>
    <w:basedOn w:val="Normal"/>
    <w:link w:val="BodyTextChar"/>
    <w:unhideWhenUsed/>
    <w:rsid w:val="00443400"/>
    <w:pPr>
      <w:spacing w:after="120"/>
    </w:pPr>
  </w:style>
  <w:style w:type="character" w:customStyle="1" w:styleId="BodyTextChar">
    <w:name w:val="Body Text Char"/>
    <w:basedOn w:val="DefaultParagraphFont"/>
    <w:link w:val="BodyText"/>
    <w:rsid w:val="00443400"/>
    <w:rPr>
      <w:sz w:val="24"/>
      <w:szCs w:val="24"/>
      <w:lang w:eastAsia="ar-SA"/>
    </w:rPr>
  </w:style>
  <w:style w:type="character" w:customStyle="1" w:styleId="jlqj4b">
    <w:name w:val="jlqj4b"/>
    <w:basedOn w:val="DefaultParagraphFont"/>
    <w:rsid w:val="00D13B51"/>
  </w:style>
  <w:style w:type="character" w:customStyle="1" w:styleId="rynqvb">
    <w:name w:val="rynqvb"/>
    <w:basedOn w:val="DefaultParagraphFont"/>
    <w:rsid w:val="005D7771"/>
  </w:style>
  <w:style w:type="character" w:customStyle="1" w:styleId="hwtze">
    <w:name w:val="hwtze"/>
    <w:basedOn w:val="DefaultParagraphFont"/>
    <w:rsid w:val="00C97448"/>
  </w:style>
  <w:style w:type="character" w:customStyle="1" w:styleId="material-icons-extended">
    <w:name w:val="material-icons-extended"/>
    <w:basedOn w:val="DefaultParagraphFont"/>
    <w:rsid w:val="00C97448"/>
  </w:style>
  <w:style w:type="paragraph" w:styleId="HTMLPreformatted">
    <w:name w:val="HTML Preformatted"/>
    <w:basedOn w:val="Normal"/>
    <w:link w:val="HTMLPreformattedChar"/>
    <w:uiPriority w:val="99"/>
    <w:semiHidden/>
    <w:unhideWhenUsed/>
    <w:rsid w:val="00BD6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PreformattedChar">
    <w:name w:val="HTML Preformatted Char"/>
    <w:basedOn w:val="DefaultParagraphFont"/>
    <w:link w:val="HTMLPreformatted"/>
    <w:uiPriority w:val="99"/>
    <w:semiHidden/>
    <w:rsid w:val="00BD6515"/>
    <w:rPr>
      <w:rFonts w:ascii="Courier New" w:hAnsi="Courier New" w:cs="Courier New"/>
    </w:rPr>
  </w:style>
  <w:style w:type="character" w:customStyle="1" w:styleId="y2iqfc">
    <w:name w:val="y2iqfc"/>
    <w:basedOn w:val="DefaultParagraphFont"/>
    <w:rsid w:val="00BD6515"/>
  </w:style>
  <w:style w:type="paragraph" w:styleId="NormalWeb">
    <w:name w:val="Normal (Web)"/>
    <w:basedOn w:val="Normal"/>
    <w:uiPriority w:val="99"/>
    <w:rsid w:val="00AF637E"/>
    <w:pPr>
      <w:bidi w:val="0"/>
      <w:spacing w:before="100" w:beforeAutospacing="1" w:after="100" w:afterAutospacing="1"/>
    </w:pPr>
    <w:rPr>
      <w:rFonts w:ascii="Arial Unicode MS" w:eastAsia="Arial Unicode MS" w:hAnsi="Arial Unicode MS" w:cs="Arial Unicode MS"/>
    </w:rPr>
  </w:style>
  <w:style w:type="paragraph" w:styleId="Title">
    <w:name w:val="Title"/>
    <w:basedOn w:val="Normal"/>
    <w:link w:val="TitleChar"/>
    <w:qFormat/>
    <w:rsid w:val="00AF637E"/>
    <w:pPr>
      <w:jc w:val="center"/>
    </w:pPr>
    <w:rPr>
      <w:rFonts w:cs="Simplified Arabic"/>
      <w:b/>
      <w:bCs/>
      <w:color w:val="000000"/>
    </w:rPr>
  </w:style>
  <w:style w:type="character" w:customStyle="1" w:styleId="TitleChar">
    <w:name w:val="Title Char"/>
    <w:basedOn w:val="DefaultParagraphFont"/>
    <w:link w:val="Title"/>
    <w:rsid w:val="00AF637E"/>
    <w:rPr>
      <w:rFonts w:cs="Simplified Arabic"/>
      <w:b/>
      <w:bCs/>
      <w:color w:val="00000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46865">
      <w:bodyDiv w:val="1"/>
      <w:marLeft w:val="0"/>
      <w:marRight w:val="0"/>
      <w:marTop w:val="0"/>
      <w:marBottom w:val="0"/>
      <w:divBdr>
        <w:top w:val="none" w:sz="0" w:space="0" w:color="auto"/>
        <w:left w:val="none" w:sz="0" w:space="0" w:color="auto"/>
        <w:bottom w:val="none" w:sz="0" w:space="0" w:color="auto"/>
        <w:right w:val="none" w:sz="0" w:space="0" w:color="auto"/>
      </w:divBdr>
    </w:div>
    <w:div w:id="163934041">
      <w:bodyDiv w:val="1"/>
      <w:marLeft w:val="0"/>
      <w:marRight w:val="0"/>
      <w:marTop w:val="0"/>
      <w:marBottom w:val="0"/>
      <w:divBdr>
        <w:top w:val="none" w:sz="0" w:space="0" w:color="auto"/>
        <w:left w:val="none" w:sz="0" w:space="0" w:color="auto"/>
        <w:bottom w:val="none" w:sz="0" w:space="0" w:color="auto"/>
        <w:right w:val="none" w:sz="0" w:space="0" w:color="auto"/>
      </w:divBdr>
      <w:divsChild>
        <w:div w:id="1204100355">
          <w:marLeft w:val="0"/>
          <w:marRight w:val="0"/>
          <w:marTop w:val="0"/>
          <w:marBottom w:val="0"/>
          <w:divBdr>
            <w:top w:val="none" w:sz="0" w:space="0" w:color="auto"/>
            <w:left w:val="none" w:sz="0" w:space="0" w:color="auto"/>
            <w:bottom w:val="none" w:sz="0" w:space="0" w:color="auto"/>
            <w:right w:val="none" w:sz="0" w:space="0" w:color="auto"/>
          </w:divBdr>
          <w:divsChild>
            <w:div w:id="1003782075">
              <w:marLeft w:val="0"/>
              <w:marRight w:val="0"/>
              <w:marTop w:val="0"/>
              <w:marBottom w:val="0"/>
              <w:divBdr>
                <w:top w:val="none" w:sz="0" w:space="0" w:color="auto"/>
                <w:left w:val="none" w:sz="0" w:space="0" w:color="auto"/>
                <w:bottom w:val="none" w:sz="0" w:space="0" w:color="auto"/>
                <w:right w:val="none" w:sz="0" w:space="0" w:color="auto"/>
              </w:divBdr>
              <w:divsChild>
                <w:div w:id="1381171528">
                  <w:marLeft w:val="0"/>
                  <w:marRight w:val="0"/>
                  <w:marTop w:val="0"/>
                  <w:marBottom w:val="0"/>
                  <w:divBdr>
                    <w:top w:val="none" w:sz="0" w:space="0" w:color="auto"/>
                    <w:left w:val="none" w:sz="0" w:space="0" w:color="auto"/>
                    <w:bottom w:val="none" w:sz="0" w:space="0" w:color="auto"/>
                    <w:right w:val="none" w:sz="0" w:space="0" w:color="auto"/>
                  </w:divBdr>
                  <w:divsChild>
                    <w:div w:id="721636967">
                      <w:marLeft w:val="0"/>
                      <w:marRight w:val="0"/>
                      <w:marTop w:val="0"/>
                      <w:marBottom w:val="0"/>
                      <w:divBdr>
                        <w:top w:val="none" w:sz="0" w:space="0" w:color="auto"/>
                        <w:left w:val="none" w:sz="0" w:space="0" w:color="auto"/>
                        <w:bottom w:val="none" w:sz="0" w:space="0" w:color="auto"/>
                        <w:right w:val="none" w:sz="0" w:space="0" w:color="auto"/>
                      </w:divBdr>
                      <w:divsChild>
                        <w:div w:id="1104958030">
                          <w:marLeft w:val="0"/>
                          <w:marRight w:val="0"/>
                          <w:marTop w:val="0"/>
                          <w:marBottom w:val="0"/>
                          <w:divBdr>
                            <w:top w:val="none" w:sz="0" w:space="0" w:color="auto"/>
                            <w:left w:val="none" w:sz="0" w:space="0" w:color="auto"/>
                            <w:bottom w:val="none" w:sz="0" w:space="0" w:color="auto"/>
                            <w:right w:val="none" w:sz="0" w:space="0" w:color="auto"/>
                          </w:divBdr>
                          <w:divsChild>
                            <w:div w:id="1598977584">
                              <w:marLeft w:val="0"/>
                              <w:marRight w:val="0"/>
                              <w:marTop w:val="0"/>
                              <w:marBottom w:val="0"/>
                              <w:divBdr>
                                <w:top w:val="none" w:sz="0" w:space="0" w:color="auto"/>
                                <w:left w:val="none" w:sz="0" w:space="0" w:color="auto"/>
                                <w:bottom w:val="none" w:sz="0" w:space="0" w:color="auto"/>
                                <w:right w:val="none" w:sz="0" w:space="0" w:color="auto"/>
                              </w:divBdr>
                              <w:divsChild>
                                <w:div w:id="75539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2911275">
      <w:bodyDiv w:val="1"/>
      <w:marLeft w:val="0"/>
      <w:marRight w:val="0"/>
      <w:marTop w:val="0"/>
      <w:marBottom w:val="0"/>
      <w:divBdr>
        <w:top w:val="none" w:sz="0" w:space="0" w:color="auto"/>
        <w:left w:val="none" w:sz="0" w:space="0" w:color="auto"/>
        <w:bottom w:val="none" w:sz="0" w:space="0" w:color="auto"/>
        <w:right w:val="none" w:sz="0" w:space="0" w:color="auto"/>
      </w:divBdr>
      <w:divsChild>
        <w:div w:id="1789204619">
          <w:marLeft w:val="0"/>
          <w:marRight w:val="0"/>
          <w:marTop w:val="0"/>
          <w:marBottom w:val="0"/>
          <w:divBdr>
            <w:top w:val="none" w:sz="0" w:space="0" w:color="auto"/>
            <w:left w:val="none" w:sz="0" w:space="0" w:color="auto"/>
            <w:bottom w:val="none" w:sz="0" w:space="0" w:color="auto"/>
            <w:right w:val="none" w:sz="0" w:space="0" w:color="auto"/>
          </w:divBdr>
          <w:divsChild>
            <w:div w:id="965311846">
              <w:marLeft w:val="0"/>
              <w:marRight w:val="0"/>
              <w:marTop w:val="0"/>
              <w:marBottom w:val="0"/>
              <w:divBdr>
                <w:top w:val="none" w:sz="0" w:space="0" w:color="auto"/>
                <w:left w:val="none" w:sz="0" w:space="0" w:color="auto"/>
                <w:bottom w:val="none" w:sz="0" w:space="0" w:color="auto"/>
                <w:right w:val="none" w:sz="0" w:space="0" w:color="auto"/>
              </w:divBdr>
              <w:divsChild>
                <w:div w:id="829826636">
                  <w:marLeft w:val="0"/>
                  <w:marRight w:val="0"/>
                  <w:marTop w:val="0"/>
                  <w:marBottom w:val="0"/>
                  <w:divBdr>
                    <w:top w:val="none" w:sz="0" w:space="0" w:color="auto"/>
                    <w:left w:val="none" w:sz="0" w:space="0" w:color="auto"/>
                    <w:bottom w:val="none" w:sz="0" w:space="0" w:color="auto"/>
                    <w:right w:val="none" w:sz="0" w:space="0" w:color="auto"/>
                  </w:divBdr>
                  <w:divsChild>
                    <w:div w:id="464591555">
                      <w:marLeft w:val="0"/>
                      <w:marRight w:val="0"/>
                      <w:marTop w:val="0"/>
                      <w:marBottom w:val="0"/>
                      <w:divBdr>
                        <w:top w:val="none" w:sz="0" w:space="0" w:color="auto"/>
                        <w:left w:val="none" w:sz="0" w:space="0" w:color="auto"/>
                        <w:bottom w:val="none" w:sz="0" w:space="0" w:color="auto"/>
                        <w:right w:val="none" w:sz="0" w:space="0" w:color="auto"/>
                      </w:divBdr>
                      <w:divsChild>
                        <w:div w:id="677539455">
                          <w:marLeft w:val="0"/>
                          <w:marRight w:val="0"/>
                          <w:marTop w:val="0"/>
                          <w:marBottom w:val="0"/>
                          <w:divBdr>
                            <w:top w:val="none" w:sz="0" w:space="0" w:color="auto"/>
                            <w:left w:val="none" w:sz="0" w:space="0" w:color="auto"/>
                            <w:bottom w:val="none" w:sz="0" w:space="0" w:color="auto"/>
                            <w:right w:val="none" w:sz="0" w:space="0" w:color="auto"/>
                          </w:divBdr>
                          <w:divsChild>
                            <w:div w:id="1789620476">
                              <w:marLeft w:val="0"/>
                              <w:marRight w:val="0"/>
                              <w:marTop w:val="0"/>
                              <w:marBottom w:val="0"/>
                              <w:divBdr>
                                <w:top w:val="none" w:sz="0" w:space="0" w:color="auto"/>
                                <w:left w:val="none" w:sz="0" w:space="0" w:color="auto"/>
                                <w:bottom w:val="none" w:sz="0" w:space="0" w:color="auto"/>
                                <w:right w:val="none" w:sz="0" w:space="0" w:color="auto"/>
                              </w:divBdr>
                              <w:divsChild>
                                <w:div w:id="1312831728">
                                  <w:marLeft w:val="0"/>
                                  <w:marRight w:val="0"/>
                                  <w:marTop w:val="0"/>
                                  <w:marBottom w:val="0"/>
                                  <w:divBdr>
                                    <w:top w:val="single" w:sz="6" w:space="0" w:color="F5F5F5"/>
                                    <w:left w:val="single" w:sz="6" w:space="0" w:color="F5F5F5"/>
                                    <w:bottom w:val="single" w:sz="6" w:space="0" w:color="F5F5F5"/>
                                    <w:right w:val="single" w:sz="6" w:space="0" w:color="F5F5F5"/>
                                  </w:divBdr>
                                  <w:divsChild>
                                    <w:div w:id="649411183">
                                      <w:marLeft w:val="0"/>
                                      <w:marRight w:val="0"/>
                                      <w:marTop w:val="0"/>
                                      <w:marBottom w:val="0"/>
                                      <w:divBdr>
                                        <w:top w:val="none" w:sz="0" w:space="0" w:color="auto"/>
                                        <w:left w:val="none" w:sz="0" w:space="0" w:color="auto"/>
                                        <w:bottom w:val="none" w:sz="0" w:space="0" w:color="auto"/>
                                        <w:right w:val="none" w:sz="0" w:space="0" w:color="auto"/>
                                      </w:divBdr>
                                      <w:divsChild>
                                        <w:div w:id="77640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2499616">
      <w:bodyDiv w:val="1"/>
      <w:marLeft w:val="0"/>
      <w:marRight w:val="0"/>
      <w:marTop w:val="0"/>
      <w:marBottom w:val="0"/>
      <w:divBdr>
        <w:top w:val="none" w:sz="0" w:space="0" w:color="auto"/>
        <w:left w:val="none" w:sz="0" w:space="0" w:color="auto"/>
        <w:bottom w:val="none" w:sz="0" w:space="0" w:color="auto"/>
        <w:right w:val="none" w:sz="0" w:space="0" w:color="auto"/>
      </w:divBdr>
    </w:div>
    <w:div w:id="649137918">
      <w:bodyDiv w:val="1"/>
      <w:marLeft w:val="0"/>
      <w:marRight w:val="0"/>
      <w:marTop w:val="0"/>
      <w:marBottom w:val="0"/>
      <w:divBdr>
        <w:top w:val="none" w:sz="0" w:space="0" w:color="auto"/>
        <w:left w:val="none" w:sz="0" w:space="0" w:color="auto"/>
        <w:bottom w:val="none" w:sz="0" w:space="0" w:color="auto"/>
        <w:right w:val="none" w:sz="0" w:space="0" w:color="auto"/>
      </w:divBdr>
    </w:div>
    <w:div w:id="951133526">
      <w:bodyDiv w:val="1"/>
      <w:marLeft w:val="0"/>
      <w:marRight w:val="0"/>
      <w:marTop w:val="0"/>
      <w:marBottom w:val="0"/>
      <w:divBdr>
        <w:top w:val="none" w:sz="0" w:space="0" w:color="auto"/>
        <w:left w:val="none" w:sz="0" w:space="0" w:color="auto"/>
        <w:bottom w:val="none" w:sz="0" w:space="0" w:color="auto"/>
        <w:right w:val="none" w:sz="0" w:space="0" w:color="auto"/>
      </w:divBdr>
      <w:divsChild>
        <w:div w:id="1945532386">
          <w:marLeft w:val="0"/>
          <w:marRight w:val="0"/>
          <w:marTop w:val="0"/>
          <w:marBottom w:val="0"/>
          <w:divBdr>
            <w:top w:val="none" w:sz="0" w:space="0" w:color="auto"/>
            <w:left w:val="none" w:sz="0" w:space="0" w:color="auto"/>
            <w:bottom w:val="none" w:sz="0" w:space="0" w:color="auto"/>
            <w:right w:val="none" w:sz="0" w:space="0" w:color="auto"/>
          </w:divBdr>
          <w:divsChild>
            <w:div w:id="656349856">
              <w:marLeft w:val="0"/>
              <w:marRight w:val="0"/>
              <w:marTop w:val="0"/>
              <w:marBottom w:val="0"/>
              <w:divBdr>
                <w:top w:val="none" w:sz="0" w:space="0" w:color="auto"/>
                <w:left w:val="none" w:sz="0" w:space="0" w:color="auto"/>
                <w:bottom w:val="none" w:sz="0" w:space="0" w:color="auto"/>
                <w:right w:val="none" w:sz="0" w:space="0" w:color="auto"/>
              </w:divBdr>
              <w:divsChild>
                <w:div w:id="1399281100">
                  <w:marLeft w:val="0"/>
                  <w:marRight w:val="0"/>
                  <w:marTop w:val="0"/>
                  <w:marBottom w:val="0"/>
                  <w:divBdr>
                    <w:top w:val="none" w:sz="0" w:space="0" w:color="auto"/>
                    <w:left w:val="none" w:sz="0" w:space="0" w:color="auto"/>
                    <w:bottom w:val="none" w:sz="0" w:space="0" w:color="auto"/>
                    <w:right w:val="none" w:sz="0" w:space="0" w:color="auto"/>
                  </w:divBdr>
                  <w:divsChild>
                    <w:div w:id="1344434072">
                      <w:marLeft w:val="0"/>
                      <w:marRight w:val="0"/>
                      <w:marTop w:val="0"/>
                      <w:marBottom w:val="0"/>
                      <w:divBdr>
                        <w:top w:val="none" w:sz="0" w:space="0" w:color="auto"/>
                        <w:left w:val="none" w:sz="0" w:space="0" w:color="auto"/>
                        <w:bottom w:val="none" w:sz="0" w:space="0" w:color="auto"/>
                        <w:right w:val="none" w:sz="0" w:space="0" w:color="auto"/>
                      </w:divBdr>
                      <w:divsChild>
                        <w:div w:id="550845693">
                          <w:marLeft w:val="0"/>
                          <w:marRight w:val="0"/>
                          <w:marTop w:val="0"/>
                          <w:marBottom w:val="0"/>
                          <w:divBdr>
                            <w:top w:val="none" w:sz="0" w:space="0" w:color="auto"/>
                            <w:left w:val="none" w:sz="0" w:space="0" w:color="auto"/>
                            <w:bottom w:val="none" w:sz="0" w:space="0" w:color="auto"/>
                            <w:right w:val="none" w:sz="0" w:space="0" w:color="auto"/>
                          </w:divBdr>
                          <w:divsChild>
                            <w:div w:id="1948003105">
                              <w:marLeft w:val="0"/>
                              <w:marRight w:val="0"/>
                              <w:marTop w:val="0"/>
                              <w:marBottom w:val="0"/>
                              <w:divBdr>
                                <w:top w:val="none" w:sz="0" w:space="0" w:color="auto"/>
                                <w:left w:val="none" w:sz="0" w:space="0" w:color="auto"/>
                                <w:bottom w:val="none" w:sz="0" w:space="0" w:color="auto"/>
                                <w:right w:val="none" w:sz="0" w:space="0" w:color="auto"/>
                              </w:divBdr>
                              <w:divsChild>
                                <w:div w:id="112735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423754">
      <w:bodyDiv w:val="1"/>
      <w:marLeft w:val="0"/>
      <w:marRight w:val="0"/>
      <w:marTop w:val="0"/>
      <w:marBottom w:val="0"/>
      <w:divBdr>
        <w:top w:val="none" w:sz="0" w:space="0" w:color="auto"/>
        <w:left w:val="none" w:sz="0" w:space="0" w:color="auto"/>
        <w:bottom w:val="none" w:sz="0" w:space="0" w:color="auto"/>
        <w:right w:val="none" w:sz="0" w:space="0" w:color="auto"/>
      </w:divBdr>
    </w:div>
    <w:div w:id="1011758407">
      <w:bodyDiv w:val="1"/>
      <w:marLeft w:val="0"/>
      <w:marRight w:val="0"/>
      <w:marTop w:val="0"/>
      <w:marBottom w:val="0"/>
      <w:divBdr>
        <w:top w:val="none" w:sz="0" w:space="0" w:color="auto"/>
        <w:left w:val="none" w:sz="0" w:space="0" w:color="auto"/>
        <w:bottom w:val="none" w:sz="0" w:space="0" w:color="auto"/>
        <w:right w:val="none" w:sz="0" w:space="0" w:color="auto"/>
      </w:divBdr>
      <w:divsChild>
        <w:div w:id="354574291">
          <w:marLeft w:val="0"/>
          <w:marRight w:val="0"/>
          <w:marTop w:val="0"/>
          <w:marBottom w:val="0"/>
          <w:divBdr>
            <w:top w:val="none" w:sz="0" w:space="0" w:color="auto"/>
            <w:left w:val="none" w:sz="0" w:space="0" w:color="auto"/>
            <w:bottom w:val="none" w:sz="0" w:space="0" w:color="auto"/>
            <w:right w:val="none" w:sz="0" w:space="0" w:color="auto"/>
          </w:divBdr>
          <w:divsChild>
            <w:div w:id="669529799">
              <w:marLeft w:val="0"/>
              <w:marRight w:val="0"/>
              <w:marTop w:val="0"/>
              <w:marBottom w:val="0"/>
              <w:divBdr>
                <w:top w:val="none" w:sz="0" w:space="0" w:color="auto"/>
                <w:left w:val="none" w:sz="0" w:space="0" w:color="auto"/>
                <w:bottom w:val="none" w:sz="0" w:space="0" w:color="auto"/>
                <w:right w:val="none" w:sz="0" w:space="0" w:color="auto"/>
              </w:divBdr>
              <w:divsChild>
                <w:div w:id="1178616677">
                  <w:marLeft w:val="0"/>
                  <w:marRight w:val="0"/>
                  <w:marTop w:val="0"/>
                  <w:marBottom w:val="0"/>
                  <w:divBdr>
                    <w:top w:val="none" w:sz="0" w:space="0" w:color="auto"/>
                    <w:left w:val="none" w:sz="0" w:space="0" w:color="auto"/>
                    <w:bottom w:val="none" w:sz="0" w:space="0" w:color="auto"/>
                    <w:right w:val="none" w:sz="0" w:space="0" w:color="auto"/>
                  </w:divBdr>
                  <w:divsChild>
                    <w:div w:id="983508399">
                      <w:marLeft w:val="0"/>
                      <w:marRight w:val="0"/>
                      <w:marTop w:val="0"/>
                      <w:marBottom w:val="0"/>
                      <w:divBdr>
                        <w:top w:val="none" w:sz="0" w:space="0" w:color="auto"/>
                        <w:left w:val="none" w:sz="0" w:space="0" w:color="auto"/>
                        <w:bottom w:val="none" w:sz="0" w:space="0" w:color="auto"/>
                        <w:right w:val="none" w:sz="0" w:space="0" w:color="auto"/>
                      </w:divBdr>
                      <w:divsChild>
                        <w:div w:id="1339500949">
                          <w:marLeft w:val="0"/>
                          <w:marRight w:val="0"/>
                          <w:marTop w:val="0"/>
                          <w:marBottom w:val="0"/>
                          <w:divBdr>
                            <w:top w:val="none" w:sz="0" w:space="0" w:color="auto"/>
                            <w:left w:val="none" w:sz="0" w:space="0" w:color="auto"/>
                            <w:bottom w:val="none" w:sz="0" w:space="0" w:color="auto"/>
                            <w:right w:val="none" w:sz="0" w:space="0" w:color="auto"/>
                          </w:divBdr>
                          <w:divsChild>
                            <w:div w:id="1593733578">
                              <w:marLeft w:val="0"/>
                              <w:marRight w:val="0"/>
                              <w:marTop w:val="0"/>
                              <w:marBottom w:val="0"/>
                              <w:divBdr>
                                <w:top w:val="none" w:sz="0" w:space="0" w:color="auto"/>
                                <w:left w:val="none" w:sz="0" w:space="0" w:color="auto"/>
                                <w:bottom w:val="none" w:sz="0" w:space="0" w:color="auto"/>
                                <w:right w:val="none" w:sz="0" w:space="0" w:color="auto"/>
                              </w:divBdr>
                            </w:div>
                            <w:div w:id="810946673">
                              <w:marLeft w:val="0"/>
                              <w:marRight w:val="0"/>
                              <w:marTop w:val="0"/>
                              <w:marBottom w:val="0"/>
                              <w:divBdr>
                                <w:top w:val="none" w:sz="0" w:space="0" w:color="auto"/>
                                <w:left w:val="none" w:sz="0" w:space="0" w:color="auto"/>
                                <w:bottom w:val="none" w:sz="0" w:space="0" w:color="auto"/>
                                <w:right w:val="none" w:sz="0" w:space="0" w:color="auto"/>
                              </w:divBdr>
                              <w:divsChild>
                                <w:div w:id="1225292950">
                                  <w:marLeft w:val="0"/>
                                  <w:marRight w:val="0"/>
                                  <w:marTop w:val="0"/>
                                  <w:marBottom w:val="0"/>
                                  <w:divBdr>
                                    <w:top w:val="none" w:sz="0" w:space="0" w:color="auto"/>
                                    <w:left w:val="none" w:sz="0" w:space="0" w:color="auto"/>
                                    <w:bottom w:val="none" w:sz="0" w:space="0" w:color="auto"/>
                                    <w:right w:val="none" w:sz="0" w:space="0" w:color="auto"/>
                                  </w:divBdr>
                                  <w:divsChild>
                                    <w:div w:id="395322095">
                                      <w:marLeft w:val="0"/>
                                      <w:marRight w:val="0"/>
                                      <w:marTop w:val="0"/>
                                      <w:marBottom w:val="0"/>
                                      <w:divBdr>
                                        <w:top w:val="none" w:sz="0" w:space="0" w:color="auto"/>
                                        <w:left w:val="none" w:sz="0" w:space="0" w:color="auto"/>
                                        <w:bottom w:val="none" w:sz="0" w:space="0" w:color="auto"/>
                                        <w:right w:val="none" w:sz="0" w:space="0" w:color="auto"/>
                                      </w:divBdr>
                                      <w:divsChild>
                                        <w:div w:id="208629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2449866">
      <w:bodyDiv w:val="1"/>
      <w:marLeft w:val="0"/>
      <w:marRight w:val="0"/>
      <w:marTop w:val="0"/>
      <w:marBottom w:val="0"/>
      <w:divBdr>
        <w:top w:val="none" w:sz="0" w:space="0" w:color="auto"/>
        <w:left w:val="none" w:sz="0" w:space="0" w:color="auto"/>
        <w:bottom w:val="none" w:sz="0" w:space="0" w:color="auto"/>
        <w:right w:val="none" w:sz="0" w:space="0" w:color="auto"/>
      </w:divBdr>
      <w:divsChild>
        <w:div w:id="480540114">
          <w:marLeft w:val="0"/>
          <w:marRight w:val="0"/>
          <w:marTop w:val="0"/>
          <w:marBottom w:val="0"/>
          <w:divBdr>
            <w:top w:val="none" w:sz="0" w:space="0" w:color="auto"/>
            <w:left w:val="none" w:sz="0" w:space="0" w:color="auto"/>
            <w:bottom w:val="none" w:sz="0" w:space="0" w:color="auto"/>
            <w:right w:val="none" w:sz="0" w:space="0" w:color="auto"/>
          </w:divBdr>
          <w:divsChild>
            <w:div w:id="23678755">
              <w:marLeft w:val="0"/>
              <w:marRight w:val="0"/>
              <w:marTop w:val="0"/>
              <w:marBottom w:val="0"/>
              <w:divBdr>
                <w:top w:val="none" w:sz="0" w:space="0" w:color="auto"/>
                <w:left w:val="none" w:sz="0" w:space="0" w:color="auto"/>
                <w:bottom w:val="none" w:sz="0" w:space="0" w:color="auto"/>
                <w:right w:val="none" w:sz="0" w:space="0" w:color="auto"/>
              </w:divBdr>
              <w:divsChild>
                <w:div w:id="1049720930">
                  <w:marLeft w:val="0"/>
                  <w:marRight w:val="0"/>
                  <w:marTop w:val="0"/>
                  <w:marBottom w:val="0"/>
                  <w:divBdr>
                    <w:top w:val="none" w:sz="0" w:space="0" w:color="auto"/>
                    <w:left w:val="none" w:sz="0" w:space="0" w:color="auto"/>
                    <w:bottom w:val="none" w:sz="0" w:space="0" w:color="auto"/>
                    <w:right w:val="none" w:sz="0" w:space="0" w:color="auto"/>
                  </w:divBdr>
                  <w:divsChild>
                    <w:div w:id="1115708791">
                      <w:marLeft w:val="0"/>
                      <w:marRight w:val="0"/>
                      <w:marTop w:val="0"/>
                      <w:marBottom w:val="0"/>
                      <w:divBdr>
                        <w:top w:val="none" w:sz="0" w:space="0" w:color="auto"/>
                        <w:left w:val="none" w:sz="0" w:space="0" w:color="auto"/>
                        <w:bottom w:val="none" w:sz="0" w:space="0" w:color="auto"/>
                        <w:right w:val="none" w:sz="0" w:space="0" w:color="auto"/>
                      </w:divBdr>
                      <w:divsChild>
                        <w:div w:id="1882479017">
                          <w:marLeft w:val="0"/>
                          <w:marRight w:val="0"/>
                          <w:marTop w:val="0"/>
                          <w:marBottom w:val="0"/>
                          <w:divBdr>
                            <w:top w:val="none" w:sz="0" w:space="0" w:color="auto"/>
                            <w:left w:val="none" w:sz="0" w:space="0" w:color="auto"/>
                            <w:bottom w:val="none" w:sz="0" w:space="0" w:color="auto"/>
                            <w:right w:val="none" w:sz="0" w:space="0" w:color="auto"/>
                          </w:divBdr>
                          <w:divsChild>
                            <w:div w:id="1030180101">
                              <w:marLeft w:val="0"/>
                              <w:marRight w:val="0"/>
                              <w:marTop w:val="0"/>
                              <w:marBottom w:val="0"/>
                              <w:divBdr>
                                <w:top w:val="none" w:sz="0" w:space="0" w:color="auto"/>
                                <w:left w:val="none" w:sz="0" w:space="0" w:color="auto"/>
                                <w:bottom w:val="none" w:sz="0" w:space="0" w:color="auto"/>
                                <w:right w:val="none" w:sz="0" w:space="0" w:color="auto"/>
                              </w:divBdr>
                            </w:div>
                            <w:div w:id="1095322672">
                              <w:marLeft w:val="0"/>
                              <w:marRight w:val="0"/>
                              <w:marTop w:val="0"/>
                              <w:marBottom w:val="0"/>
                              <w:divBdr>
                                <w:top w:val="none" w:sz="0" w:space="0" w:color="auto"/>
                                <w:left w:val="none" w:sz="0" w:space="0" w:color="auto"/>
                                <w:bottom w:val="none" w:sz="0" w:space="0" w:color="auto"/>
                                <w:right w:val="none" w:sz="0" w:space="0" w:color="auto"/>
                              </w:divBdr>
                              <w:divsChild>
                                <w:div w:id="251089113">
                                  <w:marLeft w:val="0"/>
                                  <w:marRight w:val="0"/>
                                  <w:marTop w:val="0"/>
                                  <w:marBottom w:val="0"/>
                                  <w:divBdr>
                                    <w:top w:val="none" w:sz="0" w:space="0" w:color="auto"/>
                                    <w:left w:val="none" w:sz="0" w:space="0" w:color="auto"/>
                                    <w:bottom w:val="none" w:sz="0" w:space="0" w:color="auto"/>
                                    <w:right w:val="none" w:sz="0" w:space="0" w:color="auto"/>
                                  </w:divBdr>
                                  <w:divsChild>
                                    <w:div w:id="198326246">
                                      <w:marLeft w:val="0"/>
                                      <w:marRight w:val="0"/>
                                      <w:marTop w:val="0"/>
                                      <w:marBottom w:val="0"/>
                                      <w:divBdr>
                                        <w:top w:val="none" w:sz="0" w:space="0" w:color="auto"/>
                                        <w:left w:val="none" w:sz="0" w:space="0" w:color="auto"/>
                                        <w:bottom w:val="none" w:sz="0" w:space="0" w:color="auto"/>
                                        <w:right w:val="none" w:sz="0" w:space="0" w:color="auto"/>
                                      </w:divBdr>
                                      <w:divsChild>
                                        <w:div w:id="118601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4365100">
      <w:bodyDiv w:val="1"/>
      <w:marLeft w:val="0"/>
      <w:marRight w:val="0"/>
      <w:marTop w:val="0"/>
      <w:marBottom w:val="0"/>
      <w:divBdr>
        <w:top w:val="none" w:sz="0" w:space="0" w:color="auto"/>
        <w:left w:val="none" w:sz="0" w:space="0" w:color="auto"/>
        <w:bottom w:val="none" w:sz="0" w:space="0" w:color="auto"/>
        <w:right w:val="none" w:sz="0" w:space="0" w:color="auto"/>
      </w:divBdr>
      <w:divsChild>
        <w:div w:id="1433092670">
          <w:marLeft w:val="0"/>
          <w:marRight w:val="0"/>
          <w:marTop w:val="0"/>
          <w:marBottom w:val="0"/>
          <w:divBdr>
            <w:top w:val="none" w:sz="0" w:space="0" w:color="auto"/>
            <w:left w:val="none" w:sz="0" w:space="0" w:color="auto"/>
            <w:bottom w:val="none" w:sz="0" w:space="0" w:color="auto"/>
            <w:right w:val="none" w:sz="0" w:space="0" w:color="auto"/>
          </w:divBdr>
          <w:divsChild>
            <w:div w:id="1984506478">
              <w:marLeft w:val="0"/>
              <w:marRight w:val="0"/>
              <w:marTop w:val="0"/>
              <w:marBottom w:val="0"/>
              <w:divBdr>
                <w:top w:val="none" w:sz="0" w:space="0" w:color="auto"/>
                <w:left w:val="none" w:sz="0" w:space="0" w:color="auto"/>
                <w:bottom w:val="none" w:sz="0" w:space="0" w:color="auto"/>
                <w:right w:val="none" w:sz="0" w:space="0" w:color="auto"/>
              </w:divBdr>
              <w:divsChild>
                <w:div w:id="1181050446">
                  <w:marLeft w:val="0"/>
                  <w:marRight w:val="0"/>
                  <w:marTop w:val="0"/>
                  <w:marBottom w:val="0"/>
                  <w:divBdr>
                    <w:top w:val="none" w:sz="0" w:space="0" w:color="auto"/>
                    <w:left w:val="none" w:sz="0" w:space="0" w:color="auto"/>
                    <w:bottom w:val="none" w:sz="0" w:space="0" w:color="auto"/>
                    <w:right w:val="none" w:sz="0" w:space="0" w:color="auto"/>
                  </w:divBdr>
                  <w:divsChild>
                    <w:div w:id="604920663">
                      <w:marLeft w:val="0"/>
                      <w:marRight w:val="0"/>
                      <w:marTop w:val="0"/>
                      <w:marBottom w:val="0"/>
                      <w:divBdr>
                        <w:top w:val="none" w:sz="0" w:space="0" w:color="auto"/>
                        <w:left w:val="none" w:sz="0" w:space="0" w:color="auto"/>
                        <w:bottom w:val="none" w:sz="0" w:space="0" w:color="auto"/>
                        <w:right w:val="none" w:sz="0" w:space="0" w:color="auto"/>
                      </w:divBdr>
                      <w:divsChild>
                        <w:div w:id="97337980">
                          <w:marLeft w:val="0"/>
                          <w:marRight w:val="0"/>
                          <w:marTop w:val="0"/>
                          <w:marBottom w:val="0"/>
                          <w:divBdr>
                            <w:top w:val="none" w:sz="0" w:space="0" w:color="auto"/>
                            <w:left w:val="none" w:sz="0" w:space="0" w:color="auto"/>
                            <w:bottom w:val="none" w:sz="0" w:space="0" w:color="auto"/>
                            <w:right w:val="none" w:sz="0" w:space="0" w:color="auto"/>
                          </w:divBdr>
                          <w:divsChild>
                            <w:div w:id="1081952922">
                              <w:marLeft w:val="0"/>
                              <w:marRight w:val="0"/>
                              <w:marTop w:val="0"/>
                              <w:marBottom w:val="0"/>
                              <w:divBdr>
                                <w:top w:val="none" w:sz="0" w:space="0" w:color="auto"/>
                                <w:left w:val="none" w:sz="0" w:space="0" w:color="auto"/>
                                <w:bottom w:val="none" w:sz="0" w:space="0" w:color="auto"/>
                                <w:right w:val="none" w:sz="0" w:space="0" w:color="auto"/>
                              </w:divBdr>
                              <w:divsChild>
                                <w:div w:id="5599428">
                                  <w:marLeft w:val="0"/>
                                  <w:marRight w:val="0"/>
                                  <w:marTop w:val="0"/>
                                  <w:marBottom w:val="0"/>
                                  <w:divBdr>
                                    <w:top w:val="single" w:sz="6" w:space="0" w:color="F5F5F5"/>
                                    <w:left w:val="single" w:sz="6" w:space="0" w:color="F5F5F5"/>
                                    <w:bottom w:val="single" w:sz="6" w:space="0" w:color="F5F5F5"/>
                                    <w:right w:val="single" w:sz="6" w:space="0" w:color="F5F5F5"/>
                                  </w:divBdr>
                                  <w:divsChild>
                                    <w:div w:id="1624114099">
                                      <w:marLeft w:val="0"/>
                                      <w:marRight w:val="0"/>
                                      <w:marTop w:val="0"/>
                                      <w:marBottom w:val="0"/>
                                      <w:divBdr>
                                        <w:top w:val="none" w:sz="0" w:space="0" w:color="auto"/>
                                        <w:left w:val="none" w:sz="0" w:space="0" w:color="auto"/>
                                        <w:bottom w:val="none" w:sz="0" w:space="0" w:color="auto"/>
                                        <w:right w:val="none" w:sz="0" w:space="0" w:color="auto"/>
                                      </w:divBdr>
                                      <w:divsChild>
                                        <w:div w:id="170147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1196299">
      <w:bodyDiv w:val="1"/>
      <w:marLeft w:val="0"/>
      <w:marRight w:val="0"/>
      <w:marTop w:val="0"/>
      <w:marBottom w:val="0"/>
      <w:divBdr>
        <w:top w:val="none" w:sz="0" w:space="0" w:color="auto"/>
        <w:left w:val="none" w:sz="0" w:space="0" w:color="auto"/>
        <w:bottom w:val="none" w:sz="0" w:space="0" w:color="auto"/>
        <w:right w:val="none" w:sz="0" w:space="0" w:color="auto"/>
      </w:divBdr>
      <w:divsChild>
        <w:div w:id="174420368">
          <w:marLeft w:val="0"/>
          <w:marRight w:val="0"/>
          <w:marTop w:val="0"/>
          <w:marBottom w:val="0"/>
          <w:divBdr>
            <w:top w:val="none" w:sz="0" w:space="0" w:color="auto"/>
            <w:left w:val="none" w:sz="0" w:space="0" w:color="auto"/>
            <w:bottom w:val="none" w:sz="0" w:space="0" w:color="auto"/>
            <w:right w:val="none" w:sz="0" w:space="0" w:color="auto"/>
          </w:divBdr>
          <w:divsChild>
            <w:div w:id="66348356">
              <w:marLeft w:val="0"/>
              <w:marRight w:val="0"/>
              <w:marTop w:val="0"/>
              <w:marBottom w:val="0"/>
              <w:divBdr>
                <w:top w:val="none" w:sz="0" w:space="0" w:color="auto"/>
                <w:left w:val="none" w:sz="0" w:space="0" w:color="auto"/>
                <w:bottom w:val="none" w:sz="0" w:space="0" w:color="auto"/>
                <w:right w:val="none" w:sz="0" w:space="0" w:color="auto"/>
              </w:divBdr>
              <w:divsChild>
                <w:div w:id="1476950101">
                  <w:marLeft w:val="0"/>
                  <w:marRight w:val="0"/>
                  <w:marTop w:val="0"/>
                  <w:marBottom w:val="0"/>
                  <w:divBdr>
                    <w:top w:val="none" w:sz="0" w:space="0" w:color="auto"/>
                    <w:left w:val="none" w:sz="0" w:space="0" w:color="auto"/>
                    <w:bottom w:val="none" w:sz="0" w:space="0" w:color="auto"/>
                    <w:right w:val="none" w:sz="0" w:space="0" w:color="auto"/>
                  </w:divBdr>
                  <w:divsChild>
                    <w:div w:id="1920555440">
                      <w:marLeft w:val="0"/>
                      <w:marRight w:val="0"/>
                      <w:marTop w:val="0"/>
                      <w:marBottom w:val="0"/>
                      <w:divBdr>
                        <w:top w:val="none" w:sz="0" w:space="0" w:color="auto"/>
                        <w:left w:val="none" w:sz="0" w:space="0" w:color="auto"/>
                        <w:bottom w:val="none" w:sz="0" w:space="0" w:color="auto"/>
                        <w:right w:val="none" w:sz="0" w:space="0" w:color="auto"/>
                      </w:divBdr>
                      <w:divsChild>
                        <w:div w:id="1998655128">
                          <w:marLeft w:val="0"/>
                          <w:marRight w:val="0"/>
                          <w:marTop w:val="0"/>
                          <w:marBottom w:val="0"/>
                          <w:divBdr>
                            <w:top w:val="none" w:sz="0" w:space="0" w:color="auto"/>
                            <w:left w:val="none" w:sz="0" w:space="0" w:color="auto"/>
                            <w:bottom w:val="none" w:sz="0" w:space="0" w:color="auto"/>
                            <w:right w:val="none" w:sz="0" w:space="0" w:color="auto"/>
                          </w:divBdr>
                          <w:divsChild>
                            <w:div w:id="717317667">
                              <w:marLeft w:val="0"/>
                              <w:marRight w:val="0"/>
                              <w:marTop w:val="0"/>
                              <w:marBottom w:val="0"/>
                              <w:divBdr>
                                <w:top w:val="none" w:sz="0" w:space="0" w:color="auto"/>
                                <w:left w:val="none" w:sz="0" w:space="0" w:color="auto"/>
                                <w:bottom w:val="none" w:sz="0" w:space="0" w:color="auto"/>
                                <w:right w:val="none" w:sz="0" w:space="0" w:color="auto"/>
                              </w:divBdr>
                              <w:divsChild>
                                <w:div w:id="210641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8083716">
      <w:bodyDiv w:val="1"/>
      <w:marLeft w:val="0"/>
      <w:marRight w:val="0"/>
      <w:marTop w:val="0"/>
      <w:marBottom w:val="0"/>
      <w:divBdr>
        <w:top w:val="none" w:sz="0" w:space="0" w:color="auto"/>
        <w:left w:val="none" w:sz="0" w:space="0" w:color="auto"/>
        <w:bottom w:val="none" w:sz="0" w:space="0" w:color="auto"/>
        <w:right w:val="none" w:sz="0" w:space="0" w:color="auto"/>
      </w:divBdr>
      <w:divsChild>
        <w:div w:id="223373835">
          <w:marLeft w:val="0"/>
          <w:marRight w:val="0"/>
          <w:marTop w:val="0"/>
          <w:marBottom w:val="0"/>
          <w:divBdr>
            <w:top w:val="none" w:sz="0" w:space="0" w:color="auto"/>
            <w:left w:val="none" w:sz="0" w:space="0" w:color="auto"/>
            <w:bottom w:val="none" w:sz="0" w:space="0" w:color="auto"/>
            <w:right w:val="none" w:sz="0" w:space="0" w:color="auto"/>
          </w:divBdr>
          <w:divsChild>
            <w:div w:id="1382096471">
              <w:marLeft w:val="0"/>
              <w:marRight w:val="0"/>
              <w:marTop w:val="0"/>
              <w:marBottom w:val="0"/>
              <w:divBdr>
                <w:top w:val="none" w:sz="0" w:space="0" w:color="auto"/>
                <w:left w:val="none" w:sz="0" w:space="0" w:color="auto"/>
                <w:bottom w:val="none" w:sz="0" w:space="0" w:color="auto"/>
                <w:right w:val="none" w:sz="0" w:space="0" w:color="auto"/>
              </w:divBdr>
              <w:divsChild>
                <w:div w:id="1939170530">
                  <w:marLeft w:val="0"/>
                  <w:marRight w:val="0"/>
                  <w:marTop w:val="0"/>
                  <w:marBottom w:val="0"/>
                  <w:divBdr>
                    <w:top w:val="none" w:sz="0" w:space="0" w:color="auto"/>
                    <w:left w:val="none" w:sz="0" w:space="0" w:color="auto"/>
                    <w:bottom w:val="none" w:sz="0" w:space="0" w:color="auto"/>
                    <w:right w:val="none" w:sz="0" w:space="0" w:color="auto"/>
                  </w:divBdr>
                  <w:divsChild>
                    <w:div w:id="839849281">
                      <w:marLeft w:val="0"/>
                      <w:marRight w:val="0"/>
                      <w:marTop w:val="0"/>
                      <w:marBottom w:val="0"/>
                      <w:divBdr>
                        <w:top w:val="none" w:sz="0" w:space="0" w:color="auto"/>
                        <w:left w:val="none" w:sz="0" w:space="0" w:color="auto"/>
                        <w:bottom w:val="none" w:sz="0" w:space="0" w:color="auto"/>
                        <w:right w:val="none" w:sz="0" w:space="0" w:color="auto"/>
                      </w:divBdr>
                      <w:divsChild>
                        <w:div w:id="1282301873">
                          <w:marLeft w:val="0"/>
                          <w:marRight w:val="0"/>
                          <w:marTop w:val="0"/>
                          <w:marBottom w:val="0"/>
                          <w:divBdr>
                            <w:top w:val="none" w:sz="0" w:space="0" w:color="auto"/>
                            <w:left w:val="none" w:sz="0" w:space="0" w:color="auto"/>
                            <w:bottom w:val="none" w:sz="0" w:space="0" w:color="auto"/>
                            <w:right w:val="none" w:sz="0" w:space="0" w:color="auto"/>
                          </w:divBdr>
                          <w:divsChild>
                            <w:div w:id="1953321688">
                              <w:marLeft w:val="0"/>
                              <w:marRight w:val="0"/>
                              <w:marTop w:val="0"/>
                              <w:marBottom w:val="0"/>
                              <w:divBdr>
                                <w:top w:val="none" w:sz="0" w:space="0" w:color="auto"/>
                                <w:left w:val="none" w:sz="0" w:space="0" w:color="auto"/>
                                <w:bottom w:val="none" w:sz="0" w:space="0" w:color="auto"/>
                                <w:right w:val="none" w:sz="0" w:space="0" w:color="auto"/>
                              </w:divBdr>
                              <w:divsChild>
                                <w:div w:id="857350993">
                                  <w:marLeft w:val="0"/>
                                  <w:marRight w:val="0"/>
                                  <w:marTop w:val="0"/>
                                  <w:marBottom w:val="0"/>
                                  <w:divBdr>
                                    <w:top w:val="none" w:sz="0" w:space="0" w:color="auto"/>
                                    <w:left w:val="none" w:sz="0" w:space="0" w:color="auto"/>
                                    <w:bottom w:val="none" w:sz="0" w:space="0" w:color="auto"/>
                                    <w:right w:val="none" w:sz="0" w:space="0" w:color="auto"/>
                                  </w:divBdr>
                                  <w:divsChild>
                                    <w:div w:id="27879382">
                                      <w:marLeft w:val="0"/>
                                      <w:marRight w:val="0"/>
                                      <w:marTop w:val="0"/>
                                      <w:marBottom w:val="0"/>
                                      <w:divBdr>
                                        <w:top w:val="none" w:sz="0" w:space="0" w:color="auto"/>
                                        <w:left w:val="none" w:sz="0" w:space="0" w:color="auto"/>
                                        <w:bottom w:val="none" w:sz="0" w:space="0" w:color="auto"/>
                                        <w:right w:val="none" w:sz="0" w:space="0" w:color="auto"/>
                                      </w:divBdr>
                                      <w:divsChild>
                                        <w:div w:id="1926379027">
                                          <w:marLeft w:val="0"/>
                                          <w:marRight w:val="0"/>
                                          <w:marTop w:val="0"/>
                                          <w:marBottom w:val="413"/>
                                          <w:divBdr>
                                            <w:top w:val="none" w:sz="0" w:space="0" w:color="auto"/>
                                            <w:left w:val="none" w:sz="0" w:space="0" w:color="auto"/>
                                            <w:bottom w:val="none" w:sz="0" w:space="0" w:color="auto"/>
                                            <w:right w:val="none" w:sz="0" w:space="0" w:color="auto"/>
                                          </w:divBdr>
                                          <w:divsChild>
                                            <w:div w:id="144338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8905007">
      <w:bodyDiv w:val="1"/>
      <w:marLeft w:val="0"/>
      <w:marRight w:val="0"/>
      <w:marTop w:val="0"/>
      <w:marBottom w:val="0"/>
      <w:divBdr>
        <w:top w:val="none" w:sz="0" w:space="0" w:color="auto"/>
        <w:left w:val="none" w:sz="0" w:space="0" w:color="auto"/>
        <w:bottom w:val="none" w:sz="0" w:space="0" w:color="auto"/>
        <w:right w:val="none" w:sz="0" w:space="0" w:color="auto"/>
      </w:divBdr>
    </w:div>
    <w:div w:id="1623267050">
      <w:bodyDiv w:val="1"/>
      <w:marLeft w:val="0"/>
      <w:marRight w:val="0"/>
      <w:marTop w:val="0"/>
      <w:marBottom w:val="0"/>
      <w:divBdr>
        <w:top w:val="none" w:sz="0" w:space="0" w:color="auto"/>
        <w:left w:val="none" w:sz="0" w:space="0" w:color="auto"/>
        <w:bottom w:val="none" w:sz="0" w:space="0" w:color="auto"/>
        <w:right w:val="none" w:sz="0" w:space="0" w:color="auto"/>
      </w:divBdr>
      <w:divsChild>
        <w:div w:id="1309941174">
          <w:marLeft w:val="0"/>
          <w:marRight w:val="0"/>
          <w:marTop w:val="0"/>
          <w:marBottom w:val="0"/>
          <w:divBdr>
            <w:top w:val="none" w:sz="0" w:space="0" w:color="auto"/>
            <w:left w:val="none" w:sz="0" w:space="0" w:color="auto"/>
            <w:bottom w:val="none" w:sz="0" w:space="0" w:color="auto"/>
            <w:right w:val="none" w:sz="0" w:space="0" w:color="auto"/>
          </w:divBdr>
          <w:divsChild>
            <w:div w:id="322389696">
              <w:marLeft w:val="0"/>
              <w:marRight w:val="0"/>
              <w:marTop w:val="0"/>
              <w:marBottom w:val="0"/>
              <w:divBdr>
                <w:top w:val="none" w:sz="0" w:space="0" w:color="auto"/>
                <w:left w:val="none" w:sz="0" w:space="0" w:color="auto"/>
                <w:bottom w:val="none" w:sz="0" w:space="0" w:color="auto"/>
                <w:right w:val="none" w:sz="0" w:space="0" w:color="auto"/>
              </w:divBdr>
              <w:divsChild>
                <w:div w:id="165051364">
                  <w:marLeft w:val="0"/>
                  <w:marRight w:val="0"/>
                  <w:marTop w:val="0"/>
                  <w:marBottom w:val="0"/>
                  <w:divBdr>
                    <w:top w:val="none" w:sz="0" w:space="0" w:color="auto"/>
                    <w:left w:val="none" w:sz="0" w:space="0" w:color="auto"/>
                    <w:bottom w:val="none" w:sz="0" w:space="0" w:color="auto"/>
                    <w:right w:val="none" w:sz="0" w:space="0" w:color="auto"/>
                  </w:divBdr>
                  <w:divsChild>
                    <w:div w:id="184560780">
                      <w:marLeft w:val="0"/>
                      <w:marRight w:val="0"/>
                      <w:marTop w:val="0"/>
                      <w:marBottom w:val="0"/>
                      <w:divBdr>
                        <w:top w:val="none" w:sz="0" w:space="0" w:color="auto"/>
                        <w:left w:val="none" w:sz="0" w:space="0" w:color="auto"/>
                        <w:bottom w:val="none" w:sz="0" w:space="0" w:color="auto"/>
                        <w:right w:val="none" w:sz="0" w:space="0" w:color="auto"/>
                      </w:divBdr>
                      <w:divsChild>
                        <w:div w:id="1776442611">
                          <w:marLeft w:val="0"/>
                          <w:marRight w:val="0"/>
                          <w:marTop w:val="0"/>
                          <w:marBottom w:val="0"/>
                          <w:divBdr>
                            <w:top w:val="none" w:sz="0" w:space="0" w:color="auto"/>
                            <w:left w:val="none" w:sz="0" w:space="0" w:color="auto"/>
                            <w:bottom w:val="none" w:sz="0" w:space="0" w:color="auto"/>
                            <w:right w:val="none" w:sz="0" w:space="0" w:color="auto"/>
                          </w:divBdr>
                          <w:divsChild>
                            <w:div w:id="1808350822">
                              <w:marLeft w:val="0"/>
                              <w:marRight w:val="0"/>
                              <w:marTop w:val="0"/>
                              <w:marBottom w:val="0"/>
                              <w:divBdr>
                                <w:top w:val="none" w:sz="0" w:space="0" w:color="auto"/>
                                <w:left w:val="none" w:sz="0" w:space="0" w:color="auto"/>
                                <w:bottom w:val="none" w:sz="0" w:space="0" w:color="auto"/>
                                <w:right w:val="none" w:sz="0" w:space="0" w:color="auto"/>
                              </w:divBdr>
                              <w:divsChild>
                                <w:div w:id="706492483">
                                  <w:marLeft w:val="0"/>
                                  <w:marRight w:val="0"/>
                                  <w:marTop w:val="0"/>
                                  <w:marBottom w:val="0"/>
                                  <w:divBdr>
                                    <w:top w:val="single" w:sz="6" w:space="0" w:color="F5F5F5"/>
                                    <w:left w:val="single" w:sz="6" w:space="0" w:color="F5F5F5"/>
                                    <w:bottom w:val="single" w:sz="6" w:space="0" w:color="F5F5F5"/>
                                    <w:right w:val="single" w:sz="6" w:space="0" w:color="F5F5F5"/>
                                  </w:divBdr>
                                  <w:divsChild>
                                    <w:div w:id="1953248264">
                                      <w:marLeft w:val="0"/>
                                      <w:marRight w:val="0"/>
                                      <w:marTop w:val="0"/>
                                      <w:marBottom w:val="0"/>
                                      <w:divBdr>
                                        <w:top w:val="none" w:sz="0" w:space="0" w:color="auto"/>
                                        <w:left w:val="none" w:sz="0" w:space="0" w:color="auto"/>
                                        <w:bottom w:val="none" w:sz="0" w:space="0" w:color="auto"/>
                                        <w:right w:val="none" w:sz="0" w:space="0" w:color="auto"/>
                                      </w:divBdr>
                                      <w:divsChild>
                                        <w:div w:id="167807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3630906">
      <w:bodyDiv w:val="1"/>
      <w:marLeft w:val="0"/>
      <w:marRight w:val="0"/>
      <w:marTop w:val="0"/>
      <w:marBottom w:val="0"/>
      <w:divBdr>
        <w:top w:val="none" w:sz="0" w:space="0" w:color="auto"/>
        <w:left w:val="none" w:sz="0" w:space="0" w:color="auto"/>
        <w:bottom w:val="none" w:sz="0" w:space="0" w:color="auto"/>
        <w:right w:val="none" w:sz="0" w:space="0" w:color="auto"/>
      </w:divBdr>
      <w:divsChild>
        <w:div w:id="1738282278">
          <w:marLeft w:val="0"/>
          <w:marRight w:val="0"/>
          <w:marTop w:val="0"/>
          <w:marBottom w:val="0"/>
          <w:divBdr>
            <w:top w:val="none" w:sz="0" w:space="0" w:color="auto"/>
            <w:left w:val="none" w:sz="0" w:space="0" w:color="auto"/>
            <w:bottom w:val="none" w:sz="0" w:space="0" w:color="auto"/>
            <w:right w:val="none" w:sz="0" w:space="0" w:color="auto"/>
          </w:divBdr>
          <w:divsChild>
            <w:div w:id="1890796955">
              <w:marLeft w:val="0"/>
              <w:marRight w:val="0"/>
              <w:marTop w:val="0"/>
              <w:marBottom w:val="0"/>
              <w:divBdr>
                <w:top w:val="none" w:sz="0" w:space="0" w:color="auto"/>
                <w:left w:val="none" w:sz="0" w:space="0" w:color="auto"/>
                <w:bottom w:val="none" w:sz="0" w:space="0" w:color="auto"/>
                <w:right w:val="none" w:sz="0" w:space="0" w:color="auto"/>
              </w:divBdr>
              <w:divsChild>
                <w:div w:id="1420130275">
                  <w:marLeft w:val="0"/>
                  <w:marRight w:val="0"/>
                  <w:marTop w:val="0"/>
                  <w:marBottom w:val="0"/>
                  <w:divBdr>
                    <w:top w:val="none" w:sz="0" w:space="0" w:color="auto"/>
                    <w:left w:val="none" w:sz="0" w:space="0" w:color="auto"/>
                    <w:bottom w:val="none" w:sz="0" w:space="0" w:color="auto"/>
                    <w:right w:val="none" w:sz="0" w:space="0" w:color="auto"/>
                  </w:divBdr>
                  <w:divsChild>
                    <w:div w:id="509686803">
                      <w:marLeft w:val="0"/>
                      <w:marRight w:val="0"/>
                      <w:marTop w:val="0"/>
                      <w:marBottom w:val="0"/>
                      <w:divBdr>
                        <w:top w:val="none" w:sz="0" w:space="0" w:color="auto"/>
                        <w:left w:val="none" w:sz="0" w:space="0" w:color="auto"/>
                        <w:bottom w:val="none" w:sz="0" w:space="0" w:color="auto"/>
                        <w:right w:val="none" w:sz="0" w:space="0" w:color="auto"/>
                      </w:divBdr>
                      <w:divsChild>
                        <w:div w:id="31853756">
                          <w:marLeft w:val="0"/>
                          <w:marRight w:val="0"/>
                          <w:marTop w:val="0"/>
                          <w:marBottom w:val="0"/>
                          <w:divBdr>
                            <w:top w:val="none" w:sz="0" w:space="0" w:color="auto"/>
                            <w:left w:val="none" w:sz="0" w:space="0" w:color="auto"/>
                            <w:bottom w:val="none" w:sz="0" w:space="0" w:color="auto"/>
                            <w:right w:val="none" w:sz="0" w:space="0" w:color="auto"/>
                          </w:divBdr>
                          <w:divsChild>
                            <w:div w:id="1638101086">
                              <w:marLeft w:val="0"/>
                              <w:marRight w:val="0"/>
                              <w:marTop w:val="0"/>
                              <w:marBottom w:val="0"/>
                              <w:divBdr>
                                <w:top w:val="none" w:sz="0" w:space="0" w:color="auto"/>
                                <w:left w:val="none" w:sz="0" w:space="0" w:color="auto"/>
                                <w:bottom w:val="none" w:sz="0" w:space="0" w:color="auto"/>
                                <w:right w:val="none" w:sz="0" w:space="0" w:color="auto"/>
                              </w:divBdr>
                              <w:divsChild>
                                <w:div w:id="15430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7361555">
      <w:bodyDiv w:val="1"/>
      <w:marLeft w:val="0"/>
      <w:marRight w:val="0"/>
      <w:marTop w:val="0"/>
      <w:marBottom w:val="0"/>
      <w:divBdr>
        <w:top w:val="none" w:sz="0" w:space="0" w:color="auto"/>
        <w:left w:val="none" w:sz="0" w:space="0" w:color="auto"/>
        <w:bottom w:val="none" w:sz="0" w:space="0" w:color="auto"/>
        <w:right w:val="none" w:sz="0" w:space="0" w:color="auto"/>
      </w:divBdr>
      <w:divsChild>
        <w:div w:id="363674097">
          <w:marLeft w:val="0"/>
          <w:marRight w:val="0"/>
          <w:marTop w:val="0"/>
          <w:marBottom w:val="0"/>
          <w:divBdr>
            <w:top w:val="none" w:sz="0" w:space="0" w:color="auto"/>
            <w:left w:val="none" w:sz="0" w:space="0" w:color="auto"/>
            <w:bottom w:val="none" w:sz="0" w:space="0" w:color="auto"/>
            <w:right w:val="none" w:sz="0" w:space="0" w:color="auto"/>
          </w:divBdr>
          <w:divsChild>
            <w:div w:id="1128939635">
              <w:marLeft w:val="0"/>
              <w:marRight w:val="0"/>
              <w:marTop w:val="0"/>
              <w:marBottom w:val="0"/>
              <w:divBdr>
                <w:top w:val="none" w:sz="0" w:space="0" w:color="auto"/>
                <w:left w:val="none" w:sz="0" w:space="0" w:color="auto"/>
                <w:bottom w:val="none" w:sz="0" w:space="0" w:color="auto"/>
                <w:right w:val="none" w:sz="0" w:space="0" w:color="auto"/>
              </w:divBdr>
              <w:divsChild>
                <w:div w:id="763692174">
                  <w:marLeft w:val="0"/>
                  <w:marRight w:val="0"/>
                  <w:marTop w:val="0"/>
                  <w:marBottom w:val="0"/>
                  <w:divBdr>
                    <w:top w:val="none" w:sz="0" w:space="0" w:color="auto"/>
                    <w:left w:val="none" w:sz="0" w:space="0" w:color="auto"/>
                    <w:bottom w:val="none" w:sz="0" w:space="0" w:color="auto"/>
                    <w:right w:val="none" w:sz="0" w:space="0" w:color="auto"/>
                  </w:divBdr>
                  <w:divsChild>
                    <w:div w:id="1147822258">
                      <w:marLeft w:val="0"/>
                      <w:marRight w:val="0"/>
                      <w:marTop w:val="0"/>
                      <w:marBottom w:val="0"/>
                      <w:divBdr>
                        <w:top w:val="none" w:sz="0" w:space="0" w:color="auto"/>
                        <w:left w:val="none" w:sz="0" w:space="0" w:color="auto"/>
                        <w:bottom w:val="none" w:sz="0" w:space="0" w:color="auto"/>
                        <w:right w:val="none" w:sz="0" w:space="0" w:color="auto"/>
                      </w:divBdr>
                      <w:divsChild>
                        <w:div w:id="1032726739">
                          <w:marLeft w:val="0"/>
                          <w:marRight w:val="0"/>
                          <w:marTop w:val="0"/>
                          <w:marBottom w:val="0"/>
                          <w:divBdr>
                            <w:top w:val="none" w:sz="0" w:space="0" w:color="auto"/>
                            <w:left w:val="none" w:sz="0" w:space="0" w:color="auto"/>
                            <w:bottom w:val="none" w:sz="0" w:space="0" w:color="auto"/>
                            <w:right w:val="none" w:sz="0" w:space="0" w:color="auto"/>
                          </w:divBdr>
                          <w:divsChild>
                            <w:div w:id="261882745">
                              <w:marLeft w:val="0"/>
                              <w:marRight w:val="0"/>
                              <w:marTop w:val="0"/>
                              <w:marBottom w:val="0"/>
                              <w:divBdr>
                                <w:top w:val="none" w:sz="0" w:space="0" w:color="auto"/>
                                <w:left w:val="none" w:sz="0" w:space="0" w:color="auto"/>
                                <w:bottom w:val="none" w:sz="0" w:space="0" w:color="auto"/>
                                <w:right w:val="none" w:sz="0" w:space="0" w:color="auto"/>
                              </w:divBdr>
                              <w:divsChild>
                                <w:div w:id="1174148745">
                                  <w:marLeft w:val="0"/>
                                  <w:marRight w:val="0"/>
                                  <w:marTop w:val="0"/>
                                  <w:marBottom w:val="0"/>
                                  <w:divBdr>
                                    <w:top w:val="single" w:sz="6" w:space="0" w:color="F5F5F5"/>
                                    <w:left w:val="single" w:sz="6" w:space="0" w:color="F5F5F5"/>
                                    <w:bottom w:val="single" w:sz="6" w:space="0" w:color="F5F5F5"/>
                                    <w:right w:val="single" w:sz="6" w:space="0" w:color="F5F5F5"/>
                                  </w:divBdr>
                                  <w:divsChild>
                                    <w:div w:id="2005089626">
                                      <w:marLeft w:val="0"/>
                                      <w:marRight w:val="0"/>
                                      <w:marTop w:val="0"/>
                                      <w:marBottom w:val="0"/>
                                      <w:divBdr>
                                        <w:top w:val="none" w:sz="0" w:space="0" w:color="auto"/>
                                        <w:left w:val="none" w:sz="0" w:space="0" w:color="auto"/>
                                        <w:bottom w:val="none" w:sz="0" w:space="0" w:color="auto"/>
                                        <w:right w:val="none" w:sz="0" w:space="0" w:color="auto"/>
                                      </w:divBdr>
                                      <w:divsChild>
                                        <w:div w:id="49237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0108320">
      <w:bodyDiv w:val="1"/>
      <w:marLeft w:val="0"/>
      <w:marRight w:val="0"/>
      <w:marTop w:val="0"/>
      <w:marBottom w:val="0"/>
      <w:divBdr>
        <w:top w:val="none" w:sz="0" w:space="0" w:color="auto"/>
        <w:left w:val="none" w:sz="0" w:space="0" w:color="auto"/>
        <w:bottom w:val="none" w:sz="0" w:space="0" w:color="auto"/>
        <w:right w:val="none" w:sz="0" w:space="0" w:color="auto"/>
      </w:divBdr>
    </w:div>
    <w:div w:id="1722172749">
      <w:bodyDiv w:val="1"/>
      <w:marLeft w:val="0"/>
      <w:marRight w:val="0"/>
      <w:marTop w:val="0"/>
      <w:marBottom w:val="0"/>
      <w:divBdr>
        <w:top w:val="none" w:sz="0" w:space="0" w:color="auto"/>
        <w:left w:val="none" w:sz="0" w:space="0" w:color="auto"/>
        <w:bottom w:val="none" w:sz="0" w:space="0" w:color="auto"/>
        <w:right w:val="none" w:sz="0" w:space="0" w:color="auto"/>
      </w:divBdr>
      <w:divsChild>
        <w:div w:id="2024474233">
          <w:marLeft w:val="0"/>
          <w:marRight w:val="0"/>
          <w:marTop w:val="0"/>
          <w:marBottom w:val="0"/>
          <w:divBdr>
            <w:top w:val="none" w:sz="0" w:space="0" w:color="auto"/>
            <w:left w:val="none" w:sz="0" w:space="0" w:color="auto"/>
            <w:bottom w:val="none" w:sz="0" w:space="0" w:color="auto"/>
            <w:right w:val="none" w:sz="0" w:space="0" w:color="auto"/>
          </w:divBdr>
          <w:divsChild>
            <w:div w:id="14579610">
              <w:marLeft w:val="0"/>
              <w:marRight w:val="0"/>
              <w:marTop w:val="0"/>
              <w:marBottom w:val="0"/>
              <w:divBdr>
                <w:top w:val="none" w:sz="0" w:space="0" w:color="auto"/>
                <w:left w:val="none" w:sz="0" w:space="0" w:color="auto"/>
                <w:bottom w:val="none" w:sz="0" w:space="0" w:color="auto"/>
                <w:right w:val="none" w:sz="0" w:space="0" w:color="auto"/>
              </w:divBdr>
              <w:divsChild>
                <w:div w:id="1804303085">
                  <w:marLeft w:val="0"/>
                  <w:marRight w:val="0"/>
                  <w:marTop w:val="0"/>
                  <w:marBottom w:val="0"/>
                  <w:divBdr>
                    <w:top w:val="none" w:sz="0" w:space="0" w:color="auto"/>
                    <w:left w:val="none" w:sz="0" w:space="0" w:color="auto"/>
                    <w:bottom w:val="none" w:sz="0" w:space="0" w:color="auto"/>
                    <w:right w:val="none" w:sz="0" w:space="0" w:color="auto"/>
                  </w:divBdr>
                  <w:divsChild>
                    <w:div w:id="1691953708">
                      <w:marLeft w:val="0"/>
                      <w:marRight w:val="0"/>
                      <w:marTop w:val="0"/>
                      <w:marBottom w:val="0"/>
                      <w:divBdr>
                        <w:top w:val="none" w:sz="0" w:space="0" w:color="auto"/>
                        <w:left w:val="none" w:sz="0" w:space="0" w:color="auto"/>
                        <w:bottom w:val="none" w:sz="0" w:space="0" w:color="auto"/>
                        <w:right w:val="none" w:sz="0" w:space="0" w:color="auto"/>
                      </w:divBdr>
                      <w:divsChild>
                        <w:div w:id="1291088153">
                          <w:marLeft w:val="0"/>
                          <w:marRight w:val="0"/>
                          <w:marTop w:val="0"/>
                          <w:marBottom w:val="0"/>
                          <w:divBdr>
                            <w:top w:val="none" w:sz="0" w:space="0" w:color="auto"/>
                            <w:left w:val="none" w:sz="0" w:space="0" w:color="auto"/>
                            <w:bottom w:val="none" w:sz="0" w:space="0" w:color="auto"/>
                            <w:right w:val="none" w:sz="0" w:space="0" w:color="auto"/>
                          </w:divBdr>
                          <w:divsChild>
                            <w:div w:id="1448354780">
                              <w:marLeft w:val="0"/>
                              <w:marRight w:val="0"/>
                              <w:marTop w:val="0"/>
                              <w:marBottom w:val="0"/>
                              <w:divBdr>
                                <w:top w:val="none" w:sz="0" w:space="0" w:color="auto"/>
                                <w:left w:val="none" w:sz="0" w:space="0" w:color="auto"/>
                                <w:bottom w:val="none" w:sz="0" w:space="0" w:color="auto"/>
                                <w:right w:val="none" w:sz="0" w:space="0" w:color="auto"/>
                              </w:divBdr>
                              <w:divsChild>
                                <w:div w:id="1971351836">
                                  <w:marLeft w:val="0"/>
                                  <w:marRight w:val="0"/>
                                  <w:marTop w:val="0"/>
                                  <w:marBottom w:val="0"/>
                                  <w:divBdr>
                                    <w:top w:val="none" w:sz="0" w:space="0" w:color="auto"/>
                                    <w:left w:val="none" w:sz="0" w:space="0" w:color="auto"/>
                                    <w:bottom w:val="none" w:sz="0" w:space="0" w:color="auto"/>
                                    <w:right w:val="none" w:sz="0" w:space="0" w:color="auto"/>
                                  </w:divBdr>
                                  <w:divsChild>
                                    <w:div w:id="2085225785">
                                      <w:marLeft w:val="0"/>
                                      <w:marRight w:val="0"/>
                                      <w:marTop w:val="0"/>
                                      <w:marBottom w:val="0"/>
                                      <w:divBdr>
                                        <w:top w:val="none" w:sz="0" w:space="0" w:color="auto"/>
                                        <w:left w:val="none" w:sz="0" w:space="0" w:color="auto"/>
                                        <w:bottom w:val="none" w:sz="0" w:space="0" w:color="auto"/>
                                        <w:right w:val="none" w:sz="0" w:space="0" w:color="auto"/>
                                      </w:divBdr>
                                      <w:divsChild>
                                        <w:div w:id="468089477">
                                          <w:marLeft w:val="0"/>
                                          <w:marRight w:val="0"/>
                                          <w:marTop w:val="0"/>
                                          <w:marBottom w:val="413"/>
                                          <w:divBdr>
                                            <w:top w:val="none" w:sz="0" w:space="0" w:color="auto"/>
                                            <w:left w:val="none" w:sz="0" w:space="0" w:color="auto"/>
                                            <w:bottom w:val="none" w:sz="0" w:space="0" w:color="auto"/>
                                            <w:right w:val="none" w:sz="0" w:space="0" w:color="auto"/>
                                          </w:divBdr>
                                          <w:divsChild>
                                            <w:div w:id="182847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3720496">
      <w:bodyDiv w:val="1"/>
      <w:marLeft w:val="0"/>
      <w:marRight w:val="0"/>
      <w:marTop w:val="0"/>
      <w:marBottom w:val="0"/>
      <w:divBdr>
        <w:top w:val="none" w:sz="0" w:space="0" w:color="auto"/>
        <w:left w:val="none" w:sz="0" w:space="0" w:color="auto"/>
        <w:bottom w:val="none" w:sz="0" w:space="0" w:color="auto"/>
        <w:right w:val="none" w:sz="0" w:space="0" w:color="auto"/>
      </w:divBdr>
    </w:div>
    <w:div w:id="1789202226">
      <w:bodyDiv w:val="1"/>
      <w:marLeft w:val="0"/>
      <w:marRight w:val="0"/>
      <w:marTop w:val="0"/>
      <w:marBottom w:val="0"/>
      <w:divBdr>
        <w:top w:val="none" w:sz="0" w:space="0" w:color="auto"/>
        <w:left w:val="none" w:sz="0" w:space="0" w:color="auto"/>
        <w:bottom w:val="none" w:sz="0" w:space="0" w:color="auto"/>
        <w:right w:val="none" w:sz="0" w:space="0" w:color="auto"/>
      </w:divBdr>
      <w:divsChild>
        <w:div w:id="1082608298">
          <w:marLeft w:val="0"/>
          <w:marRight w:val="0"/>
          <w:marTop w:val="0"/>
          <w:marBottom w:val="0"/>
          <w:divBdr>
            <w:top w:val="none" w:sz="0" w:space="0" w:color="auto"/>
            <w:left w:val="none" w:sz="0" w:space="0" w:color="auto"/>
            <w:bottom w:val="none" w:sz="0" w:space="0" w:color="auto"/>
            <w:right w:val="none" w:sz="0" w:space="0" w:color="auto"/>
          </w:divBdr>
          <w:divsChild>
            <w:div w:id="81611116">
              <w:marLeft w:val="0"/>
              <w:marRight w:val="0"/>
              <w:marTop w:val="0"/>
              <w:marBottom w:val="0"/>
              <w:divBdr>
                <w:top w:val="none" w:sz="0" w:space="0" w:color="auto"/>
                <w:left w:val="none" w:sz="0" w:space="0" w:color="auto"/>
                <w:bottom w:val="none" w:sz="0" w:space="0" w:color="auto"/>
                <w:right w:val="none" w:sz="0" w:space="0" w:color="auto"/>
              </w:divBdr>
              <w:divsChild>
                <w:div w:id="1043558201">
                  <w:marLeft w:val="0"/>
                  <w:marRight w:val="0"/>
                  <w:marTop w:val="0"/>
                  <w:marBottom w:val="0"/>
                  <w:divBdr>
                    <w:top w:val="none" w:sz="0" w:space="0" w:color="auto"/>
                    <w:left w:val="none" w:sz="0" w:space="0" w:color="auto"/>
                    <w:bottom w:val="none" w:sz="0" w:space="0" w:color="auto"/>
                    <w:right w:val="none" w:sz="0" w:space="0" w:color="auto"/>
                  </w:divBdr>
                  <w:divsChild>
                    <w:div w:id="1179006174">
                      <w:marLeft w:val="0"/>
                      <w:marRight w:val="0"/>
                      <w:marTop w:val="0"/>
                      <w:marBottom w:val="0"/>
                      <w:divBdr>
                        <w:top w:val="none" w:sz="0" w:space="0" w:color="auto"/>
                        <w:left w:val="none" w:sz="0" w:space="0" w:color="auto"/>
                        <w:bottom w:val="none" w:sz="0" w:space="0" w:color="auto"/>
                        <w:right w:val="none" w:sz="0" w:space="0" w:color="auto"/>
                      </w:divBdr>
                      <w:divsChild>
                        <w:div w:id="1014956374">
                          <w:marLeft w:val="0"/>
                          <w:marRight w:val="0"/>
                          <w:marTop w:val="0"/>
                          <w:marBottom w:val="0"/>
                          <w:divBdr>
                            <w:top w:val="none" w:sz="0" w:space="0" w:color="auto"/>
                            <w:left w:val="none" w:sz="0" w:space="0" w:color="auto"/>
                            <w:bottom w:val="none" w:sz="0" w:space="0" w:color="auto"/>
                            <w:right w:val="none" w:sz="0" w:space="0" w:color="auto"/>
                          </w:divBdr>
                          <w:divsChild>
                            <w:div w:id="1776704990">
                              <w:marLeft w:val="0"/>
                              <w:marRight w:val="0"/>
                              <w:marTop w:val="0"/>
                              <w:marBottom w:val="0"/>
                              <w:divBdr>
                                <w:top w:val="none" w:sz="0" w:space="0" w:color="auto"/>
                                <w:left w:val="none" w:sz="0" w:space="0" w:color="auto"/>
                                <w:bottom w:val="none" w:sz="0" w:space="0" w:color="auto"/>
                                <w:right w:val="none" w:sz="0" w:space="0" w:color="auto"/>
                              </w:divBdr>
                              <w:divsChild>
                                <w:div w:id="229925848">
                                  <w:marLeft w:val="0"/>
                                  <w:marRight w:val="0"/>
                                  <w:marTop w:val="0"/>
                                  <w:marBottom w:val="0"/>
                                  <w:divBdr>
                                    <w:top w:val="none" w:sz="0" w:space="0" w:color="auto"/>
                                    <w:left w:val="none" w:sz="0" w:space="0" w:color="auto"/>
                                    <w:bottom w:val="none" w:sz="0" w:space="0" w:color="auto"/>
                                    <w:right w:val="none" w:sz="0" w:space="0" w:color="auto"/>
                                  </w:divBdr>
                                  <w:divsChild>
                                    <w:div w:id="1101529342">
                                      <w:marLeft w:val="0"/>
                                      <w:marRight w:val="0"/>
                                      <w:marTop w:val="0"/>
                                      <w:marBottom w:val="0"/>
                                      <w:divBdr>
                                        <w:top w:val="none" w:sz="0" w:space="0" w:color="auto"/>
                                        <w:left w:val="none" w:sz="0" w:space="0" w:color="auto"/>
                                        <w:bottom w:val="none" w:sz="0" w:space="0" w:color="auto"/>
                                        <w:right w:val="none" w:sz="0" w:space="0" w:color="auto"/>
                                      </w:divBdr>
                                      <w:divsChild>
                                        <w:div w:id="1465272357">
                                          <w:marLeft w:val="0"/>
                                          <w:marRight w:val="0"/>
                                          <w:marTop w:val="0"/>
                                          <w:marBottom w:val="413"/>
                                          <w:divBdr>
                                            <w:top w:val="none" w:sz="0" w:space="0" w:color="auto"/>
                                            <w:left w:val="none" w:sz="0" w:space="0" w:color="auto"/>
                                            <w:bottom w:val="none" w:sz="0" w:space="0" w:color="auto"/>
                                            <w:right w:val="none" w:sz="0" w:space="0" w:color="auto"/>
                                          </w:divBdr>
                                          <w:divsChild>
                                            <w:div w:id="152509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195047">
      <w:bodyDiv w:val="1"/>
      <w:marLeft w:val="0"/>
      <w:marRight w:val="0"/>
      <w:marTop w:val="0"/>
      <w:marBottom w:val="0"/>
      <w:divBdr>
        <w:top w:val="none" w:sz="0" w:space="0" w:color="auto"/>
        <w:left w:val="none" w:sz="0" w:space="0" w:color="auto"/>
        <w:bottom w:val="none" w:sz="0" w:space="0" w:color="auto"/>
        <w:right w:val="none" w:sz="0" w:space="0" w:color="auto"/>
      </w:divBdr>
      <w:divsChild>
        <w:div w:id="1756703229">
          <w:marLeft w:val="0"/>
          <w:marRight w:val="0"/>
          <w:marTop w:val="0"/>
          <w:marBottom w:val="0"/>
          <w:divBdr>
            <w:top w:val="none" w:sz="0" w:space="0" w:color="auto"/>
            <w:left w:val="none" w:sz="0" w:space="0" w:color="auto"/>
            <w:bottom w:val="none" w:sz="0" w:space="0" w:color="auto"/>
            <w:right w:val="none" w:sz="0" w:space="0" w:color="auto"/>
          </w:divBdr>
          <w:divsChild>
            <w:div w:id="376318198">
              <w:marLeft w:val="0"/>
              <w:marRight w:val="0"/>
              <w:marTop w:val="0"/>
              <w:marBottom w:val="0"/>
              <w:divBdr>
                <w:top w:val="none" w:sz="0" w:space="0" w:color="auto"/>
                <w:left w:val="none" w:sz="0" w:space="0" w:color="auto"/>
                <w:bottom w:val="none" w:sz="0" w:space="0" w:color="auto"/>
                <w:right w:val="none" w:sz="0" w:space="0" w:color="auto"/>
              </w:divBdr>
              <w:divsChild>
                <w:div w:id="1968270374">
                  <w:marLeft w:val="0"/>
                  <w:marRight w:val="0"/>
                  <w:marTop w:val="0"/>
                  <w:marBottom w:val="0"/>
                  <w:divBdr>
                    <w:top w:val="none" w:sz="0" w:space="0" w:color="auto"/>
                    <w:left w:val="none" w:sz="0" w:space="0" w:color="auto"/>
                    <w:bottom w:val="none" w:sz="0" w:space="0" w:color="auto"/>
                    <w:right w:val="none" w:sz="0" w:space="0" w:color="auto"/>
                  </w:divBdr>
                  <w:divsChild>
                    <w:div w:id="1614703700">
                      <w:marLeft w:val="0"/>
                      <w:marRight w:val="0"/>
                      <w:marTop w:val="0"/>
                      <w:marBottom w:val="0"/>
                      <w:divBdr>
                        <w:top w:val="none" w:sz="0" w:space="0" w:color="auto"/>
                        <w:left w:val="none" w:sz="0" w:space="0" w:color="auto"/>
                        <w:bottom w:val="none" w:sz="0" w:space="0" w:color="auto"/>
                        <w:right w:val="none" w:sz="0" w:space="0" w:color="auto"/>
                      </w:divBdr>
                      <w:divsChild>
                        <w:div w:id="1381900666">
                          <w:marLeft w:val="0"/>
                          <w:marRight w:val="0"/>
                          <w:marTop w:val="0"/>
                          <w:marBottom w:val="0"/>
                          <w:divBdr>
                            <w:top w:val="none" w:sz="0" w:space="0" w:color="auto"/>
                            <w:left w:val="none" w:sz="0" w:space="0" w:color="auto"/>
                            <w:bottom w:val="none" w:sz="0" w:space="0" w:color="auto"/>
                            <w:right w:val="none" w:sz="0" w:space="0" w:color="auto"/>
                          </w:divBdr>
                          <w:divsChild>
                            <w:div w:id="1623851153">
                              <w:marLeft w:val="0"/>
                              <w:marRight w:val="0"/>
                              <w:marTop w:val="0"/>
                              <w:marBottom w:val="0"/>
                              <w:divBdr>
                                <w:top w:val="none" w:sz="0" w:space="0" w:color="auto"/>
                                <w:left w:val="none" w:sz="0" w:space="0" w:color="auto"/>
                                <w:bottom w:val="none" w:sz="0" w:space="0" w:color="auto"/>
                                <w:right w:val="none" w:sz="0" w:space="0" w:color="auto"/>
                              </w:divBdr>
                              <w:divsChild>
                                <w:div w:id="850411917">
                                  <w:marLeft w:val="0"/>
                                  <w:marRight w:val="0"/>
                                  <w:marTop w:val="0"/>
                                  <w:marBottom w:val="0"/>
                                  <w:divBdr>
                                    <w:top w:val="none" w:sz="0" w:space="0" w:color="auto"/>
                                    <w:left w:val="none" w:sz="0" w:space="0" w:color="auto"/>
                                    <w:bottom w:val="none" w:sz="0" w:space="0" w:color="auto"/>
                                    <w:right w:val="none" w:sz="0" w:space="0" w:color="auto"/>
                                  </w:divBdr>
                                  <w:divsChild>
                                    <w:div w:id="621037838">
                                      <w:marLeft w:val="0"/>
                                      <w:marRight w:val="0"/>
                                      <w:marTop w:val="0"/>
                                      <w:marBottom w:val="0"/>
                                      <w:divBdr>
                                        <w:top w:val="none" w:sz="0" w:space="0" w:color="auto"/>
                                        <w:left w:val="none" w:sz="0" w:space="0" w:color="auto"/>
                                        <w:bottom w:val="none" w:sz="0" w:space="0" w:color="auto"/>
                                        <w:right w:val="none" w:sz="0" w:space="0" w:color="auto"/>
                                      </w:divBdr>
                                      <w:divsChild>
                                        <w:div w:id="1892763477">
                                          <w:marLeft w:val="0"/>
                                          <w:marRight w:val="0"/>
                                          <w:marTop w:val="0"/>
                                          <w:marBottom w:val="495"/>
                                          <w:divBdr>
                                            <w:top w:val="none" w:sz="0" w:space="0" w:color="auto"/>
                                            <w:left w:val="none" w:sz="0" w:space="0" w:color="auto"/>
                                            <w:bottom w:val="none" w:sz="0" w:space="0" w:color="auto"/>
                                            <w:right w:val="none" w:sz="0" w:space="0" w:color="auto"/>
                                          </w:divBdr>
                                          <w:divsChild>
                                            <w:div w:id="8087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162510">
      <w:bodyDiv w:val="1"/>
      <w:marLeft w:val="0"/>
      <w:marRight w:val="0"/>
      <w:marTop w:val="0"/>
      <w:marBottom w:val="0"/>
      <w:divBdr>
        <w:top w:val="none" w:sz="0" w:space="0" w:color="auto"/>
        <w:left w:val="none" w:sz="0" w:space="0" w:color="auto"/>
        <w:bottom w:val="none" w:sz="0" w:space="0" w:color="auto"/>
        <w:right w:val="none" w:sz="0" w:space="0" w:color="auto"/>
      </w:divBdr>
      <w:divsChild>
        <w:div w:id="1410611654">
          <w:marLeft w:val="0"/>
          <w:marRight w:val="0"/>
          <w:marTop w:val="0"/>
          <w:marBottom w:val="0"/>
          <w:divBdr>
            <w:top w:val="none" w:sz="0" w:space="0" w:color="auto"/>
            <w:left w:val="none" w:sz="0" w:space="0" w:color="auto"/>
            <w:bottom w:val="none" w:sz="0" w:space="0" w:color="auto"/>
            <w:right w:val="none" w:sz="0" w:space="0" w:color="auto"/>
          </w:divBdr>
          <w:divsChild>
            <w:div w:id="1332176445">
              <w:marLeft w:val="0"/>
              <w:marRight w:val="0"/>
              <w:marTop w:val="0"/>
              <w:marBottom w:val="0"/>
              <w:divBdr>
                <w:top w:val="none" w:sz="0" w:space="0" w:color="auto"/>
                <w:left w:val="none" w:sz="0" w:space="0" w:color="auto"/>
                <w:bottom w:val="none" w:sz="0" w:space="0" w:color="auto"/>
                <w:right w:val="none" w:sz="0" w:space="0" w:color="auto"/>
              </w:divBdr>
              <w:divsChild>
                <w:div w:id="1065832469">
                  <w:marLeft w:val="0"/>
                  <w:marRight w:val="0"/>
                  <w:marTop w:val="0"/>
                  <w:marBottom w:val="0"/>
                  <w:divBdr>
                    <w:top w:val="none" w:sz="0" w:space="0" w:color="auto"/>
                    <w:left w:val="none" w:sz="0" w:space="0" w:color="auto"/>
                    <w:bottom w:val="none" w:sz="0" w:space="0" w:color="auto"/>
                    <w:right w:val="none" w:sz="0" w:space="0" w:color="auto"/>
                  </w:divBdr>
                  <w:divsChild>
                    <w:div w:id="2014065019">
                      <w:marLeft w:val="0"/>
                      <w:marRight w:val="0"/>
                      <w:marTop w:val="0"/>
                      <w:marBottom w:val="0"/>
                      <w:divBdr>
                        <w:top w:val="none" w:sz="0" w:space="0" w:color="auto"/>
                        <w:left w:val="none" w:sz="0" w:space="0" w:color="auto"/>
                        <w:bottom w:val="none" w:sz="0" w:space="0" w:color="auto"/>
                        <w:right w:val="none" w:sz="0" w:space="0" w:color="auto"/>
                      </w:divBdr>
                      <w:divsChild>
                        <w:div w:id="128594737">
                          <w:marLeft w:val="0"/>
                          <w:marRight w:val="0"/>
                          <w:marTop w:val="0"/>
                          <w:marBottom w:val="0"/>
                          <w:divBdr>
                            <w:top w:val="none" w:sz="0" w:space="0" w:color="auto"/>
                            <w:left w:val="none" w:sz="0" w:space="0" w:color="auto"/>
                            <w:bottom w:val="none" w:sz="0" w:space="0" w:color="auto"/>
                            <w:right w:val="none" w:sz="0" w:space="0" w:color="auto"/>
                          </w:divBdr>
                          <w:divsChild>
                            <w:div w:id="1067415354">
                              <w:marLeft w:val="0"/>
                              <w:marRight w:val="0"/>
                              <w:marTop w:val="0"/>
                              <w:marBottom w:val="0"/>
                              <w:divBdr>
                                <w:top w:val="none" w:sz="0" w:space="0" w:color="auto"/>
                                <w:left w:val="none" w:sz="0" w:space="0" w:color="auto"/>
                                <w:bottom w:val="none" w:sz="0" w:space="0" w:color="auto"/>
                                <w:right w:val="none" w:sz="0" w:space="0" w:color="auto"/>
                              </w:divBdr>
                              <w:divsChild>
                                <w:div w:id="1514567556">
                                  <w:marLeft w:val="0"/>
                                  <w:marRight w:val="0"/>
                                  <w:marTop w:val="0"/>
                                  <w:marBottom w:val="0"/>
                                  <w:divBdr>
                                    <w:top w:val="none" w:sz="0" w:space="0" w:color="auto"/>
                                    <w:left w:val="none" w:sz="0" w:space="0" w:color="auto"/>
                                    <w:bottom w:val="none" w:sz="0" w:space="0" w:color="auto"/>
                                    <w:right w:val="none" w:sz="0" w:space="0" w:color="auto"/>
                                  </w:divBdr>
                                  <w:divsChild>
                                    <w:div w:id="1583639141">
                                      <w:marLeft w:val="0"/>
                                      <w:marRight w:val="60"/>
                                      <w:marTop w:val="0"/>
                                      <w:marBottom w:val="0"/>
                                      <w:divBdr>
                                        <w:top w:val="none" w:sz="0" w:space="0" w:color="auto"/>
                                        <w:left w:val="none" w:sz="0" w:space="0" w:color="auto"/>
                                        <w:bottom w:val="none" w:sz="0" w:space="0" w:color="auto"/>
                                        <w:right w:val="none" w:sz="0" w:space="0" w:color="auto"/>
                                      </w:divBdr>
                                      <w:divsChild>
                                        <w:div w:id="1610552571">
                                          <w:marLeft w:val="0"/>
                                          <w:marRight w:val="0"/>
                                          <w:marTop w:val="0"/>
                                          <w:marBottom w:val="0"/>
                                          <w:divBdr>
                                            <w:top w:val="none" w:sz="0" w:space="0" w:color="auto"/>
                                            <w:left w:val="none" w:sz="0" w:space="0" w:color="auto"/>
                                            <w:bottom w:val="none" w:sz="0" w:space="0" w:color="auto"/>
                                            <w:right w:val="none" w:sz="0" w:space="0" w:color="auto"/>
                                          </w:divBdr>
                                          <w:divsChild>
                                            <w:div w:id="1404178849">
                                              <w:marLeft w:val="0"/>
                                              <w:marRight w:val="0"/>
                                              <w:marTop w:val="0"/>
                                              <w:marBottom w:val="120"/>
                                              <w:divBdr>
                                                <w:top w:val="single" w:sz="6" w:space="0" w:color="F5F5F5"/>
                                                <w:left w:val="single" w:sz="6" w:space="0" w:color="F5F5F5"/>
                                                <w:bottom w:val="single" w:sz="6" w:space="0" w:color="F5F5F5"/>
                                                <w:right w:val="single" w:sz="6" w:space="0" w:color="F5F5F5"/>
                                              </w:divBdr>
                                              <w:divsChild>
                                                <w:div w:id="1218590726">
                                                  <w:marLeft w:val="0"/>
                                                  <w:marRight w:val="0"/>
                                                  <w:marTop w:val="0"/>
                                                  <w:marBottom w:val="0"/>
                                                  <w:divBdr>
                                                    <w:top w:val="none" w:sz="0" w:space="0" w:color="auto"/>
                                                    <w:left w:val="none" w:sz="0" w:space="0" w:color="auto"/>
                                                    <w:bottom w:val="none" w:sz="0" w:space="0" w:color="auto"/>
                                                    <w:right w:val="none" w:sz="0" w:space="0" w:color="auto"/>
                                                  </w:divBdr>
                                                  <w:divsChild>
                                                    <w:div w:id="492264403">
                                                      <w:marLeft w:val="0"/>
                                                      <w:marRight w:val="0"/>
                                                      <w:marTop w:val="0"/>
                                                      <w:marBottom w:val="0"/>
                                                      <w:divBdr>
                                                        <w:top w:val="none" w:sz="0" w:space="0" w:color="auto"/>
                                                        <w:left w:val="none" w:sz="0" w:space="0" w:color="auto"/>
                                                        <w:bottom w:val="none" w:sz="0" w:space="0" w:color="auto"/>
                                                        <w:right w:val="none" w:sz="0" w:space="0" w:color="auto"/>
                                                      </w:divBdr>
                                                    </w:div>
                                                  </w:divsChild>
                                                </w:div>
                                                <w:div w:id="1473979599">
                                                  <w:marLeft w:val="0"/>
                                                  <w:marRight w:val="0"/>
                                                  <w:marTop w:val="0"/>
                                                  <w:marBottom w:val="0"/>
                                                  <w:divBdr>
                                                    <w:top w:val="none" w:sz="0" w:space="0" w:color="auto"/>
                                                    <w:left w:val="none" w:sz="0" w:space="0" w:color="auto"/>
                                                    <w:bottom w:val="none" w:sz="0" w:space="0" w:color="auto"/>
                                                    <w:right w:val="none" w:sz="0" w:space="0" w:color="auto"/>
                                                  </w:divBdr>
                                                  <w:divsChild>
                                                    <w:div w:id="34525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0249936">
      <w:bodyDiv w:val="1"/>
      <w:marLeft w:val="0"/>
      <w:marRight w:val="0"/>
      <w:marTop w:val="0"/>
      <w:marBottom w:val="0"/>
      <w:divBdr>
        <w:top w:val="none" w:sz="0" w:space="0" w:color="auto"/>
        <w:left w:val="none" w:sz="0" w:space="0" w:color="auto"/>
        <w:bottom w:val="none" w:sz="0" w:space="0" w:color="auto"/>
        <w:right w:val="none" w:sz="0" w:space="0" w:color="auto"/>
      </w:divBdr>
      <w:divsChild>
        <w:div w:id="243146813">
          <w:marLeft w:val="0"/>
          <w:marRight w:val="0"/>
          <w:marTop w:val="0"/>
          <w:marBottom w:val="0"/>
          <w:divBdr>
            <w:top w:val="none" w:sz="0" w:space="0" w:color="auto"/>
            <w:left w:val="none" w:sz="0" w:space="0" w:color="auto"/>
            <w:bottom w:val="none" w:sz="0" w:space="0" w:color="auto"/>
            <w:right w:val="none" w:sz="0" w:space="0" w:color="auto"/>
          </w:divBdr>
          <w:divsChild>
            <w:div w:id="179858994">
              <w:marLeft w:val="0"/>
              <w:marRight w:val="0"/>
              <w:marTop w:val="0"/>
              <w:marBottom w:val="0"/>
              <w:divBdr>
                <w:top w:val="none" w:sz="0" w:space="0" w:color="auto"/>
                <w:left w:val="none" w:sz="0" w:space="0" w:color="auto"/>
                <w:bottom w:val="none" w:sz="0" w:space="0" w:color="auto"/>
                <w:right w:val="none" w:sz="0" w:space="0" w:color="auto"/>
              </w:divBdr>
              <w:divsChild>
                <w:div w:id="123013227">
                  <w:marLeft w:val="0"/>
                  <w:marRight w:val="0"/>
                  <w:marTop w:val="0"/>
                  <w:marBottom w:val="0"/>
                  <w:divBdr>
                    <w:top w:val="none" w:sz="0" w:space="0" w:color="auto"/>
                    <w:left w:val="none" w:sz="0" w:space="0" w:color="auto"/>
                    <w:bottom w:val="none" w:sz="0" w:space="0" w:color="auto"/>
                    <w:right w:val="none" w:sz="0" w:space="0" w:color="auto"/>
                  </w:divBdr>
                  <w:divsChild>
                    <w:div w:id="995111850">
                      <w:marLeft w:val="0"/>
                      <w:marRight w:val="0"/>
                      <w:marTop w:val="0"/>
                      <w:marBottom w:val="0"/>
                      <w:divBdr>
                        <w:top w:val="none" w:sz="0" w:space="0" w:color="auto"/>
                        <w:left w:val="none" w:sz="0" w:space="0" w:color="auto"/>
                        <w:bottom w:val="none" w:sz="0" w:space="0" w:color="auto"/>
                        <w:right w:val="none" w:sz="0" w:space="0" w:color="auto"/>
                      </w:divBdr>
                      <w:divsChild>
                        <w:div w:id="1211957409">
                          <w:marLeft w:val="0"/>
                          <w:marRight w:val="0"/>
                          <w:marTop w:val="0"/>
                          <w:marBottom w:val="0"/>
                          <w:divBdr>
                            <w:top w:val="none" w:sz="0" w:space="0" w:color="auto"/>
                            <w:left w:val="none" w:sz="0" w:space="0" w:color="auto"/>
                            <w:bottom w:val="none" w:sz="0" w:space="0" w:color="auto"/>
                            <w:right w:val="none" w:sz="0" w:space="0" w:color="auto"/>
                          </w:divBdr>
                          <w:divsChild>
                            <w:div w:id="1821342528">
                              <w:marLeft w:val="0"/>
                              <w:marRight w:val="0"/>
                              <w:marTop w:val="0"/>
                              <w:marBottom w:val="0"/>
                              <w:divBdr>
                                <w:top w:val="none" w:sz="0" w:space="0" w:color="auto"/>
                                <w:left w:val="none" w:sz="0" w:space="0" w:color="auto"/>
                                <w:bottom w:val="none" w:sz="0" w:space="0" w:color="auto"/>
                                <w:right w:val="none" w:sz="0" w:space="0" w:color="auto"/>
                              </w:divBdr>
                            </w:div>
                            <w:div w:id="446890706">
                              <w:marLeft w:val="0"/>
                              <w:marRight w:val="0"/>
                              <w:marTop w:val="0"/>
                              <w:marBottom w:val="0"/>
                              <w:divBdr>
                                <w:top w:val="none" w:sz="0" w:space="0" w:color="auto"/>
                                <w:left w:val="none" w:sz="0" w:space="0" w:color="auto"/>
                                <w:bottom w:val="none" w:sz="0" w:space="0" w:color="auto"/>
                                <w:right w:val="none" w:sz="0" w:space="0" w:color="auto"/>
                              </w:divBdr>
                              <w:divsChild>
                                <w:div w:id="1216891967">
                                  <w:marLeft w:val="0"/>
                                  <w:marRight w:val="0"/>
                                  <w:marTop w:val="0"/>
                                  <w:marBottom w:val="0"/>
                                  <w:divBdr>
                                    <w:top w:val="none" w:sz="0" w:space="0" w:color="auto"/>
                                    <w:left w:val="none" w:sz="0" w:space="0" w:color="auto"/>
                                    <w:bottom w:val="none" w:sz="0" w:space="0" w:color="auto"/>
                                    <w:right w:val="none" w:sz="0" w:space="0" w:color="auto"/>
                                  </w:divBdr>
                                  <w:divsChild>
                                    <w:div w:id="962541821">
                                      <w:marLeft w:val="0"/>
                                      <w:marRight w:val="0"/>
                                      <w:marTop w:val="0"/>
                                      <w:marBottom w:val="0"/>
                                      <w:divBdr>
                                        <w:top w:val="none" w:sz="0" w:space="0" w:color="auto"/>
                                        <w:left w:val="none" w:sz="0" w:space="0" w:color="auto"/>
                                        <w:bottom w:val="none" w:sz="0" w:space="0" w:color="auto"/>
                                        <w:right w:val="none" w:sz="0" w:space="0" w:color="auto"/>
                                      </w:divBdr>
                                      <w:divsChild>
                                        <w:div w:id="164141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0565993">
      <w:bodyDiv w:val="1"/>
      <w:marLeft w:val="0"/>
      <w:marRight w:val="0"/>
      <w:marTop w:val="0"/>
      <w:marBottom w:val="0"/>
      <w:divBdr>
        <w:top w:val="none" w:sz="0" w:space="0" w:color="auto"/>
        <w:left w:val="none" w:sz="0" w:space="0" w:color="auto"/>
        <w:bottom w:val="none" w:sz="0" w:space="0" w:color="auto"/>
        <w:right w:val="none" w:sz="0" w:space="0" w:color="auto"/>
      </w:divBdr>
    </w:div>
    <w:div w:id="2103530049">
      <w:bodyDiv w:val="1"/>
      <w:marLeft w:val="0"/>
      <w:marRight w:val="0"/>
      <w:marTop w:val="0"/>
      <w:marBottom w:val="0"/>
      <w:divBdr>
        <w:top w:val="none" w:sz="0" w:space="0" w:color="auto"/>
        <w:left w:val="none" w:sz="0" w:space="0" w:color="auto"/>
        <w:bottom w:val="none" w:sz="0" w:space="0" w:color="auto"/>
        <w:right w:val="none" w:sz="0" w:space="0" w:color="auto"/>
      </w:divBdr>
      <w:divsChild>
        <w:div w:id="656148253">
          <w:marLeft w:val="0"/>
          <w:marRight w:val="0"/>
          <w:marTop w:val="0"/>
          <w:marBottom w:val="0"/>
          <w:divBdr>
            <w:top w:val="none" w:sz="0" w:space="0" w:color="auto"/>
            <w:left w:val="none" w:sz="0" w:space="0" w:color="auto"/>
            <w:bottom w:val="none" w:sz="0" w:space="0" w:color="auto"/>
            <w:right w:val="none" w:sz="0" w:space="0" w:color="auto"/>
          </w:divBdr>
          <w:divsChild>
            <w:div w:id="2108964939">
              <w:marLeft w:val="0"/>
              <w:marRight w:val="0"/>
              <w:marTop w:val="0"/>
              <w:marBottom w:val="0"/>
              <w:divBdr>
                <w:top w:val="none" w:sz="0" w:space="0" w:color="auto"/>
                <w:left w:val="none" w:sz="0" w:space="0" w:color="auto"/>
                <w:bottom w:val="none" w:sz="0" w:space="0" w:color="auto"/>
                <w:right w:val="none" w:sz="0" w:space="0" w:color="auto"/>
              </w:divBdr>
              <w:divsChild>
                <w:div w:id="650864377">
                  <w:marLeft w:val="0"/>
                  <w:marRight w:val="0"/>
                  <w:marTop w:val="0"/>
                  <w:marBottom w:val="0"/>
                  <w:divBdr>
                    <w:top w:val="none" w:sz="0" w:space="0" w:color="auto"/>
                    <w:left w:val="none" w:sz="0" w:space="0" w:color="auto"/>
                    <w:bottom w:val="none" w:sz="0" w:space="0" w:color="auto"/>
                    <w:right w:val="none" w:sz="0" w:space="0" w:color="auto"/>
                  </w:divBdr>
                  <w:divsChild>
                    <w:div w:id="631326923">
                      <w:marLeft w:val="0"/>
                      <w:marRight w:val="0"/>
                      <w:marTop w:val="0"/>
                      <w:marBottom w:val="0"/>
                      <w:divBdr>
                        <w:top w:val="none" w:sz="0" w:space="0" w:color="auto"/>
                        <w:left w:val="none" w:sz="0" w:space="0" w:color="auto"/>
                        <w:bottom w:val="none" w:sz="0" w:space="0" w:color="auto"/>
                        <w:right w:val="none" w:sz="0" w:space="0" w:color="auto"/>
                      </w:divBdr>
                      <w:divsChild>
                        <w:div w:id="1921400293">
                          <w:marLeft w:val="0"/>
                          <w:marRight w:val="0"/>
                          <w:marTop w:val="0"/>
                          <w:marBottom w:val="0"/>
                          <w:divBdr>
                            <w:top w:val="none" w:sz="0" w:space="0" w:color="auto"/>
                            <w:left w:val="none" w:sz="0" w:space="0" w:color="auto"/>
                            <w:bottom w:val="none" w:sz="0" w:space="0" w:color="auto"/>
                            <w:right w:val="none" w:sz="0" w:space="0" w:color="auto"/>
                          </w:divBdr>
                          <w:divsChild>
                            <w:div w:id="1932467398">
                              <w:marLeft w:val="0"/>
                              <w:marRight w:val="0"/>
                              <w:marTop w:val="0"/>
                              <w:marBottom w:val="0"/>
                              <w:divBdr>
                                <w:top w:val="none" w:sz="0" w:space="0" w:color="auto"/>
                                <w:left w:val="none" w:sz="0" w:space="0" w:color="auto"/>
                                <w:bottom w:val="none" w:sz="0" w:space="0" w:color="auto"/>
                                <w:right w:val="none" w:sz="0" w:space="0" w:color="auto"/>
                              </w:divBdr>
                              <w:divsChild>
                                <w:div w:id="1466772306">
                                  <w:marLeft w:val="0"/>
                                  <w:marRight w:val="0"/>
                                  <w:marTop w:val="0"/>
                                  <w:marBottom w:val="0"/>
                                  <w:divBdr>
                                    <w:top w:val="none" w:sz="0" w:space="0" w:color="auto"/>
                                    <w:left w:val="none" w:sz="0" w:space="0" w:color="auto"/>
                                    <w:bottom w:val="none" w:sz="0" w:space="0" w:color="auto"/>
                                    <w:right w:val="none" w:sz="0" w:space="0" w:color="auto"/>
                                  </w:divBdr>
                                  <w:divsChild>
                                    <w:div w:id="349335418">
                                      <w:marLeft w:val="0"/>
                                      <w:marRight w:val="0"/>
                                      <w:marTop w:val="0"/>
                                      <w:marBottom w:val="0"/>
                                      <w:divBdr>
                                        <w:top w:val="none" w:sz="0" w:space="0" w:color="auto"/>
                                        <w:left w:val="none" w:sz="0" w:space="0" w:color="auto"/>
                                        <w:bottom w:val="none" w:sz="0" w:space="0" w:color="auto"/>
                                        <w:right w:val="none" w:sz="0" w:space="0" w:color="auto"/>
                                      </w:divBdr>
                                      <w:divsChild>
                                        <w:div w:id="1078866644">
                                          <w:marLeft w:val="0"/>
                                          <w:marRight w:val="0"/>
                                          <w:marTop w:val="0"/>
                                          <w:marBottom w:val="413"/>
                                          <w:divBdr>
                                            <w:top w:val="none" w:sz="0" w:space="0" w:color="auto"/>
                                            <w:left w:val="none" w:sz="0" w:space="0" w:color="auto"/>
                                            <w:bottom w:val="none" w:sz="0" w:space="0" w:color="auto"/>
                                            <w:right w:val="none" w:sz="0" w:space="0" w:color="auto"/>
                                          </w:divBdr>
                                          <w:divsChild>
                                            <w:div w:id="131356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00">
                <a:latin typeface="Simplified Arabic" pitchFamily="18" charset="-78"/>
                <a:cs typeface="Simplified Arabic" pitchFamily="18" charset="-78"/>
              </a:defRPr>
            </a:pPr>
            <a:r>
              <a:rPr lang="en-US"/>
              <a:t>Year</a:t>
            </a:r>
            <a:endParaRPr lang="ar-SA"/>
          </a:p>
        </c:rich>
      </c:tx>
      <c:layout>
        <c:manualLayout>
          <c:xMode val="edge"/>
          <c:yMode val="edge"/>
          <c:x val="0.46529388819314704"/>
          <c:y val="0.85942386298535112"/>
        </c:manualLayout>
      </c:layout>
      <c:overlay val="0"/>
    </c:title>
    <c:autoTitleDeleted val="0"/>
    <c:plotArea>
      <c:layout>
        <c:manualLayout>
          <c:layoutTarget val="inner"/>
          <c:xMode val="edge"/>
          <c:yMode val="edge"/>
          <c:x val="0.16219015822517663"/>
          <c:y val="5.6094042996770364E-2"/>
          <c:w val="0.83780984177482332"/>
          <c:h val="0.62363609478392668"/>
        </c:manualLayout>
      </c:layout>
      <c:barChart>
        <c:barDir val="col"/>
        <c:grouping val="clustered"/>
        <c:varyColors val="0"/>
        <c:ser>
          <c:idx val="0"/>
          <c:order val="0"/>
          <c:invertIfNegative val="0"/>
          <c:dLbls>
            <c:spPr>
              <a:noFill/>
              <a:ln>
                <a:noFill/>
              </a:ln>
              <a:effectLst/>
            </c:spPr>
            <c:txPr>
              <a:bodyPr/>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Sheet1!$A$1:$P$1</c:f>
              <c:numCache>
                <c:formatCode>General</c:formatCode>
                <c:ptCount val="16"/>
                <c:pt idx="0">
                  <c:v>2023</c:v>
                </c:pt>
                <c:pt idx="1">
                  <c:v>2022</c:v>
                </c:pt>
                <c:pt idx="2">
                  <c:v>2021</c:v>
                </c:pt>
                <c:pt idx="3">
                  <c:v>2020</c:v>
                </c:pt>
                <c:pt idx="4">
                  <c:v>2019</c:v>
                </c:pt>
                <c:pt idx="5">
                  <c:v>2018</c:v>
                </c:pt>
                <c:pt idx="6">
                  <c:v>2017</c:v>
                </c:pt>
                <c:pt idx="7">
                  <c:v>2016</c:v>
                </c:pt>
                <c:pt idx="8">
                  <c:v>2015</c:v>
                </c:pt>
                <c:pt idx="9">
                  <c:v>2014</c:v>
                </c:pt>
                <c:pt idx="10">
                  <c:v>2013</c:v>
                </c:pt>
                <c:pt idx="11">
                  <c:v>2012</c:v>
                </c:pt>
                <c:pt idx="12">
                  <c:v>2011</c:v>
                </c:pt>
                <c:pt idx="13">
                  <c:v>2010</c:v>
                </c:pt>
                <c:pt idx="14">
                  <c:v>2009</c:v>
                </c:pt>
                <c:pt idx="15">
                  <c:v>2008</c:v>
                </c:pt>
              </c:numCache>
            </c:numRef>
          </c:cat>
          <c:val>
            <c:numRef>
              <c:f>Sheet1!$A$2:$P$2</c:f>
              <c:numCache>
                <c:formatCode>General</c:formatCode>
                <c:ptCount val="16"/>
                <c:pt idx="0">
                  <c:v>70</c:v>
                </c:pt>
                <c:pt idx="1">
                  <c:v>98</c:v>
                </c:pt>
                <c:pt idx="2">
                  <c:v>88</c:v>
                </c:pt>
                <c:pt idx="3">
                  <c:v>89</c:v>
                </c:pt>
                <c:pt idx="4">
                  <c:v>48</c:v>
                </c:pt>
                <c:pt idx="5">
                  <c:v>31</c:v>
                </c:pt>
                <c:pt idx="6">
                  <c:v>30</c:v>
                </c:pt>
                <c:pt idx="7">
                  <c:v>35</c:v>
                </c:pt>
                <c:pt idx="8">
                  <c:v>7</c:v>
                </c:pt>
                <c:pt idx="9">
                  <c:v>20</c:v>
                </c:pt>
                <c:pt idx="10">
                  <c:v>14</c:v>
                </c:pt>
                <c:pt idx="11">
                  <c:v>14</c:v>
                </c:pt>
                <c:pt idx="12">
                  <c:v>20</c:v>
                </c:pt>
                <c:pt idx="13">
                  <c:v>70</c:v>
                </c:pt>
                <c:pt idx="14">
                  <c:v>49</c:v>
                </c:pt>
                <c:pt idx="15">
                  <c:v>18</c:v>
                </c:pt>
              </c:numCache>
            </c:numRef>
          </c:val>
          <c:extLst>
            <c:ext xmlns:c16="http://schemas.microsoft.com/office/drawing/2014/chart" uri="{C3380CC4-5D6E-409C-BE32-E72D297353CC}">
              <c16:uniqueId val="{00000000-34C6-43A5-BE5A-E808C9D63199}"/>
            </c:ext>
          </c:extLst>
        </c:ser>
        <c:dLbls>
          <c:showLegendKey val="0"/>
          <c:showVal val="0"/>
          <c:showCatName val="0"/>
          <c:showSerName val="0"/>
          <c:showPercent val="0"/>
          <c:showBubbleSize val="0"/>
        </c:dLbls>
        <c:gapWidth val="150"/>
        <c:axId val="204982912"/>
        <c:axId val="206242176"/>
      </c:barChart>
      <c:catAx>
        <c:axId val="204982912"/>
        <c:scaling>
          <c:orientation val="minMax"/>
        </c:scaling>
        <c:delete val="0"/>
        <c:axPos val="b"/>
        <c:numFmt formatCode="General" sourceLinked="0"/>
        <c:majorTickMark val="none"/>
        <c:minorTickMark val="none"/>
        <c:tickLblPos val="nextTo"/>
        <c:spPr>
          <a:ln w="3175">
            <a:solidFill>
              <a:srgbClr val="000000"/>
            </a:solidFill>
            <a:prstDash val="solid"/>
          </a:ln>
        </c:spPr>
        <c:txPr>
          <a:bodyPr rot="5400000" vert="horz" anchor="ctr" anchorCtr="0"/>
          <a:lstStyle/>
          <a:p>
            <a:pPr>
              <a:defRPr sz="800" b="0" i="0" u="none" strike="noStrike" baseline="0">
                <a:solidFill>
                  <a:srgbClr val="000000"/>
                </a:solidFill>
                <a:latin typeface="Arial"/>
                <a:ea typeface="Arial"/>
                <a:cs typeface="Arial"/>
              </a:defRPr>
            </a:pPr>
            <a:endParaRPr lang="en-US"/>
          </a:p>
        </c:txPr>
        <c:crossAx val="206242176"/>
        <c:crossesAt val="5"/>
        <c:auto val="1"/>
        <c:lblAlgn val="ctr"/>
        <c:lblOffset val="100"/>
        <c:tickLblSkip val="1"/>
        <c:tickMarkSkip val="1"/>
        <c:noMultiLvlLbl val="0"/>
      </c:catAx>
      <c:valAx>
        <c:axId val="206242176"/>
        <c:scaling>
          <c:orientation val="minMax"/>
        </c:scaling>
        <c:delete val="0"/>
        <c:axPos val="l"/>
        <c:title>
          <c:tx>
            <c:rich>
              <a:bodyPr/>
              <a:lstStyle/>
              <a:p>
                <a:pPr>
                  <a:defRPr sz="900"/>
                </a:pPr>
                <a:r>
                  <a:rPr lang="en-US" sz="900">
                    <a:latin typeface="Simplified Arabic" pitchFamily="18" charset="-78"/>
                    <a:cs typeface="Simplified Arabic" pitchFamily="18" charset="-78"/>
                  </a:rPr>
                  <a:t>Demolitions operations</a:t>
                </a:r>
              </a:p>
            </c:rich>
          </c:tx>
          <c:layout>
            <c:manualLayout>
              <c:xMode val="edge"/>
              <c:yMode val="edge"/>
              <c:x val="1.0971355624541281E-3"/>
              <c:y val="0.16831648409632985"/>
            </c:manualLayout>
          </c:layout>
          <c:overlay val="0"/>
        </c:title>
        <c:numFmt formatCode="#,##0" sourceLinked="0"/>
        <c:majorTickMark val="none"/>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204982912"/>
        <c:crosses val="autoZero"/>
        <c:crossBetween val="between"/>
      </c:valAx>
      <c:spPr>
        <a:noFill/>
        <a:ln w="25400">
          <a:noFill/>
        </a:ln>
      </c:spPr>
    </c:plotArea>
    <c:plotVisOnly val="1"/>
    <c:dispBlanksAs val="gap"/>
    <c:showDLblsOverMax val="0"/>
  </c:chart>
  <c:spPr>
    <a:noFill/>
  </c:spPr>
  <c:txPr>
    <a:bodyPr/>
    <a:lstStyle/>
    <a:p>
      <a:pPr>
        <a:defRPr sz="450" b="0" i="0" u="none" strike="noStrike" baseline="0">
          <a:solidFill>
            <a:srgbClr val="000000"/>
          </a:solidFill>
          <a:latin typeface="Arial"/>
          <a:ea typeface="Arial"/>
          <a:cs typeface="Aria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515598524867935"/>
          <c:y val="0.1667661052828579"/>
          <c:w val="0.80837270341207335"/>
          <c:h val="0.53170168363100956"/>
        </c:manualLayout>
      </c:layout>
      <c:lineChart>
        <c:grouping val="standard"/>
        <c:varyColors val="0"/>
        <c:ser>
          <c:idx val="0"/>
          <c:order val="0"/>
          <c:tx>
            <c:strRef>
              <c:f>Sheet1!$B$1</c:f>
              <c:strCache>
                <c:ptCount val="1"/>
                <c:pt idx="0">
                  <c:v>% Palestinian</c:v>
                </c:pt>
              </c:strCache>
            </c:strRef>
          </c:tx>
          <c:spPr>
            <a:ln>
              <a:prstDash val="sysDot"/>
            </a:ln>
          </c:spPr>
          <c:marker>
            <c:symbol val="diamond"/>
            <c:size val="7"/>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marker>
          <c:cat>
            <c:numRef>
              <c:f>Sheet1!$A$2:$A$17</c:f>
              <c:numCache>
                <c:formatCode>General</c:formatCode>
                <c:ptCount val="16"/>
                <c:pt idx="0">
                  <c:v>1914</c:v>
                </c:pt>
                <c:pt idx="1">
                  <c:v>1918</c:v>
                </c:pt>
                <c:pt idx="2">
                  <c:v>1922</c:v>
                </c:pt>
                <c:pt idx="3">
                  <c:v>1931</c:v>
                </c:pt>
                <c:pt idx="4">
                  <c:v>1944</c:v>
                </c:pt>
                <c:pt idx="5">
                  <c:v>1948</c:v>
                </c:pt>
                <c:pt idx="6">
                  <c:v>1966</c:v>
                </c:pt>
                <c:pt idx="7">
                  <c:v>1978</c:v>
                </c:pt>
                <c:pt idx="8">
                  <c:v>1997</c:v>
                </c:pt>
                <c:pt idx="9">
                  <c:v>2017</c:v>
                </c:pt>
                <c:pt idx="10">
                  <c:v>2018</c:v>
                </c:pt>
                <c:pt idx="11">
                  <c:v>2019</c:v>
                </c:pt>
                <c:pt idx="12">
                  <c:v>2020</c:v>
                </c:pt>
                <c:pt idx="13">
                  <c:v>2021</c:v>
                </c:pt>
                <c:pt idx="14">
                  <c:v>2022</c:v>
                </c:pt>
                <c:pt idx="15">
                  <c:v>2023</c:v>
                </c:pt>
              </c:numCache>
            </c:numRef>
          </c:cat>
          <c:val>
            <c:numRef>
              <c:f>Sheet1!$B$2:$B$17</c:f>
              <c:numCache>
                <c:formatCode>General</c:formatCode>
                <c:ptCount val="16"/>
                <c:pt idx="0">
                  <c:v>92</c:v>
                </c:pt>
                <c:pt idx="1">
                  <c:v>92.800000000000011</c:v>
                </c:pt>
                <c:pt idx="2">
                  <c:v>88.9</c:v>
                </c:pt>
                <c:pt idx="3">
                  <c:v>83.14</c:v>
                </c:pt>
                <c:pt idx="4">
                  <c:v>69.599999999999994</c:v>
                </c:pt>
                <c:pt idx="5">
                  <c:v>68.5</c:v>
                </c:pt>
                <c:pt idx="6">
                  <c:v>40.4</c:v>
                </c:pt>
                <c:pt idx="7">
                  <c:v>47.5</c:v>
                </c:pt>
                <c:pt idx="8">
                  <c:v>45.6</c:v>
                </c:pt>
                <c:pt idx="9">
                  <c:v>49.4</c:v>
                </c:pt>
                <c:pt idx="10">
                  <c:v>49.3</c:v>
                </c:pt>
                <c:pt idx="11">
                  <c:v>49.7</c:v>
                </c:pt>
                <c:pt idx="12">
                  <c:v>49.7</c:v>
                </c:pt>
                <c:pt idx="13">
                  <c:v>49.9</c:v>
                </c:pt>
                <c:pt idx="14" formatCode="0.0">
                  <c:v>50.1</c:v>
                </c:pt>
                <c:pt idx="15">
                  <c:v>50.3</c:v>
                </c:pt>
              </c:numCache>
            </c:numRef>
          </c:val>
          <c:smooth val="0"/>
          <c:extLst>
            <c:ext xmlns:c16="http://schemas.microsoft.com/office/drawing/2014/chart" uri="{C3380CC4-5D6E-409C-BE32-E72D297353CC}">
              <c16:uniqueId val="{00000000-4117-416A-BC66-456552D9D35A}"/>
            </c:ext>
          </c:extLst>
        </c:ser>
        <c:ser>
          <c:idx val="1"/>
          <c:order val="1"/>
          <c:tx>
            <c:strRef>
              <c:f>Sheet1!$C$1</c:f>
              <c:strCache>
                <c:ptCount val="1"/>
                <c:pt idx="0">
                  <c:v>% Jewish</c:v>
                </c:pt>
              </c:strCache>
            </c:strRef>
          </c:tx>
          <c:cat>
            <c:numRef>
              <c:f>Sheet1!$A$2:$A$17</c:f>
              <c:numCache>
                <c:formatCode>General</c:formatCode>
                <c:ptCount val="16"/>
                <c:pt idx="0">
                  <c:v>1914</c:v>
                </c:pt>
                <c:pt idx="1">
                  <c:v>1918</c:v>
                </c:pt>
                <c:pt idx="2">
                  <c:v>1922</c:v>
                </c:pt>
                <c:pt idx="3">
                  <c:v>1931</c:v>
                </c:pt>
                <c:pt idx="4">
                  <c:v>1944</c:v>
                </c:pt>
                <c:pt idx="5">
                  <c:v>1948</c:v>
                </c:pt>
                <c:pt idx="6">
                  <c:v>1966</c:v>
                </c:pt>
                <c:pt idx="7">
                  <c:v>1978</c:v>
                </c:pt>
                <c:pt idx="8">
                  <c:v>1997</c:v>
                </c:pt>
                <c:pt idx="9">
                  <c:v>2017</c:v>
                </c:pt>
                <c:pt idx="10">
                  <c:v>2018</c:v>
                </c:pt>
                <c:pt idx="11">
                  <c:v>2019</c:v>
                </c:pt>
                <c:pt idx="12">
                  <c:v>2020</c:v>
                </c:pt>
                <c:pt idx="13">
                  <c:v>2021</c:v>
                </c:pt>
                <c:pt idx="14">
                  <c:v>2022</c:v>
                </c:pt>
                <c:pt idx="15">
                  <c:v>2023</c:v>
                </c:pt>
              </c:numCache>
            </c:numRef>
          </c:cat>
          <c:val>
            <c:numRef>
              <c:f>Sheet1!$C$2:$C$17</c:f>
              <c:numCache>
                <c:formatCode>General</c:formatCode>
                <c:ptCount val="16"/>
                <c:pt idx="0">
                  <c:v>8</c:v>
                </c:pt>
                <c:pt idx="1">
                  <c:v>7.1999999999999993</c:v>
                </c:pt>
                <c:pt idx="2">
                  <c:v>11.1</c:v>
                </c:pt>
                <c:pt idx="3">
                  <c:v>16.86</c:v>
                </c:pt>
                <c:pt idx="4">
                  <c:v>30.4</c:v>
                </c:pt>
                <c:pt idx="5">
                  <c:v>31.5</c:v>
                </c:pt>
                <c:pt idx="6">
                  <c:v>59.6</c:v>
                </c:pt>
                <c:pt idx="7">
                  <c:v>52.5</c:v>
                </c:pt>
                <c:pt idx="8">
                  <c:v>54.4</c:v>
                </c:pt>
                <c:pt idx="9">
                  <c:v>50.6</c:v>
                </c:pt>
                <c:pt idx="10">
                  <c:v>50.7</c:v>
                </c:pt>
                <c:pt idx="11">
                  <c:v>50.3</c:v>
                </c:pt>
                <c:pt idx="12">
                  <c:v>50.3</c:v>
                </c:pt>
                <c:pt idx="13">
                  <c:v>50.1</c:v>
                </c:pt>
                <c:pt idx="14">
                  <c:v>49.9</c:v>
                </c:pt>
                <c:pt idx="15">
                  <c:v>49.7</c:v>
                </c:pt>
              </c:numCache>
            </c:numRef>
          </c:val>
          <c:smooth val="0"/>
          <c:extLst>
            <c:ext xmlns:c16="http://schemas.microsoft.com/office/drawing/2014/chart" uri="{C3380CC4-5D6E-409C-BE32-E72D297353CC}">
              <c16:uniqueId val="{00000001-4117-416A-BC66-456552D9D35A}"/>
            </c:ext>
          </c:extLst>
        </c:ser>
        <c:dLbls>
          <c:showLegendKey val="0"/>
          <c:showVal val="0"/>
          <c:showCatName val="0"/>
          <c:showSerName val="0"/>
          <c:showPercent val="0"/>
          <c:showBubbleSize val="0"/>
        </c:dLbls>
        <c:marker val="1"/>
        <c:smooth val="0"/>
        <c:axId val="-56630720"/>
        <c:axId val="-56628000"/>
      </c:lineChart>
      <c:catAx>
        <c:axId val="-56630720"/>
        <c:scaling>
          <c:orientation val="minMax"/>
        </c:scaling>
        <c:delete val="0"/>
        <c:axPos val="b"/>
        <c:title>
          <c:tx>
            <c:rich>
              <a:bodyPr/>
              <a:lstStyle/>
              <a:p>
                <a:pPr>
                  <a:defRPr lang="en-US"/>
                </a:pPr>
                <a:r>
                  <a:rPr lang="en-US"/>
                  <a:t>Year</a:t>
                </a:r>
              </a:p>
            </c:rich>
          </c:tx>
          <c:overlay val="0"/>
        </c:title>
        <c:numFmt formatCode="General" sourceLinked="1"/>
        <c:majorTickMark val="out"/>
        <c:minorTickMark val="none"/>
        <c:tickLblPos val="nextTo"/>
        <c:txPr>
          <a:bodyPr/>
          <a:lstStyle/>
          <a:p>
            <a:pPr>
              <a:defRPr lang="en-US"/>
            </a:pPr>
            <a:endParaRPr lang="en-US"/>
          </a:p>
        </c:txPr>
        <c:crossAx val="-56628000"/>
        <c:crosses val="autoZero"/>
        <c:auto val="1"/>
        <c:lblAlgn val="ctr"/>
        <c:lblOffset val="100"/>
        <c:noMultiLvlLbl val="0"/>
      </c:catAx>
      <c:valAx>
        <c:axId val="-56628000"/>
        <c:scaling>
          <c:orientation val="minMax"/>
          <c:max val="100"/>
          <c:min val="0"/>
        </c:scaling>
        <c:delete val="0"/>
        <c:axPos val="l"/>
        <c:title>
          <c:tx>
            <c:rich>
              <a:bodyPr rot="0" vert="wordArtVert"/>
              <a:lstStyle/>
              <a:p>
                <a:pPr>
                  <a:defRPr lang="en-US"/>
                </a:pPr>
                <a:r>
                  <a:rPr lang="en-US"/>
                  <a:t>%</a:t>
                </a:r>
              </a:p>
            </c:rich>
          </c:tx>
          <c:overlay val="0"/>
        </c:title>
        <c:numFmt formatCode="General" sourceLinked="1"/>
        <c:majorTickMark val="out"/>
        <c:minorTickMark val="none"/>
        <c:tickLblPos val="nextTo"/>
        <c:txPr>
          <a:bodyPr/>
          <a:lstStyle/>
          <a:p>
            <a:pPr>
              <a:defRPr lang="en-US"/>
            </a:pPr>
            <a:endParaRPr lang="en-US"/>
          </a:p>
        </c:txPr>
        <c:crossAx val="-56630720"/>
        <c:crosses val="autoZero"/>
        <c:crossBetween val="between"/>
        <c:majorUnit val="10"/>
      </c:valAx>
    </c:plotArea>
    <c:legend>
      <c:legendPos val="r"/>
      <c:layout>
        <c:manualLayout>
          <c:xMode val="edge"/>
          <c:yMode val="edge"/>
          <c:x val="0.33885696501640722"/>
          <c:y val="4.2351321359583326E-2"/>
          <c:w val="0.58434532708727871"/>
          <c:h val="0.19944484988156969"/>
        </c:manualLayout>
      </c:layout>
      <c:overlay val="0"/>
      <c:txPr>
        <a:bodyPr/>
        <a:lstStyle/>
        <a:p>
          <a:pPr>
            <a:defRPr lang="en-US"/>
          </a:pPr>
          <a:endParaRPr lang="en-US"/>
        </a:p>
      </c:txPr>
    </c:legend>
    <c:plotVisOnly val="1"/>
    <c:dispBlanksAs val="gap"/>
    <c:showDLblsOverMax val="0"/>
  </c:chart>
  <c:txPr>
    <a:bodyPr/>
    <a:lstStyle/>
    <a:p>
      <a:pPr>
        <a:defRPr sz="900"/>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595354-81D4-4D6B-B0FF-82677C2E3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1931</Words>
  <Characters>11008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The confiscation of land is the reason for the Land Day</vt:lpstr>
    </vt:vector>
  </TitlesOfParts>
  <Company>Hewlett-Packard Company</Company>
  <LinksUpToDate>false</LinksUpToDate>
  <CharactersWithSpaces>12914</CharactersWithSpaces>
  <SharedDoc>false</SharedDoc>
  <HLinks>
    <vt:vector size="6" baseType="variant">
      <vt:variant>
        <vt:i4>2424865</vt:i4>
      </vt:variant>
      <vt:variant>
        <vt:i4>3</vt:i4>
      </vt:variant>
      <vt:variant>
        <vt:i4>0</vt:i4>
      </vt:variant>
      <vt:variant>
        <vt:i4>5</vt:i4>
      </vt:variant>
      <vt:variant>
        <vt:lpwstr>http://www.pcbs.gov.ps/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confiscation of land is the reason for the Land Day</dc:title>
  <dc:creator>arabi</dc:creator>
  <cp:lastModifiedBy>pcbs</cp:lastModifiedBy>
  <cp:revision>2</cp:revision>
  <cp:lastPrinted>2024-05-12T09:04:00Z</cp:lastPrinted>
  <dcterms:created xsi:type="dcterms:W3CDTF">2024-05-12T09:07:00Z</dcterms:created>
  <dcterms:modified xsi:type="dcterms:W3CDTF">2024-05-12T09:07:00Z</dcterms:modified>
</cp:coreProperties>
</file>