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D86" w:rsidRDefault="00DF3D86" w:rsidP="00E36CC7">
      <w:pPr>
        <w:jc w:val="both"/>
        <w:rPr>
          <w:b/>
          <w:bCs/>
          <w:sz w:val="30"/>
          <w:szCs w:val="30"/>
        </w:rPr>
      </w:pPr>
      <w:r w:rsidRPr="00E36CC7">
        <w:rPr>
          <w:b/>
          <w:bCs/>
          <w:sz w:val="30"/>
          <w:szCs w:val="30"/>
        </w:rPr>
        <w:t xml:space="preserve">Dr. Ola Awad, reviews the conditions of the Palestinian people via statistical figures and findings, on the </w:t>
      </w:r>
      <w:r w:rsidR="00E36CC7" w:rsidRPr="00E36CC7">
        <w:rPr>
          <w:rFonts w:hint="cs"/>
          <w:b/>
          <w:bCs/>
          <w:sz w:val="30"/>
          <w:szCs w:val="30"/>
          <w:rtl/>
        </w:rPr>
        <w:t>74</w:t>
      </w:r>
      <w:proofErr w:type="spellStart"/>
      <w:r w:rsidR="00E36CC7" w:rsidRPr="00E36CC7">
        <w:rPr>
          <w:b/>
          <w:bCs/>
          <w:sz w:val="30"/>
          <w:szCs w:val="30"/>
          <w:vertAlign w:val="superscript"/>
        </w:rPr>
        <w:t>th</w:t>
      </w:r>
      <w:proofErr w:type="spellEnd"/>
      <w:r w:rsidR="00E36CC7" w:rsidRPr="00E36CC7">
        <w:rPr>
          <w:b/>
          <w:bCs/>
          <w:sz w:val="30"/>
          <w:szCs w:val="30"/>
        </w:rPr>
        <w:t xml:space="preserve"> </w:t>
      </w:r>
      <w:r w:rsidRPr="00E36CC7">
        <w:rPr>
          <w:b/>
          <w:bCs/>
          <w:sz w:val="30"/>
          <w:szCs w:val="30"/>
        </w:rPr>
        <w:t>Annual Commemoration of the Palestinian Nakba.</w:t>
      </w:r>
    </w:p>
    <w:p w:rsidR="00F562B7" w:rsidRDefault="00F562B7" w:rsidP="00E36CC7">
      <w:pPr>
        <w:jc w:val="both"/>
        <w:rPr>
          <w:b/>
          <w:bCs/>
          <w:sz w:val="30"/>
          <w:szCs w:val="30"/>
        </w:rPr>
      </w:pPr>
    </w:p>
    <w:p w:rsidR="00F562B7" w:rsidRPr="00F562B7" w:rsidRDefault="00F562B7" w:rsidP="00F562B7">
      <w:pPr>
        <w:pStyle w:val="BodyTextIndent"/>
        <w:spacing w:after="0"/>
        <w:ind w:left="0"/>
        <w:jc w:val="center"/>
        <w:rPr>
          <w:b/>
          <w:bCs/>
          <w:sz w:val="30"/>
          <w:szCs w:val="30"/>
          <w:lang w:bidi="ar-JO"/>
        </w:rPr>
      </w:pPr>
      <w:bookmarkStart w:id="0" w:name="_GoBack"/>
      <w:r w:rsidRPr="00F562B7">
        <w:rPr>
          <w:b/>
          <w:bCs/>
          <w:sz w:val="30"/>
          <w:szCs w:val="30"/>
        </w:rPr>
        <w:t xml:space="preserve">On the </w:t>
      </w:r>
      <w:r w:rsidRPr="00F562B7">
        <w:rPr>
          <w:rFonts w:hint="cs"/>
          <w:b/>
          <w:bCs/>
          <w:sz w:val="30"/>
          <w:szCs w:val="30"/>
          <w:rtl/>
        </w:rPr>
        <w:t>74</w:t>
      </w:r>
      <w:proofErr w:type="spellStart"/>
      <w:r w:rsidRPr="00F562B7">
        <w:rPr>
          <w:b/>
          <w:bCs/>
          <w:sz w:val="30"/>
          <w:szCs w:val="30"/>
          <w:vertAlign w:val="superscript"/>
        </w:rPr>
        <w:t>th</w:t>
      </w:r>
      <w:proofErr w:type="spellEnd"/>
      <w:r w:rsidRPr="00F562B7">
        <w:rPr>
          <w:b/>
          <w:bCs/>
          <w:sz w:val="30"/>
          <w:szCs w:val="30"/>
        </w:rPr>
        <w:t xml:space="preserve"> Annual Commemoration </w:t>
      </w:r>
      <w:r w:rsidRPr="00F562B7">
        <w:rPr>
          <w:b/>
          <w:bCs/>
          <w:sz w:val="30"/>
          <w:szCs w:val="30"/>
          <w:lang w:bidi="ar-JO"/>
        </w:rPr>
        <w:t>of the Palestinian Nakba</w:t>
      </w:r>
    </w:p>
    <w:p w:rsidR="00F562B7" w:rsidRPr="00F562B7" w:rsidRDefault="00F562B7" w:rsidP="00F562B7">
      <w:pPr>
        <w:jc w:val="center"/>
        <w:rPr>
          <w:b/>
          <w:bCs/>
          <w:sz w:val="30"/>
          <w:szCs w:val="30"/>
        </w:rPr>
      </w:pPr>
      <w:r w:rsidRPr="00F562B7">
        <w:rPr>
          <w:b/>
          <w:bCs/>
          <w:sz w:val="30"/>
          <w:szCs w:val="30"/>
        </w:rPr>
        <w:t>The Number of Palestinians Worldwide has doubled about 10 Times</w:t>
      </w:r>
    </w:p>
    <w:p w:rsidR="00F562B7" w:rsidRPr="00F562B7" w:rsidRDefault="00F562B7" w:rsidP="00E36CC7">
      <w:pPr>
        <w:jc w:val="both"/>
        <w:rPr>
          <w:b/>
          <w:bCs/>
          <w:sz w:val="28"/>
          <w:szCs w:val="28"/>
        </w:rPr>
      </w:pPr>
    </w:p>
    <w:bookmarkEnd w:id="0"/>
    <w:p w:rsidR="00DF3D86" w:rsidRPr="004C68D6" w:rsidRDefault="00DF3D86" w:rsidP="00DF3D86">
      <w:pPr>
        <w:rPr>
          <w:b/>
          <w:bCs/>
          <w:sz w:val="16"/>
          <w:szCs w:val="16"/>
        </w:rPr>
      </w:pPr>
    </w:p>
    <w:p w:rsidR="00DF3D86" w:rsidRPr="00671DA6" w:rsidRDefault="00DF3D86" w:rsidP="00E36CC7">
      <w:pPr>
        <w:rPr>
          <w:rFonts w:ascii="Calibri" w:hAnsi="Calibri"/>
          <w:b/>
          <w:bCs/>
          <w:color w:val="1F497D"/>
          <w:sz w:val="28"/>
          <w:szCs w:val="28"/>
        </w:rPr>
      </w:pPr>
      <w:r w:rsidRPr="00671DA6">
        <w:rPr>
          <w:b/>
          <w:bCs/>
          <w:sz w:val="28"/>
          <w:szCs w:val="28"/>
        </w:rPr>
        <w:t xml:space="preserve">H.E. Dr. Ola Awad, President of the Palestinian Central Bureau of Statistics (PCBS), via figures, historical and current data, reviewed the geographical, demographical and economic situation of the Palestinian People on the </w:t>
      </w:r>
      <w:proofErr w:type="gramStart"/>
      <w:r w:rsidR="00E36CC7" w:rsidRPr="00671DA6">
        <w:rPr>
          <w:rFonts w:hint="cs"/>
          <w:b/>
          <w:bCs/>
          <w:sz w:val="28"/>
          <w:szCs w:val="28"/>
          <w:rtl/>
        </w:rPr>
        <w:t>74</w:t>
      </w:r>
      <w:proofErr w:type="spellStart"/>
      <w:r w:rsidR="00E36CC7" w:rsidRPr="00671DA6">
        <w:rPr>
          <w:b/>
          <w:bCs/>
          <w:sz w:val="28"/>
          <w:szCs w:val="28"/>
          <w:vertAlign w:val="superscript"/>
        </w:rPr>
        <w:t>th</w:t>
      </w:r>
      <w:proofErr w:type="spellEnd"/>
      <w:r w:rsidRPr="00671DA6">
        <w:rPr>
          <w:b/>
          <w:bCs/>
          <w:sz w:val="28"/>
          <w:szCs w:val="28"/>
        </w:rPr>
        <w:t xml:space="preserve">  Annual</w:t>
      </w:r>
      <w:proofErr w:type="gramEnd"/>
      <w:r w:rsidRPr="00671DA6">
        <w:rPr>
          <w:b/>
          <w:bCs/>
          <w:sz w:val="28"/>
          <w:szCs w:val="28"/>
        </w:rPr>
        <w:t xml:space="preserve"> Commemoration of the Palestinian Nakba, which occur takes place on May, 15</w:t>
      </w:r>
      <w:r w:rsidRPr="00671DA6">
        <w:rPr>
          <w:b/>
          <w:bCs/>
          <w:sz w:val="28"/>
          <w:szCs w:val="28"/>
          <w:vertAlign w:val="superscript"/>
        </w:rPr>
        <w:t>th</w:t>
      </w:r>
      <w:r w:rsidRPr="00671DA6">
        <w:rPr>
          <w:b/>
          <w:bCs/>
          <w:sz w:val="28"/>
          <w:szCs w:val="28"/>
        </w:rPr>
        <w:t xml:space="preserve">; and those figures and data run as the following: </w:t>
      </w:r>
      <w:r w:rsidRPr="00671DA6">
        <w:rPr>
          <w:b/>
          <w:bCs/>
          <w:color w:val="1F497D"/>
          <w:sz w:val="28"/>
          <w:szCs w:val="28"/>
        </w:rPr>
        <w:t> </w:t>
      </w:r>
    </w:p>
    <w:p w:rsidR="00DF3D86" w:rsidRDefault="00DF3D86" w:rsidP="00CC143A">
      <w:pPr>
        <w:pStyle w:val="BodyTextIndent"/>
        <w:spacing w:after="0"/>
        <w:ind w:left="0"/>
        <w:jc w:val="center"/>
        <w:rPr>
          <w:b/>
          <w:bCs/>
        </w:rPr>
      </w:pPr>
    </w:p>
    <w:p w:rsidR="00DF3D86" w:rsidRDefault="00DF3D86" w:rsidP="00CC143A">
      <w:pPr>
        <w:pStyle w:val="BodyTextIndent"/>
        <w:spacing w:after="0"/>
        <w:ind w:left="0"/>
        <w:jc w:val="center"/>
        <w:rPr>
          <w:b/>
          <w:bCs/>
        </w:rPr>
      </w:pPr>
    </w:p>
    <w:p w:rsidR="00E46689" w:rsidRDefault="00E46689" w:rsidP="00671DA6">
      <w:pPr>
        <w:jc w:val="both"/>
        <w:rPr>
          <w:b/>
          <w:bCs/>
          <w:sz w:val="28"/>
          <w:szCs w:val="28"/>
        </w:rPr>
      </w:pPr>
      <w:r w:rsidRPr="00671DA6">
        <w:rPr>
          <w:b/>
          <w:bCs/>
          <w:sz w:val="28"/>
          <w:szCs w:val="28"/>
        </w:rPr>
        <w:t>The Nakba: Ethnic cleansing, displacement of Palestinians and settler colonialism</w:t>
      </w:r>
    </w:p>
    <w:p w:rsidR="00671DA6" w:rsidRPr="00671DA6" w:rsidRDefault="00671DA6" w:rsidP="00671DA6">
      <w:pPr>
        <w:jc w:val="both"/>
        <w:rPr>
          <w:b/>
          <w:bCs/>
          <w:sz w:val="10"/>
          <w:szCs w:val="10"/>
        </w:rPr>
      </w:pPr>
    </w:p>
    <w:p w:rsidR="00E46689" w:rsidRPr="00671DA6" w:rsidRDefault="00E46689" w:rsidP="0081398B">
      <w:pPr>
        <w:rPr>
          <w:sz w:val="26"/>
          <w:szCs w:val="26"/>
        </w:rPr>
      </w:pPr>
      <w:r w:rsidRPr="00671DA6">
        <w:rPr>
          <w:i/>
          <w:iCs/>
          <w:sz w:val="26"/>
          <w:szCs w:val="26"/>
        </w:rPr>
        <w:t>Nakba</w:t>
      </w:r>
      <w:r w:rsidRPr="00671DA6">
        <w:rPr>
          <w:sz w:val="26"/>
          <w:szCs w:val="26"/>
        </w:rPr>
        <w:t xml:space="preserve"> in Palestine describes a process of ethnic cleansing in which an unarmed </w:t>
      </w:r>
      <w:r w:rsidR="00916E93" w:rsidRPr="00671DA6">
        <w:rPr>
          <w:sz w:val="26"/>
          <w:szCs w:val="26"/>
        </w:rPr>
        <w:t xml:space="preserve">native </w:t>
      </w:r>
      <w:r w:rsidRPr="00671DA6">
        <w:rPr>
          <w:sz w:val="26"/>
          <w:szCs w:val="26"/>
        </w:rPr>
        <w:t xml:space="preserve">nation was destroyed and its population displaced systematically </w:t>
      </w:r>
      <w:r w:rsidR="00916E93" w:rsidRPr="00671DA6">
        <w:rPr>
          <w:sz w:val="26"/>
          <w:szCs w:val="26"/>
        </w:rPr>
        <w:t>to be replaced by Jewish occupiers</w:t>
      </w:r>
      <w:r w:rsidRPr="00671DA6">
        <w:rPr>
          <w:sz w:val="26"/>
          <w:szCs w:val="26"/>
        </w:rPr>
        <w:t xml:space="preserve"> </w:t>
      </w:r>
      <w:r w:rsidR="00916E93" w:rsidRPr="00671DA6">
        <w:rPr>
          <w:sz w:val="26"/>
          <w:szCs w:val="26"/>
        </w:rPr>
        <w:t xml:space="preserve">from </w:t>
      </w:r>
      <w:r w:rsidRPr="00671DA6">
        <w:rPr>
          <w:sz w:val="26"/>
          <w:szCs w:val="26"/>
        </w:rPr>
        <w:t xml:space="preserve">all over the world. The </w:t>
      </w:r>
      <w:r w:rsidRPr="00671DA6">
        <w:rPr>
          <w:i/>
          <w:iCs/>
          <w:sz w:val="26"/>
          <w:szCs w:val="26"/>
        </w:rPr>
        <w:t>Nakba</w:t>
      </w:r>
      <w:r w:rsidRPr="00671DA6">
        <w:rPr>
          <w:sz w:val="26"/>
          <w:szCs w:val="26"/>
        </w:rPr>
        <w:t xml:space="preserve"> resulted in the displacement of 800 thousand Palestinians out of the 1.4 million Palestinians who </w:t>
      </w:r>
      <w:r w:rsidR="0088077D" w:rsidRPr="00671DA6">
        <w:rPr>
          <w:sz w:val="26"/>
          <w:szCs w:val="26"/>
        </w:rPr>
        <w:t xml:space="preserve">were living </w:t>
      </w:r>
      <w:r w:rsidRPr="00671DA6">
        <w:rPr>
          <w:sz w:val="26"/>
          <w:szCs w:val="26"/>
        </w:rPr>
        <w:t>in historical Palestine in 1948 in 1,300 villages and towns. The majority of the displaced Palestinians ended up in neighboring Arab countries, in the West Bank</w:t>
      </w:r>
      <w:r w:rsidR="0081398B" w:rsidRPr="00671DA6">
        <w:rPr>
          <w:sz w:val="26"/>
          <w:szCs w:val="26"/>
        </w:rPr>
        <w:t xml:space="preserve">, </w:t>
      </w:r>
      <w:r w:rsidRPr="00671DA6">
        <w:rPr>
          <w:sz w:val="26"/>
          <w:szCs w:val="26"/>
        </w:rPr>
        <w:t xml:space="preserve">Gaza Strip and other countries in the world. Furthermore, thousands of Palestinians – who stayed in the </w:t>
      </w:r>
      <w:r w:rsidR="0088077D" w:rsidRPr="00671DA6">
        <w:rPr>
          <w:sz w:val="26"/>
          <w:szCs w:val="26"/>
        </w:rPr>
        <w:t xml:space="preserve">land </w:t>
      </w:r>
      <w:r w:rsidRPr="00671DA6">
        <w:rPr>
          <w:sz w:val="26"/>
          <w:szCs w:val="26"/>
        </w:rPr>
        <w:t>controlled by the Israeli occupation in 1948 – were driven out of their homes and lands</w:t>
      </w:r>
      <w:r w:rsidR="0088077D" w:rsidRPr="00671DA6">
        <w:rPr>
          <w:sz w:val="26"/>
          <w:szCs w:val="26"/>
        </w:rPr>
        <w:t xml:space="preserve"> </w:t>
      </w:r>
      <w:r w:rsidR="0081398B" w:rsidRPr="00671DA6">
        <w:rPr>
          <w:sz w:val="26"/>
          <w:szCs w:val="26"/>
        </w:rPr>
        <w:t xml:space="preserve">that </w:t>
      </w:r>
      <w:r w:rsidRPr="00671DA6">
        <w:rPr>
          <w:sz w:val="26"/>
          <w:szCs w:val="26"/>
        </w:rPr>
        <w:t>were seized</w:t>
      </w:r>
      <w:r w:rsidR="0088077D" w:rsidRPr="00671DA6">
        <w:rPr>
          <w:sz w:val="26"/>
          <w:szCs w:val="26"/>
        </w:rPr>
        <w:t>.</w:t>
      </w:r>
    </w:p>
    <w:p w:rsidR="00E46689" w:rsidRPr="00671DA6" w:rsidRDefault="00E46689" w:rsidP="00FE777C">
      <w:pPr>
        <w:rPr>
          <w:sz w:val="26"/>
          <w:szCs w:val="26"/>
        </w:rPr>
      </w:pPr>
      <w:r w:rsidRPr="00671DA6">
        <w:rPr>
          <w:sz w:val="26"/>
          <w:szCs w:val="26"/>
        </w:rPr>
        <w:tab/>
      </w:r>
    </w:p>
    <w:p w:rsidR="00E46689" w:rsidRPr="00671DA6" w:rsidRDefault="00E46689" w:rsidP="00FE777C">
      <w:pPr>
        <w:rPr>
          <w:sz w:val="26"/>
          <w:szCs w:val="26"/>
        </w:rPr>
      </w:pPr>
      <w:r w:rsidRPr="00671DA6">
        <w:rPr>
          <w:sz w:val="26"/>
          <w:szCs w:val="26"/>
        </w:rPr>
        <w:t xml:space="preserve">According to the </w:t>
      </w:r>
      <w:r w:rsidR="0088077D" w:rsidRPr="00671DA6">
        <w:rPr>
          <w:sz w:val="26"/>
          <w:szCs w:val="26"/>
        </w:rPr>
        <w:t xml:space="preserve">historical </w:t>
      </w:r>
      <w:r w:rsidRPr="00671DA6">
        <w:rPr>
          <w:sz w:val="26"/>
          <w:szCs w:val="26"/>
        </w:rPr>
        <w:t xml:space="preserve">documentary evidence, the Israeli Occupation controlled 774 towns and villages and destroyed 531 Palestinian towns and villages during the </w:t>
      </w:r>
      <w:r w:rsidRPr="00671DA6">
        <w:rPr>
          <w:i/>
          <w:iCs/>
          <w:sz w:val="26"/>
          <w:szCs w:val="26"/>
        </w:rPr>
        <w:t>Nakba</w:t>
      </w:r>
      <w:r w:rsidRPr="00671DA6">
        <w:rPr>
          <w:sz w:val="26"/>
          <w:szCs w:val="26"/>
        </w:rPr>
        <w:t xml:space="preserve">. The </w:t>
      </w:r>
      <w:proofErr w:type="gramStart"/>
      <w:r w:rsidRPr="00671DA6">
        <w:rPr>
          <w:sz w:val="26"/>
          <w:szCs w:val="26"/>
        </w:rPr>
        <w:t>atrocities</w:t>
      </w:r>
      <w:proofErr w:type="gramEnd"/>
      <w:r w:rsidRPr="00671DA6">
        <w:rPr>
          <w:sz w:val="26"/>
          <w:szCs w:val="26"/>
        </w:rPr>
        <w:t xml:space="preserve"> of Zionist forces also included more than 70 massacres in which more than 15 thousand Palestinians were martyred.</w:t>
      </w:r>
    </w:p>
    <w:p w:rsidR="00E46689" w:rsidRPr="00671DA6" w:rsidRDefault="00E46689" w:rsidP="00FE777C">
      <w:pPr>
        <w:rPr>
          <w:sz w:val="26"/>
          <w:szCs w:val="26"/>
        </w:rPr>
      </w:pPr>
    </w:p>
    <w:p w:rsidR="00E46689" w:rsidRPr="00671DA6" w:rsidRDefault="00E46689" w:rsidP="00FE777C">
      <w:pPr>
        <w:jc w:val="left"/>
        <w:rPr>
          <w:b/>
          <w:bCs/>
          <w:sz w:val="28"/>
          <w:szCs w:val="28"/>
        </w:rPr>
      </w:pPr>
      <w:r w:rsidRPr="00671DA6">
        <w:rPr>
          <w:b/>
          <w:bCs/>
          <w:sz w:val="28"/>
          <w:szCs w:val="28"/>
        </w:rPr>
        <w:t xml:space="preserve">The Demographic Reality: </w:t>
      </w:r>
      <w:r w:rsidR="0016756A" w:rsidRPr="00671DA6">
        <w:rPr>
          <w:b/>
          <w:bCs/>
          <w:sz w:val="28"/>
          <w:szCs w:val="28"/>
        </w:rPr>
        <w:t xml:space="preserve">The </w:t>
      </w:r>
      <w:r w:rsidRPr="00671DA6">
        <w:rPr>
          <w:b/>
          <w:bCs/>
          <w:sz w:val="28"/>
          <w:szCs w:val="28"/>
        </w:rPr>
        <w:t xml:space="preserve">Palestinian population has </w:t>
      </w:r>
      <w:r w:rsidRPr="00671DA6">
        <w:rPr>
          <w:b/>
          <w:bCs/>
          <w:sz w:val="28"/>
          <w:szCs w:val="28"/>
          <w:lang w:bidi="ar-JO"/>
        </w:rPr>
        <w:t xml:space="preserve">doubled </w:t>
      </w:r>
      <w:r w:rsidR="00B753F8" w:rsidRPr="00671DA6">
        <w:rPr>
          <w:b/>
          <w:bCs/>
          <w:sz w:val="28"/>
          <w:szCs w:val="28"/>
        </w:rPr>
        <w:t xml:space="preserve">about 10 times </w:t>
      </w:r>
      <w:r w:rsidRPr="00671DA6">
        <w:rPr>
          <w:b/>
          <w:bCs/>
          <w:sz w:val="28"/>
          <w:szCs w:val="28"/>
        </w:rPr>
        <w:t>since the Nakba</w:t>
      </w:r>
      <w:r w:rsidR="0016756A" w:rsidRPr="00671DA6">
        <w:rPr>
          <w:b/>
          <w:bCs/>
          <w:sz w:val="28"/>
          <w:szCs w:val="28"/>
        </w:rPr>
        <w:t xml:space="preserve"> in</w:t>
      </w:r>
      <w:r w:rsidRPr="00671DA6">
        <w:rPr>
          <w:b/>
          <w:bCs/>
          <w:sz w:val="28"/>
          <w:szCs w:val="28"/>
        </w:rPr>
        <w:t xml:space="preserve"> 1948</w:t>
      </w:r>
    </w:p>
    <w:p w:rsidR="00E46689" w:rsidRPr="00671DA6" w:rsidRDefault="00E46689" w:rsidP="00BE1F04">
      <w:pPr>
        <w:rPr>
          <w:rFonts w:asciiTheme="majorBidi" w:hAnsiTheme="majorBidi" w:cstheme="majorBidi"/>
          <w:sz w:val="26"/>
          <w:szCs w:val="26"/>
        </w:rPr>
      </w:pPr>
      <w:r w:rsidRPr="00671DA6">
        <w:rPr>
          <w:rFonts w:asciiTheme="majorBidi" w:hAnsiTheme="majorBidi" w:cstheme="majorBidi"/>
          <w:sz w:val="26"/>
          <w:szCs w:val="26"/>
        </w:rPr>
        <w:t>The population of Palestine in 1914 was around 690 thousand; of whom only 8% were Jewish. In 1948, the number of Palestinians in Palestine exceeded 2 million; 31.5% of them were Jews. Between 1932 and 1939, the largest number of Jewish immigrants to Palestine reached 225 thousand Jews. Between 1940 and 1947, more than 93 thousand Jews poured into Palestine. Thus, Palestine received around 318 thousand Jews between 1932 and 1947 and 540 thousand from 1948 to 1975.</w:t>
      </w:r>
    </w:p>
    <w:p w:rsidR="00E46689" w:rsidRPr="00671DA6" w:rsidRDefault="00E46689" w:rsidP="00FE777C">
      <w:pPr>
        <w:rPr>
          <w:rFonts w:asciiTheme="majorBidi" w:hAnsiTheme="majorBidi" w:cstheme="majorBidi"/>
          <w:sz w:val="26"/>
          <w:szCs w:val="26"/>
        </w:rPr>
      </w:pPr>
    </w:p>
    <w:p w:rsidR="00E46689" w:rsidRPr="00671DA6" w:rsidRDefault="00E46689" w:rsidP="00D039A5">
      <w:pPr>
        <w:rPr>
          <w:sz w:val="26"/>
          <w:szCs w:val="26"/>
        </w:rPr>
      </w:pPr>
      <w:r w:rsidRPr="00671DA6">
        <w:rPr>
          <w:rFonts w:asciiTheme="majorBidi" w:hAnsiTheme="majorBidi" w:cstheme="majorBidi"/>
          <w:sz w:val="26"/>
          <w:szCs w:val="26"/>
        </w:rPr>
        <w:t xml:space="preserve">Despite the displacement of more than 800 thousand Palestinians in 1948, </w:t>
      </w:r>
      <w:r w:rsidR="007E000E" w:rsidRPr="00671DA6">
        <w:rPr>
          <w:rFonts w:asciiTheme="majorBidi" w:hAnsiTheme="majorBidi" w:cstheme="majorBidi"/>
          <w:sz w:val="26"/>
          <w:szCs w:val="26"/>
        </w:rPr>
        <w:t xml:space="preserve">as well as </w:t>
      </w:r>
      <w:r w:rsidRPr="00671DA6">
        <w:rPr>
          <w:rFonts w:asciiTheme="majorBidi" w:hAnsiTheme="majorBidi" w:cstheme="majorBidi"/>
          <w:sz w:val="26"/>
          <w:szCs w:val="26"/>
        </w:rPr>
        <w:t xml:space="preserve">the displacement of more than 200 thousand Palestinians (majority of them to Jordan) after the 1967 war, </w:t>
      </w:r>
      <w:r w:rsidRPr="00671DA6">
        <w:rPr>
          <w:sz w:val="26"/>
          <w:szCs w:val="26"/>
        </w:rPr>
        <w:t xml:space="preserve">the Palestinian world population </w:t>
      </w:r>
      <w:r w:rsidR="0088077D" w:rsidRPr="00671DA6">
        <w:rPr>
          <w:sz w:val="26"/>
          <w:szCs w:val="26"/>
        </w:rPr>
        <w:t xml:space="preserve">was </w:t>
      </w:r>
      <w:r w:rsidR="00154E06" w:rsidRPr="00671DA6">
        <w:rPr>
          <w:sz w:val="26"/>
          <w:szCs w:val="26"/>
        </w:rPr>
        <w:t>14</w:t>
      </w:r>
      <w:r w:rsidRPr="00671DA6">
        <w:rPr>
          <w:sz w:val="26"/>
          <w:szCs w:val="26"/>
        </w:rPr>
        <w:t xml:space="preserve"> million by the end of </w:t>
      </w:r>
      <w:r w:rsidR="00154E06" w:rsidRPr="00671DA6">
        <w:rPr>
          <w:sz w:val="26"/>
          <w:szCs w:val="26"/>
        </w:rPr>
        <w:t>2021</w:t>
      </w:r>
      <w:r w:rsidRPr="00671DA6">
        <w:rPr>
          <w:rFonts w:asciiTheme="majorBidi" w:hAnsiTheme="majorBidi" w:cstheme="majorBidi"/>
          <w:sz w:val="26"/>
          <w:szCs w:val="26"/>
        </w:rPr>
        <w:t xml:space="preserve">, which means that the number of Palestinians in the world has doubled </w:t>
      </w:r>
      <w:r w:rsidR="00B753F8" w:rsidRPr="00671DA6">
        <w:rPr>
          <w:rFonts w:asciiTheme="majorBidi" w:hAnsiTheme="majorBidi" w:cstheme="majorBidi"/>
          <w:sz w:val="26"/>
          <w:szCs w:val="26"/>
        </w:rPr>
        <w:t xml:space="preserve">about 10 times </w:t>
      </w:r>
      <w:r w:rsidRPr="00671DA6">
        <w:rPr>
          <w:rFonts w:asciiTheme="majorBidi" w:hAnsiTheme="majorBidi" w:cstheme="majorBidi"/>
          <w:sz w:val="26"/>
          <w:szCs w:val="26"/>
        </w:rPr>
        <w:t xml:space="preserve">since the </w:t>
      </w:r>
      <w:r w:rsidR="00015E27" w:rsidRPr="00671DA6">
        <w:rPr>
          <w:rFonts w:asciiTheme="majorBidi" w:hAnsiTheme="majorBidi" w:cstheme="majorBidi"/>
          <w:sz w:val="26"/>
          <w:szCs w:val="26"/>
        </w:rPr>
        <w:t>Nakba</w:t>
      </w:r>
      <w:r w:rsidRPr="00671DA6">
        <w:rPr>
          <w:rFonts w:asciiTheme="majorBidi" w:hAnsiTheme="majorBidi" w:cstheme="majorBidi"/>
          <w:sz w:val="26"/>
          <w:szCs w:val="26"/>
        </w:rPr>
        <w:t xml:space="preserve">, and </w:t>
      </w:r>
      <w:r w:rsidRPr="00671DA6">
        <w:rPr>
          <w:sz w:val="26"/>
          <w:szCs w:val="26"/>
        </w:rPr>
        <w:t>more than half of them live</w:t>
      </w:r>
      <w:r w:rsidR="0088077D" w:rsidRPr="00671DA6">
        <w:rPr>
          <w:sz w:val="26"/>
          <w:szCs w:val="26"/>
        </w:rPr>
        <w:t>d</w:t>
      </w:r>
      <w:r w:rsidRPr="00671DA6">
        <w:rPr>
          <w:sz w:val="26"/>
          <w:szCs w:val="26"/>
        </w:rPr>
        <w:t xml:space="preserve"> in historical Palestine by the end of </w:t>
      </w:r>
      <w:r w:rsidR="00154E06" w:rsidRPr="00671DA6">
        <w:rPr>
          <w:sz w:val="26"/>
          <w:szCs w:val="26"/>
        </w:rPr>
        <w:t>2021</w:t>
      </w:r>
      <w:r w:rsidRPr="00671DA6">
        <w:rPr>
          <w:sz w:val="26"/>
          <w:szCs w:val="26"/>
        </w:rPr>
        <w:t xml:space="preserve">. Accordingly, their number reached </w:t>
      </w:r>
      <w:r w:rsidR="00D039A5" w:rsidRPr="00671DA6">
        <w:rPr>
          <w:rFonts w:hint="cs"/>
          <w:sz w:val="26"/>
          <w:szCs w:val="26"/>
          <w:rtl/>
        </w:rPr>
        <w:t>7</w:t>
      </w:r>
      <w:r w:rsidRPr="00671DA6">
        <w:rPr>
          <w:sz w:val="26"/>
          <w:szCs w:val="26"/>
        </w:rPr>
        <w:t xml:space="preserve"> million </w:t>
      </w:r>
      <w:r w:rsidRPr="00671DA6">
        <w:rPr>
          <w:rFonts w:asciiTheme="majorBidi" w:hAnsiTheme="majorBidi" w:cstheme="majorBidi"/>
          <w:sz w:val="26"/>
          <w:szCs w:val="26"/>
        </w:rPr>
        <w:t>(1.</w:t>
      </w:r>
      <w:r w:rsidR="00154E06" w:rsidRPr="00671DA6">
        <w:rPr>
          <w:rFonts w:asciiTheme="majorBidi" w:hAnsiTheme="majorBidi" w:cstheme="majorBidi"/>
          <w:sz w:val="26"/>
          <w:szCs w:val="26"/>
        </w:rPr>
        <w:t>7</w:t>
      </w:r>
      <w:r w:rsidRPr="00671DA6">
        <w:rPr>
          <w:rFonts w:asciiTheme="majorBidi" w:hAnsiTheme="majorBidi" w:cstheme="majorBidi"/>
          <w:sz w:val="26"/>
          <w:szCs w:val="26"/>
        </w:rPr>
        <w:t xml:space="preserve"> million in the occupied territories in 1948</w:t>
      </w:r>
      <w:r w:rsidRPr="00671DA6">
        <w:rPr>
          <w:sz w:val="26"/>
          <w:szCs w:val="26"/>
        </w:rPr>
        <w:t xml:space="preserve">). </w:t>
      </w:r>
      <w:r w:rsidRPr="00671DA6">
        <w:rPr>
          <w:rFonts w:asciiTheme="majorBidi" w:hAnsiTheme="majorBidi" w:cstheme="majorBidi"/>
          <w:sz w:val="26"/>
          <w:szCs w:val="26"/>
        </w:rPr>
        <w:t xml:space="preserve">Population estimates indicated that the number of population by the end of </w:t>
      </w:r>
      <w:r w:rsidR="00154E06" w:rsidRPr="00671DA6">
        <w:rPr>
          <w:rFonts w:asciiTheme="majorBidi" w:hAnsiTheme="majorBidi" w:cstheme="majorBidi"/>
          <w:sz w:val="26"/>
          <w:szCs w:val="26"/>
        </w:rPr>
        <w:t>2021</w:t>
      </w:r>
      <w:r w:rsidRPr="00671DA6">
        <w:rPr>
          <w:rFonts w:asciiTheme="majorBidi" w:hAnsiTheme="majorBidi" w:cstheme="majorBidi"/>
          <w:sz w:val="26"/>
          <w:szCs w:val="26"/>
        </w:rPr>
        <w:t xml:space="preserve"> in the West Bank, including Jerusalem, was 3.</w:t>
      </w:r>
      <w:r w:rsidR="00154E06" w:rsidRPr="00671DA6">
        <w:rPr>
          <w:rFonts w:asciiTheme="majorBidi" w:hAnsiTheme="majorBidi" w:cstheme="majorBidi"/>
          <w:sz w:val="26"/>
          <w:szCs w:val="26"/>
        </w:rPr>
        <w:t>2</w:t>
      </w:r>
      <w:r w:rsidRPr="00671DA6">
        <w:rPr>
          <w:rFonts w:asciiTheme="majorBidi" w:hAnsiTheme="majorBidi" w:cstheme="majorBidi"/>
          <w:sz w:val="26"/>
          <w:szCs w:val="26"/>
        </w:rPr>
        <w:t xml:space="preserve"> million and around 2.1 million in </w:t>
      </w:r>
      <w:r w:rsidR="0088077D" w:rsidRPr="00671DA6">
        <w:rPr>
          <w:rFonts w:asciiTheme="majorBidi" w:hAnsiTheme="majorBidi" w:cstheme="majorBidi"/>
          <w:sz w:val="26"/>
          <w:szCs w:val="26"/>
        </w:rPr>
        <w:t xml:space="preserve">the </w:t>
      </w:r>
      <w:r w:rsidRPr="00671DA6">
        <w:rPr>
          <w:rFonts w:asciiTheme="majorBidi" w:hAnsiTheme="majorBidi" w:cstheme="majorBidi"/>
          <w:sz w:val="26"/>
          <w:szCs w:val="26"/>
        </w:rPr>
        <w:t xml:space="preserve">Gaza Strip. As for the </w:t>
      </w:r>
      <w:r w:rsidRPr="00671DA6">
        <w:rPr>
          <w:rFonts w:asciiTheme="majorBidi" w:hAnsiTheme="majorBidi" w:cstheme="majorBidi"/>
          <w:sz w:val="26"/>
          <w:szCs w:val="26"/>
        </w:rPr>
        <w:lastRenderedPageBreak/>
        <w:t xml:space="preserve">population of Jerusalem Governorate, it was about </w:t>
      </w:r>
      <w:r w:rsidR="00154E06" w:rsidRPr="00671DA6">
        <w:rPr>
          <w:rFonts w:asciiTheme="majorBidi" w:hAnsiTheme="majorBidi" w:cstheme="majorBidi"/>
          <w:sz w:val="26"/>
          <w:szCs w:val="26"/>
        </w:rPr>
        <w:t>477</w:t>
      </w:r>
      <w:r w:rsidRPr="00671DA6">
        <w:rPr>
          <w:rFonts w:asciiTheme="majorBidi" w:hAnsiTheme="majorBidi" w:cstheme="majorBidi"/>
          <w:sz w:val="26"/>
          <w:szCs w:val="26"/>
        </w:rPr>
        <w:t xml:space="preserve"> thousand of which approximately 65% (about </w:t>
      </w:r>
      <w:r w:rsidR="00154E06" w:rsidRPr="00671DA6">
        <w:rPr>
          <w:rFonts w:asciiTheme="majorBidi" w:hAnsiTheme="majorBidi" w:cstheme="majorBidi"/>
          <w:sz w:val="26"/>
          <w:szCs w:val="26"/>
        </w:rPr>
        <w:t>308</w:t>
      </w:r>
      <w:r w:rsidRPr="00671DA6">
        <w:rPr>
          <w:rFonts w:asciiTheme="majorBidi" w:hAnsiTheme="majorBidi" w:cstheme="majorBidi"/>
          <w:sz w:val="26"/>
          <w:szCs w:val="26"/>
        </w:rPr>
        <w:t xml:space="preserve"> thousand) live</w:t>
      </w:r>
      <w:r w:rsidR="0088077D" w:rsidRPr="00671DA6">
        <w:rPr>
          <w:rFonts w:asciiTheme="majorBidi" w:hAnsiTheme="majorBidi" w:cstheme="majorBidi"/>
          <w:sz w:val="26"/>
          <w:szCs w:val="26"/>
        </w:rPr>
        <w:t>d</w:t>
      </w:r>
      <w:r w:rsidRPr="00671DA6">
        <w:rPr>
          <w:rFonts w:asciiTheme="majorBidi" w:hAnsiTheme="majorBidi" w:cstheme="majorBidi"/>
          <w:sz w:val="26"/>
          <w:szCs w:val="26"/>
        </w:rPr>
        <w:t xml:space="preserve"> in </w:t>
      </w:r>
      <w:r w:rsidRPr="00671DA6">
        <w:rPr>
          <w:sz w:val="26"/>
          <w:szCs w:val="26"/>
        </w:rPr>
        <w:t xml:space="preserve">those parts of Jerusalem which were annexed by </w:t>
      </w:r>
      <w:r w:rsidR="00C15514" w:rsidRPr="00671DA6">
        <w:rPr>
          <w:sz w:val="26"/>
          <w:szCs w:val="26"/>
        </w:rPr>
        <w:t xml:space="preserve">the </w:t>
      </w:r>
      <w:r w:rsidRPr="00671DA6">
        <w:rPr>
          <w:sz w:val="26"/>
          <w:szCs w:val="26"/>
        </w:rPr>
        <w:t>Israeli occupation in 1967 (J1)</w:t>
      </w:r>
      <w:r w:rsidRPr="00671DA6">
        <w:rPr>
          <w:rFonts w:asciiTheme="majorBidi" w:hAnsiTheme="majorBidi" w:cstheme="majorBidi"/>
          <w:sz w:val="26"/>
          <w:szCs w:val="26"/>
        </w:rPr>
        <w:t xml:space="preserve">. </w:t>
      </w:r>
      <w:r w:rsidR="0088077D" w:rsidRPr="00671DA6">
        <w:rPr>
          <w:rFonts w:asciiTheme="majorBidi" w:hAnsiTheme="majorBidi" w:cstheme="majorBidi"/>
          <w:sz w:val="26"/>
          <w:szCs w:val="26"/>
        </w:rPr>
        <w:t>Data</w:t>
      </w:r>
      <w:r w:rsidRPr="00671DA6">
        <w:rPr>
          <w:rFonts w:asciiTheme="majorBidi" w:hAnsiTheme="majorBidi" w:cstheme="majorBidi"/>
          <w:sz w:val="26"/>
          <w:szCs w:val="26"/>
        </w:rPr>
        <w:t xml:space="preserve"> showed that Palestinians represented 49.</w:t>
      </w:r>
      <w:r w:rsidR="00154E06" w:rsidRPr="00671DA6">
        <w:rPr>
          <w:rFonts w:asciiTheme="majorBidi" w:hAnsiTheme="majorBidi" w:cstheme="majorBidi"/>
          <w:sz w:val="26"/>
          <w:szCs w:val="26"/>
        </w:rPr>
        <w:t>9</w:t>
      </w:r>
      <w:r w:rsidRPr="00671DA6">
        <w:rPr>
          <w:rFonts w:asciiTheme="majorBidi" w:hAnsiTheme="majorBidi" w:cstheme="majorBidi"/>
          <w:sz w:val="26"/>
          <w:szCs w:val="26"/>
        </w:rPr>
        <w:t>% of the population living in historical Palestine, while Jews constituted 50.</w:t>
      </w:r>
      <w:r w:rsidR="00154E06" w:rsidRPr="00671DA6">
        <w:rPr>
          <w:rFonts w:asciiTheme="majorBidi" w:hAnsiTheme="majorBidi" w:cstheme="majorBidi"/>
          <w:sz w:val="26"/>
          <w:szCs w:val="26"/>
        </w:rPr>
        <w:t>1</w:t>
      </w:r>
      <w:r w:rsidRPr="00671DA6">
        <w:rPr>
          <w:rFonts w:asciiTheme="majorBidi" w:hAnsiTheme="majorBidi" w:cstheme="majorBidi"/>
          <w:sz w:val="26"/>
          <w:szCs w:val="26"/>
        </w:rPr>
        <w:t xml:space="preserve">% by the end of </w:t>
      </w:r>
      <w:r w:rsidR="00154E06" w:rsidRPr="00671DA6">
        <w:rPr>
          <w:rFonts w:asciiTheme="majorBidi" w:hAnsiTheme="majorBidi" w:cstheme="majorBidi"/>
          <w:sz w:val="26"/>
          <w:szCs w:val="26"/>
        </w:rPr>
        <w:t>2021</w:t>
      </w:r>
      <w:r w:rsidRPr="00671DA6">
        <w:rPr>
          <w:rFonts w:asciiTheme="majorBidi" w:hAnsiTheme="majorBidi" w:cstheme="majorBidi"/>
          <w:sz w:val="26"/>
          <w:szCs w:val="26"/>
        </w:rPr>
        <w:t xml:space="preserve">.  </w:t>
      </w:r>
      <w:r w:rsidRPr="00671DA6">
        <w:rPr>
          <w:sz w:val="26"/>
          <w:szCs w:val="26"/>
        </w:rPr>
        <w:t>The Israeli occupation continues its control over 85% of the area of historical Palestine, which amounts to 27 thousand square kilometers</w:t>
      </w:r>
      <w:r w:rsidRPr="00671DA6">
        <w:rPr>
          <w:rFonts w:asciiTheme="majorBidi" w:hAnsiTheme="majorBidi" w:cstheme="majorBidi"/>
          <w:sz w:val="26"/>
          <w:szCs w:val="26"/>
        </w:rPr>
        <w:t xml:space="preserve"> (km</w:t>
      </w:r>
      <w:r w:rsidRPr="00671DA6">
        <w:rPr>
          <w:rFonts w:asciiTheme="majorBidi" w:hAnsiTheme="majorBidi" w:cstheme="majorBidi"/>
          <w:sz w:val="26"/>
          <w:szCs w:val="26"/>
          <w:vertAlign w:val="superscript"/>
        </w:rPr>
        <w:t>2</w:t>
      </w:r>
      <w:r w:rsidRPr="00671DA6">
        <w:rPr>
          <w:sz w:val="26"/>
          <w:szCs w:val="26"/>
        </w:rPr>
        <w:t xml:space="preserve">). </w:t>
      </w:r>
    </w:p>
    <w:p w:rsidR="00E46689" w:rsidRPr="00D03B93" w:rsidRDefault="00E46689" w:rsidP="00FE777C">
      <w:pPr>
        <w:pStyle w:val="NormalWeb"/>
        <w:spacing w:before="0" w:beforeAutospacing="0" w:after="0" w:afterAutospacing="0"/>
        <w:rPr>
          <w:rFonts w:asciiTheme="majorBidi" w:hAnsiTheme="majorBidi" w:cstheme="majorBidi"/>
          <w:b/>
          <w:bCs/>
        </w:rPr>
      </w:pPr>
    </w:p>
    <w:p w:rsidR="00FF3A03" w:rsidRPr="00671DA6" w:rsidRDefault="00FF3A03" w:rsidP="00FE777C">
      <w:pPr>
        <w:pStyle w:val="NormalWeb"/>
        <w:spacing w:before="0" w:beforeAutospacing="0" w:after="0" w:afterAutospacing="0"/>
        <w:jc w:val="center"/>
        <w:rPr>
          <w:rFonts w:asciiTheme="majorBidi" w:hAnsiTheme="majorBidi" w:cstheme="majorBidi"/>
          <w:b/>
          <w:bCs/>
          <w:strike/>
          <w:sz w:val="28"/>
          <w:szCs w:val="28"/>
        </w:rPr>
      </w:pPr>
      <w:r w:rsidRPr="00671DA6">
        <w:rPr>
          <w:rFonts w:asciiTheme="majorBidi" w:hAnsiTheme="majorBidi" w:cstheme="majorBidi"/>
          <w:b/>
          <w:bCs/>
          <w:sz w:val="28"/>
          <w:szCs w:val="28"/>
        </w:rPr>
        <w:t>Percentage of Palestinians and Jews in Historical Palestine in Various Years</w:t>
      </w:r>
    </w:p>
    <w:p w:rsidR="00FF3A03" w:rsidRPr="00D03B93" w:rsidRDefault="00FF3A03" w:rsidP="00FE777C">
      <w:pPr>
        <w:pStyle w:val="NormalWeb"/>
        <w:spacing w:before="0" w:beforeAutospacing="0" w:after="0" w:afterAutospacing="0"/>
        <w:jc w:val="center"/>
        <w:rPr>
          <w:rFonts w:asciiTheme="majorBidi" w:hAnsiTheme="majorBidi" w:cstheme="majorBidi"/>
          <w:b/>
          <w:bCs/>
          <w:strike/>
          <w:rtl/>
        </w:rPr>
      </w:pPr>
    </w:p>
    <w:p w:rsidR="00FF3A03" w:rsidRPr="00D03B93" w:rsidRDefault="00FF3A03" w:rsidP="00FE777C">
      <w:pPr>
        <w:pStyle w:val="NormalWeb"/>
        <w:bidi/>
        <w:spacing w:before="0" w:beforeAutospacing="0" w:after="0" w:afterAutospacing="0"/>
        <w:jc w:val="center"/>
        <w:rPr>
          <w:rFonts w:ascii="Simplified Arabic" w:hAnsi="Simplified Arabic" w:cs="Simplified Arabic"/>
          <w:strike/>
          <w:rtl/>
        </w:rPr>
      </w:pPr>
      <w:r w:rsidRPr="00D03B93">
        <w:rPr>
          <w:rFonts w:ascii="Simplified Arabic" w:hAnsi="Simplified Arabic" w:cs="Simplified Arabic" w:hint="cs"/>
          <w:strike/>
          <w:noProof/>
          <w:rtl/>
          <w:lang w:eastAsia="en-US"/>
        </w:rPr>
        <w:drawing>
          <wp:inline distT="0" distB="0" distL="0" distR="0" wp14:anchorId="39A83B9E" wp14:editId="0603DE6A">
            <wp:extent cx="5496339" cy="1924216"/>
            <wp:effectExtent l="19050" t="0" r="28161"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D5749" w:rsidRPr="00D03B93" w:rsidRDefault="009D5749" w:rsidP="00FE777C">
      <w:pPr>
        <w:jc w:val="left"/>
        <w:rPr>
          <w:rFonts w:asciiTheme="majorBidi" w:hAnsiTheme="majorBidi" w:cstheme="majorBidi"/>
          <w:b/>
          <w:bCs/>
        </w:rPr>
      </w:pPr>
    </w:p>
    <w:p w:rsidR="00E46689" w:rsidRPr="00671DA6" w:rsidRDefault="00E46689" w:rsidP="00FE777C">
      <w:pPr>
        <w:jc w:val="left"/>
        <w:rPr>
          <w:rFonts w:asciiTheme="majorBidi" w:hAnsiTheme="majorBidi" w:cstheme="majorBidi"/>
          <w:b/>
          <w:bCs/>
          <w:sz w:val="28"/>
          <w:szCs w:val="28"/>
        </w:rPr>
      </w:pPr>
      <w:r w:rsidRPr="00671DA6">
        <w:rPr>
          <w:rFonts w:asciiTheme="majorBidi" w:hAnsiTheme="majorBidi" w:cstheme="majorBidi"/>
          <w:b/>
          <w:bCs/>
          <w:sz w:val="28"/>
          <w:szCs w:val="28"/>
        </w:rPr>
        <w:t>Palestinian Refugees Status</w:t>
      </w:r>
    </w:p>
    <w:p w:rsidR="00E46689" w:rsidRPr="00671DA6" w:rsidRDefault="0088077D" w:rsidP="00C425AD">
      <w:pPr>
        <w:rPr>
          <w:sz w:val="26"/>
          <w:szCs w:val="26"/>
        </w:rPr>
      </w:pPr>
      <w:r w:rsidRPr="00671DA6">
        <w:rPr>
          <w:rFonts w:asciiTheme="majorBidi" w:hAnsiTheme="majorBidi" w:cstheme="majorBidi"/>
          <w:sz w:val="26"/>
          <w:szCs w:val="26"/>
        </w:rPr>
        <w:t xml:space="preserve">In </w:t>
      </w:r>
      <w:r w:rsidR="00154E06" w:rsidRPr="00671DA6">
        <w:rPr>
          <w:rFonts w:asciiTheme="majorBidi" w:hAnsiTheme="majorBidi" w:cstheme="majorBidi"/>
          <w:sz w:val="26"/>
          <w:szCs w:val="26"/>
        </w:rPr>
        <w:t xml:space="preserve">December </w:t>
      </w:r>
      <w:r w:rsidRPr="00671DA6">
        <w:rPr>
          <w:rFonts w:asciiTheme="majorBidi" w:hAnsiTheme="majorBidi" w:cstheme="majorBidi"/>
          <w:sz w:val="26"/>
          <w:szCs w:val="26"/>
        </w:rPr>
        <w:t>2020</w:t>
      </w:r>
      <w:r w:rsidR="00620318" w:rsidRPr="00671DA6">
        <w:rPr>
          <w:rFonts w:asciiTheme="majorBidi" w:hAnsiTheme="majorBidi" w:cstheme="majorBidi"/>
          <w:sz w:val="26"/>
          <w:szCs w:val="26"/>
        </w:rPr>
        <w:t>,</w:t>
      </w:r>
      <w:r w:rsidRPr="00671DA6">
        <w:rPr>
          <w:rFonts w:asciiTheme="majorBidi" w:hAnsiTheme="majorBidi" w:cstheme="majorBidi"/>
          <w:sz w:val="26"/>
          <w:szCs w:val="26"/>
        </w:rPr>
        <w:t xml:space="preserve"> the r</w:t>
      </w:r>
      <w:r w:rsidR="00E46689" w:rsidRPr="00671DA6">
        <w:rPr>
          <w:rFonts w:asciiTheme="majorBidi" w:hAnsiTheme="majorBidi" w:cstheme="majorBidi"/>
          <w:sz w:val="26"/>
          <w:szCs w:val="26"/>
        </w:rPr>
        <w:t>ecords of the United Nations Relief and Works Agency (UNRWA) showed that the total number of Palestinian refugees was around 6.</w:t>
      </w:r>
      <w:r w:rsidR="00154E06" w:rsidRPr="00671DA6">
        <w:rPr>
          <w:rFonts w:asciiTheme="majorBidi" w:hAnsiTheme="majorBidi" w:cstheme="majorBidi"/>
          <w:sz w:val="26"/>
          <w:szCs w:val="26"/>
        </w:rPr>
        <w:t>4</w:t>
      </w:r>
      <w:r w:rsidR="00E46689" w:rsidRPr="00671DA6">
        <w:rPr>
          <w:rFonts w:asciiTheme="majorBidi" w:hAnsiTheme="majorBidi" w:cstheme="majorBidi"/>
          <w:sz w:val="26"/>
          <w:szCs w:val="26"/>
        </w:rPr>
        <w:t xml:space="preserve"> million, 28.4% of whom live in 58 camps (10 in Jordan, 9 in Syria, 12 in Lebanon, 19 in the West Bank and 8 in Gaza Strip). Estimates, however, indicated that this is the minimum number of refugees, as many of them are not registered. This number does not include Palestinians displaced </w:t>
      </w:r>
      <w:r w:rsidR="00C425AD" w:rsidRPr="00671DA6">
        <w:rPr>
          <w:rFonts w:asciiTheme="majorBidi" w:hAnsiTheme="majorBidi" w:cstheme="majorBidi"/>
          <w:sz w:val="26"/>
          <w:szCs w:val="26"/>
        </w:rPr>
        <w:t xml:space="preserve">during </w:t>
      </w:r>
      <w:r w:rsidR="00E46689" w:rsidRPr="00671DA6">
        <w:rPr>
          <w:rFonts w:asciiTheme="majorBidi" w:hAnsiTheme="majorBidi" w:cstheme="majorBidi"/>
          <w:sz w:val="26"/>
          <w:szCs w:val="26"/>
        </w:rPr>
        <w:t xml:space="preserve">the period from 1949 till the six-day war in June 1967. UNRWA definition of refugees does not cover Palestinians who migrated or those who were displaced after 1967 because of the war and who were not registered refugees.  </w:t>
      </w:r>
    </w:p>
    <w:p w:rsidR="00353C61" w:rsidRPr="00671DA6" w:rsidRDefault="00353C61" w:rsidP="00FE777C">
      <w:pPr>
        <w:pStyle w:val="NormalWeb"/>
        <w:spacing w:before="0" w:beforeAutospacing="0" w:after="0" w:afterAutospacing="0"/>
        <w:rPr>
          <w:rFonts w:asciiTheme="majorBidi" w:hAnsiTheme="majorBidi" w:cstheme="majorBidi"/>
          <w:b/>
          <w:bCs/>
          <w:sz w:val="26"/>
          <w:szCs w:val="26"/>
        </w:rPr>
      </w:pPr>
    </w:p>
    <w:p w:rsidR="00E46689" w:rsidRPr="00671DA6" w:rsidRDefault="00E46689" w:rsidP="00FE777C">
      <w:pPr>
        <w:pStyle w:val="BodyTextIndent"/>
        <w:spacing w:after="0"/>
        <w:ind w:left="0"/>
        <w:jc w:val="left"/>
        <w:rPr>
          <w:b/>
          <w:bCs/>
          <w:sz w:val="28"/>
          <w:szCs w:val="28"/>
        </w:rPr>
      </w:pPr>
      <w:r w:rsidRPr="00671DA6">
        <w:rPr>
          <w:b/>
          <w:bCs/>
          <w:sz w:val="28"/>
          <w:szCs w:val="28"/>
        </w:rPr>
        <w:t>Gaza Strip has one of the highest population densities in the world</w:t>
      </w:r>
    </w:p>
    <w:p w:rsidR="00E46689" w:rsidRDefault="00E46689" w:rsidP="00B81BF5">
      <w:pPr>
        <w:pStyle w:val="BodyTextIndent"/>
        <w:spacing w:after="0"/>
        <w:ind w:left="0"/>
        <w:jc w:val="both"/>
        <w:rPr>
          <w:rFonts w:asciiTheme="majorBidi" w:hAnsiTheme="majorBidi" w:cstheme="majorBidi"/>
          <w:sz w:val="26"/>
          <w:szCs w:val="26"/>
        </w:rPr>
      </w:pPr>
      <w:r w:rsidRPr="00671DA6">
        <w:rPr>
          <w:sz w:val="26"/>
          <w:szCs w:val="26"/>
        </w:rPr>
        <w:t xml:space="preserve">The population density in the </w:t>
      </w:r>
      <w:r w:rsidRPr="00671DA6">
        <w:rPr>
          <w:rFonts w:asciiTheme="majorBidi" w:hAnsiTheme="majorBidi" w:cstheme="majorBidi"/>
          <w:sz w:val="26"/>
          <w:szCs w:val="26"/>
        </w:rPr>
        <w:t xml:space="preserve">State </w:t>
      </w:r>
      <w:r w:rsidRPr="00671DA6">
        <w:rPr>
          <w:sz w:val="26"/>
          <w:szCs w:val="26"/>
        </w:rPr>
        <w:t xml:space="preserve">of Palestine by the end of </w:t>
      </w:r>
      <w:r w:rsidR="00052B86" w:rsidRPr="00671DA6">
        <w:rPr>
          <w:sz w:val="26"/>
          <w:szCs w:val="26"/>
        </w:rPr>
        <w:t>2</w:t>
      </w:r>
      <w:r w:rsidR="009D5749" w:rsidRPr="00671DA6">
        <w:rPr>
          <w:sz w:val="26"/>
          <w:szCs w:val="26"/>
        </w:rPr>
        <w:t>0</w:t>
      </w:r>
      <w:r w:rsidR="00052B86" w:rsidRPr="00671DA6">
        <w:rPr>
          <w:sz w:val="26"/>
          <w:szCs w:val="26"/>
        </w:rPr>
        <w:t>21</w:t>
      </w:r>
      <w:r w:rsidRPr="00671DA6">
        <w:rPr>
          <w:sz w:val="26"/>
          <w:szCs w:val="26"/>
        </w:rPr>
        <w:t xml:space="preserve"> was </w:t>
      </w:r>
      <w:r w:rsidR="00052B86" w:rsidRPr="00671DA6">
        <w:rPr>
          <w:sz w:val="26"/>
          <w:szCs w:val="26"/>
        </w:rPr>
        <w:t>878</w:t>
      </w:r>
      <w:r w:rsidRPr="00671DA6">
        <w:rPr>
          <w:sz w:val="26"/>
          <w:szCs w:val="26"/>
        </w:rPr>
        <w:t xml:space="preserve"> individuals per square kilometer</w:t>
      </w:r>
      <w:r w:rsidRPr="00671DA6">
        <w:rPr>
          <w:rFonts w:asciiTheme="majorBidi" w:hAnsiTheme="majorBidi" w:cstheme="majorBidi"/>
          <w:sz w:val="26"/>
          <w:szCs w:val="26"/>
        </w:rPr>
        <w:t xml:space="preserve"> (km</w:t>
      </w:r>
      <w:r w:rsidRPr="00671DA6">
        <w:rPr>
          <w:rFonts w:asciiTheme="majorBidi" w:hAnsiTheme="majorBidi" w:cstheme="majorBidi"/>
          <w:sz w:val="26"/>
          <w:szCs w:val="26"/>
          <w:vertAlign w:val="superscript"/>
        </w:rPr>
        <w:t>2</w:t>
      </w:r>
      <w:r w:rsidRPr="00671DA6">
        <w:rPr>
          <w:rFonts w:asciiTheme="majorBidi" w:hAnsiTheme="majorBidi" w:cstheme="majorBidi"/>
          <w:sz w:val="26"/>
          <w:szCs w:val="26"/>
        </w:rPr>
        <w:t xml:space="preserve">): </w:t>
      </w:r>
      <w:r w:rsidR="00052B86" w:rsidRPr="00671DA6">
        <w:rPr>
          <w:rFonts w:asciiTheme="majorBidi" w:hAnsiTheme="majorBidi" w:cstheme="majorBidi"/>
          <w:sz w:val="26"/>
          <w:szCs w:val="26"/>
        </w:rPr>
        <w:t>557</w:t>
      </w:r>
      <w:r w:rsidRPr="00671DA6">
        <w:rPr>
          <w:rFonts w:asciiTheme="majorBidi" w:hAnsiTheme="majorBidi" w:cstheme="majorBidi"/>
          <w:sz w:val="26"/>
          <w:szCs w:val="26"/>
        </w:rPr>
        <w:t xml:space="preserve"> individuals/km</w:t>
      </w:r>
      <w:r w:rsidRPr="00671DA6">
        <w:rPr>
          <w:rFonts w:asciiTheme="majorBidi" w:hAnsiTheme="majorBidi" w:cstheme="majorBidi"/>
          <w:sz w:val="26"/>
          <w:szCs w:val="26"/>
          <w:vertAlign w:val="superscript"/>
        </w:rPr>
        <w:t>2</w:t>
      </w:r>
      <w:r w:rsidRPr="00671DA6">
        <w:rPr>
          <w:rFonts w:asciiTheme="majorBidi" w:hAnsiTheme="majorBidi" w:cstheme="majorBidi"/>
          <w:sz w:val="26"/>
          <w:szCs w:val="26"/>
        </w:rPr>
        <w:t xml:space="preserve"> in the West Bank and 5,</w:t>
      </w:r>
      <w:r w:rsidR="00052B86" w:rsidRPr="00671DA6">
        <w:rPr>
          <w:rFonts w:asciiTheme="majorBidi" w:hAnsiTheme="majorBidi" w:cstheme="majorBidi"/>
          <w:sz w:val="26"/>
          <w:szCs w:val="26"/>
        </w:rPr>
        <w:t>855</w:t>
      </w:r>
      <w:r w:rsidRPr="00671DA6">
        <w:rPr>
          <w:rFonts w:asciiTheme="majorBidi" w:hAnsiTheme="majorBidi" w:cstheme="majorBidi"/>
          <w:sz w:val="26"/>
          <w:szCs w:val="26"/>
        </w:rPr>
        <w:t xml:space="preserve"> individuals/km</w:t>
      </w:r>
      <w:r w:rsidRPr="00671DA6">
        <w:rPr>
          <w:rFonts w:asciiTheme="majorBidi" w:hAnsiTheme="majorBidi" w:cstheme="majorBidi"/>
          <w:sz w:val="26"/>
          <w:szCs w:val="26"/>
          <w:vertAlign w:val="superscript"/>
        </w:rPr>
        <w:t>2</w:t>
      </w:r>
      <w:r w:rsidRPr="00671DA6">
        <w:rPr>
          <w:rFonts w:asciiTheme="majorBidi" w:hAnsiTheme="majorBidi" w:cstheme="majorBidi"/>
          <w:sz w:val="26"/>
          <w:szCs w:val="26"/>
        </w:rPr>
        <w:t xml:space="preserve"> in Gaza Strip, noting that 66% of the total population of Gaza Strip are refugees. The flux of refugees turned Gaza Strip into one of the highest population densities in the world.</w:t>
      </w:r>
      <w:r w:rsidRPr="00671DA6">
        <w:rPr>
          <w:sz w:val="26"/>
          <w:szCs w:val="26"/>
        </w:rPr>
        <w:t xml:space="preserve">  Despite the small area of Gaza Strip, the Israeli occupation set up a buffer zone over more than 1,500 meters along the Eastern border of Gaza Strip.  Consequently, the Israeli occupation controls about 24% of the total area of Gaza Strip (365 km</w:t>
      </w:r>
      <w:r w:rsidRPr="00671DA6">
        <w:rPr>
          <w:sz w:val="26"/>
          <w:szCs w:val="26"/>
          <w:vertAlign w:val="superscript"/>
        </w:rPr>
        <w:t>2</w:t>
      </w:r>
      <w:r w:rsidRPr="00671DA6">
        <w:rPr>
          <w:sz w:val="26"/>
          <w:szCs w:val="26"/>
        </w:rPr>
        <w:t>). Also, t</w:t>
      </w:r>
      <w:r w:rsidRPr="00671DA6">
        <w:rPr>
          <w:rFonts w:asciiTheme="majorBidi" w:hAnsiTheme="majorBidi" w:cstheme="majorBidi"/>
          <w:sz w:val="26"/>
          <w:szCs w:val="26"/>
        </w:rPr>
        <w:t xml:space="preserve">he continuous Siege on Gaza Strip, which is one of the most densely populated areas in the world, led to a sharp rise in unemployment in Gaza Strip. Hence, the unemployment rate reached </w:t>
      </w:r>
      <w:r w:rsidR="00BB5BA1" w:rsidRPr="00671DA6">
        <w:rPr>
          <w:rFonts w:asciiTheme="majorBidi" w:hAnsiTheme="majorBidi" w:cstheme="majorBidi"/>
          <w:sz w:val="26"/>
          <w:szCs w:val="26"/>
        </w:rPr>
        <w:t>47</w:t>
      </w:r>
      <w:r w:rsidRPr="00671DA6">
        <w:rPr>
          <w:rFonts w:asciiTheme="majorBidi" w:hAnsiTheme="majorBidi" w:cstheme="majorBidi"/>
          <w:sz w:val="26"/>
          <w:szCs w:val="26"/>
        </w:rPr>
        <w:t xml:space="preserve">%, around </w:t>
      </w:r>
      <w:r w:rsidR="00DD0B0D" w:rsidRPr="00671DA6">
        <w:rPr>
          <w:rFonts w:asciiTheme="majorBidi" w:hAnsiTheme="majorBidi" w:cstheme="majorBidi"/>
          <w:sz w:val="26"/>
          <w:szCs w:val="26"/>
        </w:rPr>
        <w:t>69</w:t>
      </w:r>
      <w:r w:rsidRPr="00671DA6">
        <w:rPr>
          <w:rFonts w:asciiTheme="majorBidi" w:hAnsiTheme="majorBidi" w:cstheme="majorBidi"/>
          <w:sz w:val="26"/>
          <w:szCs w:val="26"/>
        </w:rPr>
        <w:t xml:space="preserve">% of the youth aged 15-24 years are unemployed by the end of </w:t>
      </w:r>
      <w:r w:rsidR="00DD0B0D" w:rsidRPr="00671DA6">
        <w:rPr>
          <w:rFonts w:asciiTheme="majorBidi" w:hAnsiTheme="majorBidi" w:cstheme="majorBidi"/>
          <w:sz w:val="26"/>
          <w:szCs w:val="26"/>
        </w:rPr>
        <w:t>2021</w:t>
      </w:r>
      <w:r w:rsidRPr="00671DA6">
        <w:rPr>
          <w:rFonts w:asciiTheme="majorBidi" w:hAnsiTheme="majorBidi" w:cstheme="majorBidi"/>
          <w:sz w:val="26"/>
          <w:szCs w:val="26"/>
        </w:rPr>
        <w:t xml:space="preserve">. The siege also shook the economy of Gaza Strip and turned over half of its population into poor </w:t>
      </w:r>
      <w:r w:rsidR="00F7772C" w:rsidRPr="00671DA6">
        <w:rPr>
          <w:rFonts w:asciiTheme="majorBidi" w:hAnsiTheme="majorBidi" w:cstheme="majorBidi"/>
          <w:sz w:val="26"/>
          <w:szCs w:val="26"/>
        </w:rPr>
        <w:t>(</w:t>
      </w:r>
      <w:r w:rsidRPr="00671DA6">
        <w:rPr>
          <w:rFonts w:asciiTheme="majorBidi" w:hAnsiTheme="majorBidi" w:cstheme="majorBidi"/>
          <w:sz w:val="26"/>
          <w:szCs w:val="26"/>
        </w:rPr>
        <w:t>53%</w:t>
      </w:r>
      <w:r w:rsidR="00F7772C" w:rsidRPr="00671DA6">
        <w:rPr>
          <w:rFonts w:asciiTheme="majorBidi" w:hAnsiTheme="majorBidi" w:cstheme="majorBidi"/>
          <w:sz w:val="26"/>
          <w:szCs w:val="26"/>
        </w:rPr>
        <w:t>)</w:t>
      </w:r>
      <w:r w:rsidRPr="00671DA6">
        <w:rPr>
          <w:rFonts w:asciiTheme="majorBidi" w:hAnsiTheme="majorBidi" w:cstheme="majorBidi"/>
          <w:sz w:val="26"/>
          <w:szCs w:val="26"/>
        </w:rPr>
        <w:t>.</w:t>
      </w:r>
    </w:p>
    <w:p w:rsidR="004413B0" w:rsidRPr="00671DA6" w:rsidRDefault="004413B0" w:rsidP="00FE777C">
      <w:pPr>
        <w:pStyle w:val="BodyText"/>
        <w:jc w:val="left"/>
        <w:rPr>
          <w:rStyle w:val="shorttext"/>
          <w:rFonts w:asciiTheme="majorBidi" w:hAnsiTheme="majorBidi" w:cstheme="majorBidi"/>
          <w:b/>
          <w:bCs/>
          <w:sz w:val="26"/>
          <w:szCs w:val="26"/>
        </w:rPr>
      </w:pPr>
    </w:p>
    <w:p w:rsidR="00422C70" w:rsidRPr="00671DA6" w:rsidRDefault="00477FE0" w:rsidP="00FE777C">
      <w:pPr>
        <w:pStyle w:val="BodyText"/>
        <w:jc w:val="left"/>
        <w:rPr>
          <w:rStyle w:val="shorttext"/>
          <w:rFonts w:asciiTheme="majorBidi" w:hAnsiTheme="majorBidi" w:cstheme="majorBidi"/>
          <w:b/>
          <w:bCs/>
          <w:sz w:val="28"/>
          <w:szCs w:val="28"/>
          <w:rtl/>
        </w:rPr>
      </w:pPr>
      <w:r w:rsidRPr="00671DA6">
        <w:rPr>
          <w:rStyle w:val="shorttext"/>
          <w:rFonts w:asciiTheme="majorBidi" w:hAnsiTheme="majorBidi" w:cstheme="majorBidi"/>
          <w:b/>
          <w:bCs/>
          <w:sz w:val="28"/>
          <w:szCs w:val="28"/>
        </w:rPr>
        <w:t>More than 10</w:t>
      </w:r>
      <w:r w:rsidR="00AD4F21" w:rsidRPr="00671DA6">
        <w:rPr>
          <w:rStyle w:val="shorttext"/>
          <w:rFonts w:asciiTheme="majorBidi" w:hAnsiTheme="majorBidi" w:cstheme="majorBidi"/>
          <w:b/>
          <w:bCs/>
          <w:sz w:val="28"/>
          <w:szCs w:val="28"/>
        </w:rPr>
        <w:t>0</w:t>
      </w:r>
      <w:r w:rsidRPr="00671DA6">
        <w:rPr>
          <w:rStyle w:val="shorttext"/>
          <w:rFonts w:asciiTheme="majorBidi" w:hAnsiTheme="majorBidi" w:cstheme="majorBidi"/>
          <w:b/>
          <w:bCs/>
          <w:sz w:val="28"/>
          <w:szCs w:val="28"/>
        </w:rPr>
        <w:t xml:space="preserve"> T</w:t>
      </w:r>
      <w:r w:rsidR="00422C70" w:rsidRPr="00671DA6">
        <w:rPr>
          <w:rStyle w:val="shorttext"/>
          <w:rFonts w:asciiTheme="majorBidi" w:hAnsiTheme="majorBidi" w:cstheme="majorBidi"/>
          <w:b/>
          <w:bCs/>
          <w:sz w:val="28"/>
          <w:szCs w:val="28"/>
        </w:rPr>
        <w:t xml:space="preserve">housand </w:t>
      </w:r>
      <w:r w:rsidRPr="00671DA6">
        <w:rPr>
          <w:rStyle w:val="shorttext"/>
          <w:rFonts w:asciiTheme="majorBidi" w:hAnsiTheme="majorBidi" w:cstheme="majorBidi"/>
          <w:b/>
          <w:bCs/>
          <w:sz w:val="28"/>
          <w:szCs w:val="28"/>
        </w:rPr>
        <w:t>M</w:t>
      </w:r>
      <w:r w:rsidR="00422C70" w:rsidRPr="00671DA6">
        <w:rPr>
          <w:rStyle w:val="shorttext"/>
          <w:rFonts w:asciiTheme="majorBidi" w:hAnsiTheme="majorBidi" w:cstheme="majorBidi"/>
          <w:b/>
          <w:bCs/>
          <w:sz w:val="28"/>
          <w:szCs w:val="28"/>
        </w:rPr>
        <w:t xml:space="preserve">artyrs since </w:t>
      </w:r>
      <w:r w:rsidR="006F7707" w:rsidRPr="00671DA6">
        <w:rPr>
          <w:rStyle w:val="shorttext"/>
          <w:rFonts w:asciiTheme="majorBidi" w:hAnsiTheme="majorBidi" w:cstheme="majorBidi"/>
          <w:b/>
          <w:bCs/>
          <w:sz w:val="28"/>
          <w:szCs w:val="28"/>
        </w:rPr>
        <w:t>the</w:t>
      </w:r>
      <w:r w:rsidR="00D956A3" w:rsidRPr="00671DA6">
        <w:rPr>
          <w:b/>
          <w:bCs/>
          <w:sz w:val="28"/>
          <w:szCs w:val="28"/>
        </w:rPr>
        <w:t xml:space="preserve"> </w:t>
      </w:r>
      <w:r w:rsidR="00AD4F21" w:rsidRPr="00671DA6">
        <w:rPr>
          <w:b/>
          <w:bCs/>
          <w:sz w:val="28"/>
          <w:szCs w:val="28"/>
        </w:rPr>
        <w:t>Nakba</w:t>
      </w:r>
      <w:r w:rsidR="00D956A3" w:rsidRPr="00671DA6">
        <w:rPr>
          <w:rStyle w:val="shorttext"/>
          <w:rFonts w:asciiTheme="majorBidi" w:hAnsiTheme="majorBidi" w:cstheme="majorBidi"/>
          <w:b/>
          <w:bCs/>
          <w:sz w:val="28"/>
          <w:szCs w:val="28"/>
        </w:rPr>
        <w:t xml:space="preserve"> </w:t>
      </w:r>
      <w:r w:rsidR="00AD4F21" w:rsidRPr="00671DA6">
        <w:rPr>
          <w:rStyle w:val="shorttext"/>
          <w:rFonts w:asciiTheme="majorBidi" w:hAnsiTheme="majorBidi" w:cstheme="majorBidi"/>
          <w:b/>
          <w:bCs/>
          <w:sz w:val="28"/>
          <w:szCs w:val="28"/>
        </w:rPr>
        <w:t>1948</w:t>
      </w:r>
    </w:p>
    <w:p w:rsidR="0020778D" w:rsidRPr="00671DA6" w:rsidRDefault="0020778D" w:rsidP="00BC3996">
      <w:pPr>
        <w:pStyle w:val="BodyTextIndent"/>
        <w:spacing w:after="0"/>
        <w:ind w:left="0"/>
        <w:rPr>
          <w:sz w:val="26"/>
          <w:szCs w:val="26"/>
        </w:rPr>
      </w:pPr>
      <w:r w:rsidRPr="00671DA6">
        <w:rPr>
          <w:sz w:val="26"/>
          <w:szCs w:val="26"/>
        </w:rPr>
        <w:t>The number of Palestinian and Arab martyrs killed since the Nakba in 1948 and until this day (inside and outside Palestine) reached about 100 thousand martyrs</w:t>
      </w:r>
      <w:r w:rsidRPr="00671DA6">
        <w:rPr>
          <w:rStyle w:val="FootnoteReference"/>
          <w:sz w:val="26"/>
          <w:szCs w:val="26"/>
          <w:rtl/>
        </w:rPr>
        <w:footnoteReference w:id="1"/>
      </w:r>
      <w:r w:rsidRPr="00671DA6">
        <w:rPr>
          <w:sz w:val="26"/>
          <w:szCs w:val="26"/>
        </w:rPr>
        <w:t xml:space="preserve">. Moreover, the number of </w:t>
      </w:r>
      <w:r w:rsidRPr="00671DA6">
        <w:rPr>
          <w:sz w:val="26"/>
          <w:szCs w:val="26"/>
        </w:rPr>
        <w:lastRenderedPageBreak/>
        <w:t xml:space="preserve">martyrs killed in Al-Aqsa Intifada </w:t>
      </w:r>
      <w:r w:rsidR="00BC3996" w:rsidRPr="00671DA6">
        <w:rPr>
          <w:sz w:val="26"/>
          <w:szCs w:val="26"/>
        </w:rPr>
        <w:t xml:space="preserve">during </w:t>
      </w:r>
      <w:r w:rsidRPr="00671DA6">
        <w:rPr>
          <w:sz w:val="26"/>
          <w:szCs w:val="26"/>
        </w:rPr>
        <w:t>September 29</w:t>
      </w:r>
      <w:r w:rsidRPr="00671DA6">
        <w:rPr>
          <w:sz w:val="26"/>
          <w:szCs w:val="26"/>
          <w:vertAlign w:val="superscript"/>
        </w:rPr>
        <w:t>th</w:t>
      </w:r>
      <w:r w:rsidR="00C61114" w:rsidRPr="00671DA6">
        <w:rPr>
          <w:sz w:val="26"/>
          <w:szCs w:val="26"/>
        </w:rPr>
        <w:t xml:space="preserve">, </w:t>
      </w:r>
      <w:r w:rsidRPr="00671DA6">
        <w:rPr>
          <w:sz w:val="26"/>
          <w:szCs w:val="26"/>
        </w:rPr>
        <w:t xml:space="preserve">2000 until </w:t>
      </w:r>
      <w:r w:rsidR="00FE48A2" w:rsidRPr="00671DA6">
        <w:rPr>
          <w:sz w:val="26"/>
          <w:szCs w:val="26"/>
        </w:rPr>
        <w:t>April</w:t>
      </w:r>
      <w:r w:rsidRPr="00671DA6">
        <w:rPr>
          <w:sz w:val="26"/>
          <w:szCs w:val="26"/>
        </w:rPr>
        <w:t xml:space="preserve"> 3</w:t>
      </w:r>
      <w:r w:rsidR="00FE48A2" w:rsidRPr="00671DA6">
        <w:rPr>
          <w:sz w:val="26"/>
          <w:szCs w:val="26"/>
        </w:rPr>
        <w:t>0</w:t>
      </w:r>
      <w:r w:rsidR="00FE48A2" w:rsidRPr="00671DA6">
        <w:rPr>
          <w:sz w:val="26"/>
          <w:szCs w:val="26"/>
          <w:vertAlign w:val="superscript"/>
        </w:rPr>
        <w:t>th</w:t>
      </w:r>
      <w:r w:rsidR="00C61114" w:rsidRPr="00671DA6">
        <w:rPr>
          <w:sz w:val="26"/>
          <w:szCs w:val="26"/>
        </w:rPr>
        <w:t>,</w:t>
      </w:r>
      <w:r w:rsidRPr="00671DA6">
        <w:rPr>
          <w:sz w:val="26"/>
          <w:szCs w:val="26"/>
        </w:rPr>
        <w:t xml:space="preserve"> </w:t>
      </w:r>
      <w:r w:rsidR="00FE48A2" w:rsidRPr="00671DA6">
        <w:rPr>
          <w:sz w:val="26"/>
          <w:szCs w:val="26"/>
        </w:rPr>
        <w:t>2022</w:t>
      </w:r>
      <w:r w:rsidRPr="00671DA6">
        <w:rPr>
          <w:sz w:val="26"/>
          <w:szCs w:val="26"/>
        </w:rPr>
        <w:t xml:space="preserve"> was </w:t>
      </w:r>
      <w:r w:rsidR="00F31AA6" w:rsidRPr="00671DA6">
        <w:rPr>
          <w:rFonts w:hint="cs"/>
          <w:sz w:val="26"/>
          <w:szCs w:val="26"/>
          <w:rtl/>
        </w:rPr>
        <w:t>11</w:t>
      </w:r>
      <w:r w:rsidRPr="00671DA6">
        <w:rPr>
          <w:sz w:val="26"/>
          <w:szCs w:val="26"/>
        </w:rPr>
        <w:t>,</w:t>
      </w:r>
      <w:r w:rsidR="00FE48A2" w:rsidRPr="00671DA6">
        <w:rPr>
          <w:sz w:val="26"/>
          <w:szCs w:val="26"/>
        </w:rPr>
        <w:t>358</w:t>
      </w:r>
      <w:r w:rsidRPr="00671DA6">
        <w:rPr>
          <w:sz w:val="26"/>
          <w:szCs w:val="26"/>
        </w:rPr>
        <w:t xml:space="preserve">. It is said that the bloodiest year was 2014 with 2,240 Palestinian martyrs, 2,181 of them were from Gaza Strip during the war on Gaza. </w:t>
      </w:r>
      <w:r w:rsidR="00F31AA6" w:rsidRPr="00671DA6">
        <w:rPr>
          <w:sz w:val="26"/>
          <w:szCs w:val="26"/>
        </w:rPr>
        <w:t>During 2021, the number of Palestinian martyrs reached 341, 87 of whom were children and 48 women. While the number of wounded Palestinians reached about 12,500 in 2021</w:t>
      </w:r>
      <w:r w:rsidR="00A64F51" w:rsidRPr="00671DA6">
        <w:rPr>
          <w:sz w:val="26"/>
          <w:szCs w:val="26"/>
        </w:rPr>
        <w:t>.</w:t>
      </w:r>
    </w:p>
    <w:p w:rsidR="004A0073" w:rsidRPr="00671DA6" w:rsidRDefault="004A0073" w:rsidP="00FE777C">
      <w:pPr>
        <w:pStyle w:val="BodyText"/>
        <w:rPr>
          <w:rStyle w:val="shorttext"/>
          <w:b/>
          <w:bCs/>
          <w:sz w:val="26"/>
          <w:szCs w:val="26"/>
        </w:rPr>
      </w:pPr>
    </w:p>
    <w:p w:rsidR="00422C70" w:rsidRPr="00671DA6" w:rsidRDefault="00422C70" w:rsidP="00FE777C">
      <w:pPr>
        <w:pStyle w:val="Title"/>
        <w:jc w:val="right"/>
        <w:rPr>
          <w:rFonts w:cs="Times New Roman"/>
          <w:color w:val="auto"/>
          <w:sz w:val="28"/>
          <w:szCs w:val="28"/>
          <w:rtl/>
        </w:rPr>
      </w:pPr>
      <w:r w:rsidRPr="00671DA6">
        <w:rPr>
          <w:rFonts w:cs="Times New Roman"/>
          <w:color w:val="auto"/>
          <w:sz w:val="28"/>
          <w:szCs w:val="28"/>
        </w:rPr>
        <w:t xml:space="preserve">About 1 </w:t>
      </w:r>
      <w:r w:rsidR="009900A2" w:rsidRPr="00671DA6">
        <w:rPr>
          <w:rFonts w:cs="Times New Roman"/>
          <w:color w:val="auto"/>
          <w:sz w:val="28"/>
          <w:szCs w:val="28"/>
        </w:rPr>
        <w:t>M</w:t>
      </w:r>
      <w:r w:rsidRPr="00671DA6">
        <w:rPr>
          <w:rFonts w:cs="Times New Roman"/>
          <w:color w:val="auto"/>
          <w:sz w:val="28"/>
          <w:szCs w:val="28"/>
        </w:rPr>
        <w:t xml:space="preserve">illion </w:t>
      </w:r>
      <w:r w:rsidR="00E46689" w:rsidRPr="00671DA6">
        <w:rPr>
          <w:rFonts w:cs="Times New Roman"/>
          <w:color w:val="auto"/>
          <w:sz w:val="28"/>
          <w:szCs w:val="28"/>
        </w:rPr>
        <w:t>D</w:t>
      </w:r>
      <w:r w:rsidRPr="00671DA6">
        <w:rPr>
          <w:rFonts w:cs="Times New Roman"/>
          <w:color w:val="auto"/>
          <w:sz w:val="28"/>
          <w:szCs w:val="28"/>
        </w:rPr>
        <w:t>etention</w:t>
      </w:r>
      <w:r w:rsidR="00D179E7" w:rsidRPr="00671DA6">
        <w:rPr>
          <w:rFonts w:cs="Times New Roman"/>
          <w:color w:val="auto"/>
          <w:sz w:val="28"/>
          <w:szCs w:val="28"/>
        </w:rPr>
        <w:t xml:space="preserve"> Case</w:t>
      </w:r>
      <w:r w:rsidR="00E46689" w:rsidRPr="00671DA6">
        <w:rPr>
          <w:rFonts w:cs="Times New Roman"/>
          <w:color w:val="auto"/>
          <w:sz w:val="28"/>
          <w:szCs w:val="28"/>
        </w:rPr>
        <w:t>s</w:t>
      </w:r>
      <w:r w:rsidRPr="00671DA6">
        <w:rPr>
          <w:rFonts w:cs="Times New Roman"/>
          <w:color w:val="auto"/>
          <w:sz w:val="28"/>
          <w:szCs w:val="28"/>
        </w:rPr>
        <w:t xml:space="preserve"> since 1967</w:t>
      </w:r>
    </w:p>
    <w:p w:rsidR="001A612D" w:rsidRPr="00671DA6" w:rsidRDefault="009D5749" w:rsidP="00FE777C">
      <w:pPr>
        <w:pStyle w:val="BodyText"/>
        <w:jc w:val="left"/>
        <w:rPr>
          <w:rFonts w:asciiTheme="majorBidi" w:hAnsiTheme="majorBidi" w:cstheme="majorBidi"/>
          <w:b/>
          <w:bCs/>
          <w:sz w:val="28"/>
          <w:szCs w:val="28"/>
        </w:rPr>
      </w:pPr>
      <w:r w:rsidRPr="00671DA6">
        <w:rPr>
          <w:rFonts w:asciiTheme="majorBidi" w:hAnsiTheme="majorBidi" w:cstheme="majorBidi"/>
          <w:b/>
          <w:bCs/>
          <w:sz w:val="28"/>
          <w:szCs w:val="28"/>
        </w:rPr>
        <w:t>25</w:t>
      </w:r>
      <w:r w:rsidR="001A612D" w:rsidRPr="00671DA6">
        <w:rPr>
          <w:rFonts w:asciiTheme="majorBidi" w:hAnsiTheme="majorBidi" w:cstheme="majorBidi"/>
          <w:b/>
          <w:bCs/>
          <w:sz w:val="28"/>
          <w:szCs w:val="28"/>
        </w:rPr>
        <w:t xml:space="preserve"> prisoners have spent more than a quarter of a century in occupation prisons</w:t>
      </w:r>
    </w:p>
    <w:p w:rsidR="001A612D" w:rsidRPr="00671DA6" w:rsidRDefault="001A612D" w:rsidP="00785EF5">
      <w:pPr>
        <w:pStyle w:val="BodyText"/>
        <w:rPr>
          <w:sz w:val="26"/>
          <w:szCs w:val="26"/>
        </w:rPr>
      </w:pPr>
      <w:r w:rsidRPr="00671DA6">
        <w:rPr>
          <w:sz w:val="26"/>
          <w:szCs w:val="26"/>
        </w:rPr>
        <w:t xml:space="preserve">By the end of </w:t>
      </w:r>
      <w:r w:rsidR="00FF3A03" w:rsidRPr="00671DA6">
        <w:rPr>
          <w:sz w:val="26"/>
          <w:szCs w:val="26"/>
        </w:rPr>
        <w:t xml:space="preserve">April </w:t>
      </w:r>
      <w:r w:rsidR="00FF3A03" w:rsidRPr="00671DA6">
        <w:rPr>
          <w:rFonts w:hint="cs"/>
          <w:sz w:val="26"/>
          <w:szCs w:val="26"/>
          <w:rtl/>
        </w:rPr>
        <w:t>2022</w:t>
      </w:r>
      <w:r w:rsidRPr="00671DA6">
        <w:rPr>
          <w:sz w:val="26"/>
          <w:szCs w:val="26"/>
        </w:rPr>
        <w:t>, there were 4,</w:t>
      </w:r>
      <w:r w:rsidR="00FF3A03" w:rsidRPr="00671DA6">
        <w:rPr>
          <w:rFonts w:hint="cs"/>
          <w:sz w:val="26"/>
          <w:szCs w:val="26"/>
          <w:rtl/>
        </w:rPr>
        <w:t>450</w:t>
      </w:r>
      <w:r w:rsidRPr="00671DA6">
        <w:rPr>
          <w:sz w:val="26"/>
          <w:szCs w:val="26"/>
        </w:rPr>
        <w:t xml:space="preserve"> Palestinian detainees in the Israeli occupation prisons, </w:t>
      </w:r>
      <w:r w:rsidR="00FF3A03" w:rsidRPr="00671DA6">
        <w:rPr>
          <w:sz w:val="26"/>
          <w:szCs w:val="26"/>
        </w:rPr>
        <w:t>160</w:t>
      </w:r>
      <w:r w:rsidRPr="00671DA6">
        <w:rPr>
          <w:sz w:val="26"/>
          <w:szCs w:val="26"/>
        </w:rPr>
        <w:t xml:space="preserve"> of them are children and </w:t>
      </w:r>
      <w:r w:rsidR="00FF3A03" w:rsidRPr="00671DA6">
        <w:rPr>
          <w:sz w:val="26"/>
          <w:szCs w:val="26"/>
        </w:rPr>
        <w:t>32</w:t>
      </w:r>
      <w:r w:rsidRPr="00671DA6">
        <w:rPr>
          <w:sz w:val="26"/>
          <w:szCs w:val="26"/>
        </w:rPr>
        <w:t xml:space="preserve"> women. </w:t>
      </w:r>
      <w:r w:rsidR="00651679" w:rsidRPr="00671DA6">
        <w:rPr>
          <w:sz w:val="26"/>
          <w:szCs w:val="26"/>
        </w:rPr>
        <w:t xml:space="preserve">As for the number of arrests, it reached </w:t>
      </w:r>
      <w:r w:rsidR="00FF3A03" w:rsidRPr="00671DA6">
        <w:rPr>
          <w:sz w:val="26"/>
          <w:szCs w:val="26"/>
        </w:rPr>
        <w:t>8</w:t>
      </w:r>
      <w:r w:rsidR="00651679" w:rsidRPr="00671DA6">
        <w:rPr>
          <w:sz w:val="26"/>
          <w:szCs w:val="26"/>
        </w:rPr>
        <w:t>,</w:t>
      </w:r>
      <w:r w:rsidR="00FF3A03" w:rsidRPr="00671DA6">
        <w:rPr>
          <w:sz w:val="26"/>
          <w:szCs w:val="26"/>
        </w:rPr>
        <w:t>000</w:t>
      </w:r>
      <w:r w:rsidR="00651679" w:rsidRPr="00671DA6">
        <w:rPr>
          <w:sz w:val="26"/>
          <w:szCs w:val="26"/>
        </w:rPr>
        <w:t xml:space="preserve"> during the year </w:t>
      </w:r>
      <w:r w:rsidR="00FF3A03" w:rsidRPr="00671DA6">
        <w:rPr>
          <w:sz w:val="26"/>
          <w:szCs w:val="26"/>
        </w:rPr>
        <w:t>2021</w:t>
      </w:r>
      <w:r w:rsidR="00651679" w:rsidRPr="00671DA6">
        <w:rPr>
          <w:sz w:val="26"/>
          <w:szCs w:val="26"/>
        </w:rPr>
        <w:t xml:space="preserve">, including </w:t>
      </w:r>
      <w:r w:rsidR="00FF3A03" w:rsidRPr="00671DA6">
        <w:rPr>
          <w:sz w:val="26"/>
          <w:szCs w:val="26"/>
        </w:rPr>
        <w:t>1,300</w:t>
      </w:r>
      <w:r w:rsidR="00651679" w:rsidRPr="00671DA6">
        <w:rPr>
          <w:sz w:val="26"/>
          <w:szCs w:val="26"/>
        </w:rPr>
        <w:t xml:space="preserve"> children and </w:t>
      </w:r>
      <w:r w:rsidR="00FF3A03" w:rsidRPr="00671DA6">
        <w:rPr>
          <w:sz w:val="26"/>
          <w:szCs w:val="26"/>
        </w:rPr>
        <w:t>184</w:t>
      </w:r>
      <w:r w:rsidR="00651679" w:rsidRPr="00671DA6">
        <w:rPr>
          <w:sz w:val="26"/>
          <w:szCs w:val="26"/>
        </w:rPr>
        <w:t xml:space="preserve"> women</w:t>
      </w:r>
      <w:r w:rsidR="00FF3A03" w:rsidRPr="00671DA6">
        <w:rPr>
          <w:sz w:val="26"/>
          <w:szCs w:val="26"/>
        </w:rPr>
        <w:t>, while the number of administrative detention orders against citizens who were not charged with any charges reached 1,595.</w:t>
      </w:r>
      <w:r w:rsidR="00651679" w:rsidRPr="00671DA6">
        <w:rPr>
          <w:sz w:val="26"/>
          <w:szCs w:val="26"/>
        </w:rPr>
        <w:t xml:space="preserve"> </w:t>
      </w:r>
      <w:r w:rsidR="00E46689" w:rsidRPr="00671DA6">
        <w:rPr>
          <w:sz w:val="26"/>
          <w:szCs w:val="26"/>
        </w:rPr>
        <w:t>D</w:t>
      </w:r>
      <w:r w:rsidRPr="00671DA6">
        <w:rPr>
          <w:sz w:val="26"/>
          <w:szCs w:val="26"/>
        </w:rPr>
        <w:t xml:space="preserve">ata also indicate that there are 570 </w:t>
      </w:r>
      <w:r w:rsidR="009D44A9" w:rsidRPr="00671DA6">
        <w:rPr>
          <w:sz w:val="26"/>
          <w:szCs w:val="26"/>
        </w:rPr>
        <w:t xml:space="preserve">detainees </w:t>
      </w:r>
      <w:r w:rsidRPr="00671DA6">
        <w:rPr>
          <w:sz w:val="26"/>
          <w:szCs w:val="26"/>
        </w:rPr>
        <w:t>serving life sentences, and 650 administrative detainees</w:t>
      </w:r>
      <w:r w:rsidR="00E46689" w:rsidRPr="00671DA6">
        <w:rPr>
          <w:sz w:val="26"/>
          <w:szCs w:val="26"/>
        </w:rPr>
        <w:t>.</w:t>
      </w:r>
      <w:r w:rsidR="00BB5BA1" w:rsidRPr="00671DA6">
        <w:rPr>
          <w:sz w:val="26"/>
          <w:szCs w:val="26"/>
        </w:rPr>
        <w:t xml:space="preserve"> </w:t>
      </w:r>
      <w:r w:rsidR="009D44A9" w:rsidRPr="00671DA6">
        <w:rPr>
          <w:sz w:val="26"/>
          <w:szCs w:val="26"/>
        </w:rPr>
        <w:t>Moreover, d</w:t>
      </w:r>
      <w:r w:rsidR="00E46689" w:rsidRPr="00671DA6">
        <w:rPr>
          <w:sz w:val="26"/>
          <w:szCs w:val="26"/>
        </w:rPr>
        <w:t xml:space="preserve">ata indicate </w:t>
      </w:r>
      <w:r w:rsidRPr="00671DA6">
        <w:rPr>
          <w:sz w:val="26"/>
          <w:szCs w:val="26"/>
        </w:rPr>
        <w:t xml:space="preserve">that Israel is detaining more than 700 sick prisoners and six prisoners of parliament </w:t>
      </w:r>
      <w:r w:rsidR="00357D0B" w:rsidRPr="00671DA6">
        <w:rPr>
          <w:sz w:val="26"/>
          <w:szCs w:val="26"/>
        </w:rPr>
        <w:t>members</w:t>
      </w:r>
      <w:r w:rsidR="00785EF5" w:rsidRPr="00671DA6">
        <w:rPr>
          <w:sz w:val="26"/>
          <w:szCs w:val="26"/>
        </w:rPr>
        <w:t xml:space="preserve"> </w:t>
      </w:r>
      <w:r w:rsidRPr="00671DA6">
        <w:rPr>
          <w:sz w:val="26"/>
          <w:szCs w:val="26"/>
        </w:rPr>
        <w:t xml:space="preserve">in the Legislative Council, in addition to the presence of 25 prisoners who were arrested before the </w:t>
      </w:r>
      <w:r w:rsidR="00BB5BA1" w:rsidRPr="00671DA6">
        <w:rPr>
          <w:sz w:val="26"/>
          <w:szCs w:val="26"/>
        </w:rPr>
        <w:t xml:space="preserve">Oslo Accords in 1993 and </w:t>
      </w:r>
      <w:r w:rsidRPr="00671DA6">
        <w:rPr>
          <w:sz w:val="26"/>
          <w:szCs w:val="26"/>
        </w:rPr>
        <w:t>they are still languishing in Israeli prisons.</w:t>
      </w:r>
    </w:p>
    <w:p w:rsidR="001A612D" w:rsidRPr="00671DA6" w:rsidRDefault="001A612D" w:rsidP="00FE777C">
      <w:pPr>
        <w:pStyle w:val="BodyText"/>
        <w:rPr>
          <w:sz w:val="26"/>
          <w:szCs w:val="26"/>
        </w:rPr>
      </w:pPr>
    </w:p>
    <w:p w:rsidR="00BB5BA1" w:rsidRPr="00671DA6" w:rsidRDefault="00BB5BA1" w:rsidP="00F60A13">
      <w:pPr>
        <w:pStyle w:val="BodyText"/>
        <w:rPr>
          <w:sz w:val="26"/>
          <w:szCs w:val="26"/>
          <w:rtl/>
        </w:rPr>
      </w:pPr>
      <w:r w:rsidRPr="00671DA6">
        <w:rPr>
          <w:sz w:val="26"/>
          <w:szCs w:val="26"/>
        </w:rPr>
        <w:t xml:space="preserve">Data clearly </w:t>
      </w:r>
      <w:r w:rsidR="0088077D" w:rsidRPr="00671DA6">
        <w:rPr>
          <w:sz w:val="26"/>
          <w:szCs w:val="26"/>
        </w:rPr>
        <w:t xml:space="preserve">indicate </w:t>
      </w:r>
      <w:r w:rsidRPr="00671DA6">
        <w:rPr>
          <w:sz w:val="26"/>
          <w:szCs w:val="26"/>
        </w:rPr>
        <w:t xml:space="preserve">that the number of martyrs among the prisoners has reached 226 prisoners since 1967 due to torture or willful killing after arrest or medical negligence against the prisoners. </w:t>
      </w:r>
      <w:r w:rsidR="00F60A13" w:rsidRPr="00671DA6">
        <w:rPr>
          <w:sz w:val="26"/>
          <w:szCs w:val="26"/>
        </w:rPr>
        <w:t>In addition. d</w:t>
      </w:r>
      <w:r w:rsidRPr="00671DA6">
        <w:rPr>
          <w:sz w:val="26"/>
          <w:szCs w:val="26"/>
        </w:rPr>
        <w:t>ata indicate that the martyrdom of 103 prisoners since September 2000, where the year 2007 witnessed the highest percentage of prisoners’ martyrdom inside Israeli prisons as seven prisoners were killed, five of them died as a result of medical negligence.</w:t>
      </w:r>
    </w:p>
    <w:p w:rsidR="00AC1D33" w:rsidRPr="00671DA6" w:rsidRDefault="00AC1D33" w:rsidP="00FE777C">
      <w:pPr>
        <w:pStyle w:val="BodyTextIndent"/>
        <w:spacing w:after="0"/>
        <w:ind w:left="0"/>
        <w:jc w:val="left"/>
        <w:rPr>
          <w:b/>
          <w:bCs/>
          <w:sz w:val="26"/>
          <w:szCs w:val="26"/>
          <w:rtl/>
        </w:rPr>
      </w:pPr>
    </w:p>
    <w:p w:rsidR="005832AD" w:rsidRPr="00671DA6" w:rsidRDefault="005832AD" w:rsidP="00FE777C">
      <w:pPr>
        <w:pStyle w:val="BodyTextIndent"/>
        <w:spacing w:after="0"/>
        <w:ind w:left="0"/>
        <w:jc w:val="left"/>
        <w:rPr>
          <w:b/>
          <w:bCs/>
          <w:sz w:val="28"/>
          <w:szCs w:val="28"/>
        </w:rPr>
      </w:pPr>
      <w:r w:rsidRPr="00671DA6">
        <w:rPr>
          <w:b/>
          <w:bCs/>
          <w:sz w:val="28"/>
          <w:szCs w:val="28"/>
        </w:rPr>
        <w:t xml:space="preserve">Israeli </w:t>
      </w:r>
      <w:r w:rsidR="00AD4F21" w:rsidRPr="00671DA6">
        <w:rPr>
          <w:b/>
          <w:bCs/>
          <w:sz w:val="28"/>
          <w:szCs w:val="28"/>
        </w:rPr>
        <w:t>Occupation</w:t>
      </w:r>
      <w:r w:rsidRPr="00671DA6">
        <w:rPr>
          <w:b/>
          <w:bCs/>
          <w:sz w:val="28"/>
          <w:szCs w:val="28"/>
        </w:rPr>
        <w:t xml:space="preserve">: Continuous </w:t>
      </w:r>
      <w:r w:rsidR="00AD4F21" w:rsidRPr="00671DA6">
        <w:rPr>
          <w:b/>
          <w:bCs/>
          <w:sz w:val="28"/>
          <w:szCs w:val="28"/>
        </w:rPr>
        <w:t xml:space="preserve">Expansion of Settlements </w:t>
      </w:r>
    </w:p>
    <w:p w:rsidR="009D5749" w:rsidRPr="00671DA6" w:rsidRDefault="009D5749" w:rsidP="005102A2">
      <w:pPr>
        <w:pStyle w:val="BodyText"/>
        <w:rPr>
          <w:sz w:val="26"/>
          <w:szCs w:val="26"/>
        </w:rPr>
      </w:pPr>
      <w:r w:rsidRPr="00671DA6">
        <w:rPr>
          <w:sz w:val="26"/>
          <w:szCs w:val="26"/>
        </w:rPr>
        <w:t xml:space="preserve">By the end of 2020, there were 471 Israeli occupation sites and military bases in the West Bank, including 151 settlements and 26 inhabited outposts that considered as neighborhoods following established settlements, in addition to 150 settlement outposts, and 144 classified as other sites (industrial, tourists, service areas and Israeli army bases). </w:t>
      </w:r>
      <w:r w:rsidR="0007631B" w:rsidRPr="00671DA6">
        <w:rPr>
          <w:sz w:val="26"/>
          <w:szCs w:val="26"/>
        </w:rPr>
        <w:t xml:space="preserve">The </w:t>
      </w:r>
      <w:r w:rsidRPr="00671DA6">
        <w:rPr>
          <w:sz w:val="26"/>
          <w:szCs w:val="26"/>
        </w:rPr>
        <w:t>number of settlers in the West Bank reached 712,815 settlers by the end of 2020, at a growth rate of almost 3.6%. Attracting Jews from abroad represents more</w:t>
      </w:r>
      <w:r w:rsidRPr="00671DA6">
        <w:rPr>
          <w:sz w:val="26"/>
          <w:szCs w:val="26"/>
          <w:rtl/>
        </w:rPr>
        <w:t xml:space="preserve"> </w:t>
      </w:r>
      <w:r w:rsidRPr="00671DA6">
        <w:rPr>
          <w:sz w:val="26"/>
          <w:szCs w:val="26"/>
        </w:rPr>
        <w:t xml:space="preserve">than the third of net population growth rate in Israel. Thus, data show that around 47% of settlers live in Jerusalem </w:t>
      </w:r>
      <w:r w:rsidR="0007631B" w:rsidRPr="00671DA6">
        <w:rPr>
          <w:sz w:val="26"/>
          <w:szCs w:val="26"/>
        </w:rPr>
        <w:t>Governorate</w:t>
      </w:r>
      <w:r w:rsidRPr="00671DA6">
        <w:rPr>
          <w:sz w:val="26"/>
          <w:szCs w:val="26"/>
        </w:rPr>
        <w:t>, where their number reached about 332,294 settlers; out of which 246,909 settlers live in East Jerusalem (J1) “</w:t>
      </w:r>
      <w:r w:rsidR="00EB291F" w:rsidRPr="00671DA6">
        <w:rPr>
          <w:sz w:val="26"/>
          <w:szCs w:val="26"/>
        </w:rPr>
        <w:t xml:space="preserve">including </w:t>
      </w:r>
      <w:r w:rsidRPr="00671DA6">
        <w:rPr>
          <w:sz w:val="26"/>
          <w:szCs w:val="26"/>
        </w:rPr>
        <w:t xml:space="preserve">those parts of Jerusalem which were annexed by </w:t>
      </w:r>
      <w:r w:rsidR="00C15514" w:rsidRPr="00671DA6">
        <w:rPr>
          <w:sz w:val="26"/>
          <w:szCs w:val="26"/>
        </w:rPr>
        <w:t xml:space="preserve">the </w:t>
      </w:r>
      <w:r w:rsidRPr="00671DA6">
        <w:rPr>
          <w:sz w:val="26"/>
          <w:szCs w:val="26"/>
        </w:rPr>
        <w:t>Israeli occupation in 1967”. In regards to demographics, the proportion of settlers to Palestinian population in the West Bank is about 23 settlers per 100 Palestinians, and it was the highest in Jerusalem Governorate, where there were 71 settlers per 100 Palestinians.</w:t>
      </w:r>
      <w:r w:rsidRPr="00671DA6">
        <w:rPr>
          <w:rFonts w:hint="cs"/>
          <w:sz w:val="26"/>
          <w:szCs w:val="26"/>
          <w:rtl/>
        </w:rPr>
        <w:t xml:space="preserve"> </w:t>
      </w:r>
      <w:r w:rsidRPr="00671DA6">
        <w:rPr>
          <w:sz w:val="26"/>
          <w:szCs w:val="26"/>
        </w:rPr>
        <w:t xml:space="preserve">Accordingly, </w:t>
      </w:r>
      <w:r w:rsidR="00680FCC" w:rsidRPr="00671DA6">
        <w:rPr>
          <w:sz w:val="26"/>
          <w:szCs w:val="26"/>
        </w:rPr>
        <w:t xml:space="preserve">the year </w:t>
      </w:r>
      <w:r w:rsidRPr="00671DA6">
        <w:rPr>
          <w:sz w:val="26"/>
          <w:szCs w:val="26"/>
        </w:rPr>
        <w:t>2021 witnessed a significant increase in the pace of construction and expansion of the Israeli settlements in the West Bank, where the Israeli occupation approved the construction of more than 12,000 new settlement housing units</w:t>
      </w:r>
      <w:r w:rsidR="00F923A9" w:rsidRPr="00671DA6">
        <w:rPr>
          <w:sz w:val="26"/>
          <w:szCs w:val="26"/>
        </w:rPr>
        <w:t>,</w:t>
      </w:r>
      <w:r w:rsidRPr="00671DA6">
        <w:rPr>
          <w:sz w:val="26"/>
          <w:szCs w:val="26"/>
        </w:rPr>
        <w:t xml:space="preserve"> including 9,000 settlement housing units on the lands of Qalandia Airport in Jerusalem Governorate. In addition, plans were approved to construct thousands of settlement housing units in the West Bank and Jerusalem Governorate.</w:t>
      </w:r>
      <w:r w:rsidRPr="00671DA6" w:rsidDel="00D13B51">
        <w:rPr>
          <w:sz w:val="26"/>
          <w:szCs w:val="26"/>
        </w:rPr>
        <w:t xml:space="preserve"> </w:t>
      </w:r>
    </w:p>
    <w:p w:rsidR="006F7707" w:rsidRPr="00671DA6" w:rsidRDefault="00D70651" w:rsidP="00FE777C">
      <w:pPr>
        <w:pStyle w:val="BodyText"/>
        <w:tabs>
          <w:tab w:val="left" w:pos="3882"/>
        </w:tabs>
        <w:jc w:val="lowKashida"/>
        <w:rPr>
          <w:rStyle w:val="shorttext"/>
          <w:rFonts w:asciiTheme="majorBidi" w:hAnsiTheme="majorBidi" w:cstheme="majorBidi"/>
          <w:b/>
          <w:bCs/>
          <w:sz w:val="26"/>
          <w:szCs w:val="26"/>
        </w:rPr>
      </w:pPr>
      <w:r w:rsidRPr="00671DA6">
        <w:rPr>
          <w:rStyle w:val="shorttext"/>
          <w:rFonts w:asciiTheme="majorBidi" w:hAnsiTheme="majorBidi" w:cstheme="majorBidi"/>
          <w:b/>
          <w:bCs/>
          <w:sz w:val="26"/>
          <w:szCs w:val="26"/>
        </w:rPr>
        <w:tab/>
      </w:r>
    </w:p>
    <w:p w:rsidR="00422C70" w:rsidRPr="00671DA6" w:rsidRDefault="00422C70" w:rsidP="00FE777C">
      <w:pPr>
        <w:pStyle w:val="BodyText"/>
        <w:jc w:val="left"/>
        <w:rPr>
          <w:rStyle w:val="shorttext"/>
          <w:rFonts w:asciiTheme="majorBidi" w:hAnsiTheme="majorBidi" w:cstheme="majorBidi"/>
          <w:b/>
          <w:bCs/>
          <w:sz w:val="28"/>
          <w:szCs w:val="28"/>
        </w:rPr>
      </w:pPr>
      <w:r w:rsidRPr="00671DA6">
        <w:rPr>
          <w:rStyle w:val="shorttext"/>
          <w:rFonts w:asciiTheme="majorBidi" w:hAnsiTheme="majorBidi" w:cstheme="majorBidi"/>
          <w:b/>
          <w:bCs/>
          <w:sz w:val="28"/>
          <w:szCs w:val="28"/>
        </w:rPr>
        <w:t>Continuous Confiscation of Land</w:t>
      </w:r>
    </w:p>
    <w:p w:rsidR="009D5749" w:rsidRPr="00671DA6" w:rsidRDefault="009D5749" w:rsidP="00D039A5">
      <w:pPr>
        <w:pStyle w:val="BodyText"/>
        <w:rPr>
          <w:sz w:val="26"/>
          <w:szCs w:val="26"/>
        </w:rPr>
      </w:pPr>
      <w:r w:rsidRPr="00671DA6">
        <w:rPr>
          <w:sz w:val="26"/>
          <w:szCs w:val="26"/>
        </w:rPr>
        <w:t xml:space="preserve">The Israeli occupation used the land classification according to the Oslo Accords (A, B and C) to tighten their control over the Palestinian land, especially in areas classified as (C) which are under the full control of the Israeli occupation in terms of security, planning and </w:t>
      </w:r>
      <w:r w:rsidRPr="00671DA6">
        <w:rPr>
          <w:sz w:val="26"/>
          <w:szCs w:val="26"/>
        </w:rPr>
        <w:lastRenderedPageBreak/>
        <w:t>construction, where 76% of the total area classified as (C) is directly exploited by the Israeli occupation; settlements regional councils are controlling 63% of it. While the area of authority regions in the Israeli settlements in the West Bank (Including closed regions allocated for expanding those settlements) is about 542 km</w:t>
      </w:r>
      <w:r w:rsidRPr="00671DA6">
        <w:rPr>
          <w:sz w:val="26"/>
          <w:szCs w:val="26"/>
          <w:vertAlign w:val="superscript"/>
        </w:rPr>
        <w:t>2</w:t>
      </w:r>
      <w:r w:rsidRPr="00671DA6">
        <w:rPr>
          <w:sz w:val="26"/>
          <w:szCs w:val="26"/>
        </w:rPr>
        <w:t xml:space="preserve"> as it is by the end of </w:t>
      </w:r>
      <w:r w:rsidRPr="00671DA6">
        <w:rPr>
          <w:rFonts w:hint="cs"/>
          <w:sz w:val="26"/>
          <w:szCs w:val="26"/>
          <w:rtl/>
        </w:rPr>
        <w:t>202</w:t>
      </w:r>
      <w:r w:rsidRPr="00671DA6">
        <w:rPr>
          <w:sz w:val="26"/>
          <w:szCs w:val="26"/>
        </w:rPr>
        <w:t>1; representing about 10% of the total area of the West Bank. Whereas the confiscated areas for the purposes of military bases and military training locations represent about 18% of the West Bank area, in addition to the Annexation and Expansion Wall that has isolated more than 10% of the area of the West Bank. Consequently, more than 219 Palestinian localities were badly affected by the establishment of the A</w:t>
      </w:r>
      <w:r w:rsidR="00D039A5" w:rsidRPr="00671DA6">
        <w:rPr>
          <w:sz w:val="26"/>
          <w:szCs w:val="26"/>
        </w:rPr>
        <w:t>nnexation and Expansion Wall.</w:t>
      </w:r>
    </w:p>
    <w:p w:rsidR="00B97CAB" w:rsidRPr="00671DA6" w:rsidRDefault="00B97CAB" w:rsidP="00FE777C">
      <w:pPr>
        <w:pStyle w:val="BodyTextIndent"/>
        <w:spacing w:after="0"/>
        <w:ind w:left="0"/>
        <w:jc w:val="both"/>
        <w:rPr>
          <w:sz w:val="26"/>
          <w:szCs w:val="26"/>
        </w:rPr>
      </w:pPr>
    </w:p>
    <w:p w:rsidR="00AA5421" w:rsidRPr="00671DA6" w:rsidRDefault="00AA5421" w:rsidP="00FE777C">
      <w:pPr>
        <w:pStyle w:val="BodyText"/>
        <w:jc w:val="left"/>
        <w:rPr>
          <w:rStyle w:val="shorttext"/>
          <w:rFonts w:asciiTheme="majorBidi" w:hAnsiTheme="majorBidi" w:cstheme="majorBidi"/>
          <w:b/>
          <w:bCs/>
          <w:sz w:val="28"/>
          <w:szCs w:val="28"/>
        </w:rPr>
      </w:pPr>
      <w:r w:rsidRPr="00671DA6">
        <w:rPr>
          <w:rStyle w:val="shorttext"/>
          <w:rFonts w:asciiTheme="majorBidi" w:hAnsiTheme="majorBidi" w:cstheme="majorBidi"/>
          <w:b/>
          <w:bCs/>
          <w:sz w:val="28"/>
          <w:szCs w:val="28"/>
        </w:rPr>
        <w:t xml:space="preserve">Jerusalem: Intensive and Systematic </w:t>
      </w:r>
      <w:proofErr w:type="spellStart"/>
      <w:r w:rsidRPr="00671DA6">
        <w:rPr>
          <w:rStyle w:val="shorttext"/>
          <w:rFonts w:asciiTheme="majorBidi" w:hAnsiTheme="majorBidi" w:cstheme="majorBidi"/>
          <w:b/>
          <w:bCs/>
          <w:sz w:val="28"/>
          <w:szCs w:val="28"/>
        </w:rPr>
        <w:t>Judaization</w:t>
      </w:r>
      <w:proofErr w:type="spellEnd"/>
    </w:p>
    <w:p w:rsidR="00FE777C" w:rsidRPr="00671DA6" w:rsidRDefault="00FE777C" w:rsidP="009541F5">
      <w:pPr>
        <w:jc w:val="both"/>
        <w:rPr>
          <w:sz w:val="26"/>
          <w:szCs w:val="26"/>
        </w:rPr>
      </w:pPr>
      <w:r w:rsidRPr="00671DA6">
        <w:rPr>
          <w:sz w:val="26"/>
          <w:szCs w:val="26"/>
        </w:rPr>
        <w:t xml:space="preserve">As part of the policy of deportation and replacement, the Israeli occupation authorities are taking accelerated </w:t>
      </w:r>
      <w:proofErr w:type="spellStart"/>
      <w:r w:rsidRPr="00671DA6">
        <w:rPr>
          <w:sz w:val="26"/>
          <w:szCs w:val="26"/>
        </w:rPr>
        <w:t>judaizing</w:t>
      </w:r>
      <w:proofErr w:type="spellEnd"/>
      <w:r w:rsidRPr="00671DA6">
        <w:rPr>
          <w:sz w:val="26"/>
          <w:szCs w:val="26"/>
        </w:rPr>
        <w:t xml:space="preserve"> measures to Jerusalem in order to obliterate the Islamic landmarks and displace Palestinians from the city of Jerusalem, to replace them with Israelis from all over the world. During 2021, the Israeli occupation authorities approved the construction of more than 12 thousand settlement units, most of them in Jerusalem, at a time that the Israeli occupation authorities demolished more than 300 buildings and issued demolition orders for more than 200 Palestinian buildings. </w:t>
      </w:r>
      <w:r w:rsidR="009541F5" w:rsidRPr="00671DA6">
        <w:rPr>
          <w:sz w:val="26"/>
          <w:szCs w:val="26"/>
        </w:rPr>
        <w:t>This is i</w:t>
      </w:r>
      <w:r w:rsidRPr="00671DA6">
        <w:rPr>
          <w:sz w:val="26"/>
          <w:szCs w:val="26"/>
        </w:rPr>
        <w:t xml:space="preserve">n addition to approving a project to seizure 2,050 Palestinian real-estates over an area estimated of 2,500 </w:t>
      </w:r>
      <w:proofErr w:type="spellStart"/>
      <w:r w:rsidRPr="00671DA6">
        <w:rPr>
          <w:sz w:val="26"/>
          <w:szCs w:val="26"/>
        </w:rPr>
        <w:t>dunums</w:t>
      </w:r>
      <w:proofErr w:type="spellEnd"/>
      <w:r w:rsidRPr="00671DA6">
        <w:rPr>
          <w:sz w:val="26"/>
          <w:szCs w:val="26"/>
        </w:rPr>
        <w:t xml:space="preserve"> during the year 2021. At the same time, in the neighborhoods of Sheikh Jarrah and </w:t>
      </w:r>
      <w:proofErr w:type="spellStart"/>
      <w:r w:rsidRPr="00671DA6">
        <w:rPr>
          <w:sz w:val="26"/>
          <w:szCs w:val="26"/>
        </w:rPr>
        <w:t>Silwan</w:t>
      </w:r>
      <w:proofErr w:type="spellEnd"/>
      <w:r w:rsidRPr="00671DA6">
        <w:rPr>
          <w:sz w:val="26"/>
          <w:szCs w:val="26"/>
        </w:rPr>
        <w:t xml:space="preserve"> in East Jerusalem, the Israeli authorities strengthened the Israeli occupation attempts to seizure Palestinian houses and expel its long-time residents. They did so under a discriminatory law, upheld by Israeli courts, that allows these Israeli settler groups to pursue claims to land they claim Jews owned pre-1948 in East Jerusalem. While</w:t>
      </w:r>
      <w:r w:rsidR="009541F5" w:rsidRPr="00671DA6">
        <w:rPr>
          <w:sz w:val="26"/>
          <w:szCs w:val="26"/>
        </w:rPr>
        <w:t xml:space="preserve"> the</w:t>
      </w:r>
      <w:r w:rsidRPr="00671DA6">
        <w:rPr>
          <w:sz w:val="26"/>
          <w:szCs w:val="26"/>
        </w:rPr>
        <w:t xml:space="preserve"> Israeli law prohibits Palestinians, including residents of Sheikh Jarrah and </w:t>
      </w:r>
      <w:proofErr w:type="spellStart"/>
      <w:r w:rsidRPr="00671DA6">
        <w:rPr>
          <w:sz w:val="26"/>
          <w:szCs w:val="26"/>
        </w:rPr>
        <w:t>Silwan</w:t>
      </w:r>
      <w:proofErr w:type="spellEnd"/>
      <w:r w:rsidRPr="00671DA6">
        <w:rPr>
          <w:sz w:val="26"/>
          <w:szCs w:val="26"/>
        </w:rPr>
        <w:t xml:space="preserve"> neighborhoods who are due to be displaced, from reclaiming property they owned in the occupied territories in 1948.</w:t>
      </w:r>
      <w:r w:rsidRPr="00671DA6" w:rsidDel="00493B33">
        <w:rPr>
          <w:sz w:val="26"/>
          <w:szCs w:val="26"/>
        </w:rPr>
        <w:t xml:space="preserve"> </w:t>
      </w:r>
    </w:p>
    <w:p w:rsidR="004A0073" w:rsidRPr="00671DA6" w:rsidRDefault="004A0073" w:rsidP="00FE777C">
      <w:pPr>
        <w:jc w:val="left"/>
        <w:rPr>
          <w:b/>
          <w:bCs/>
          <w:sz w:val="26"/>
          <w:szCs w:val="26"/>
        </w:rPr>
      </w:pPr>
    </w:p>
    <w:p w:rsidR="00FE777C" w:rsidRPr="00671DA6" w:rsidRDefault="00FE777C" w:rsidP="00FE777C">
      <w:pPr>
        <w:pStyle w:val="BodyTextIndent2"/>
        <w:spacing w:after="0" w:line="240" w:lineRule="auto"/>
        <w:ind w:left="0"/>
        <w:jc w:val="both"/>
        <w:rPr>
          <w:b/>
          <w:bCs/>
          <w:sz w:val="28"/>
          <w:szCs w:val="28"/>
        </w:rPr>
      </w:pPr>
      <w:r w:rsidRPr="00671DA6">
        <w:rPr>
          <w:b/>
          <w:bCs/>
          <w:sz w:val="28"/>
          <w:szCs w:val="28"/>
        </w:rPr>
        <w:t xml:space="preserve">More than 1,600 attacks by settlers </w:t>
      </w:r>
    </w:p>
    <w:p w:rsidR="00FE777C" w:rsidRPr="00671DA6" w:rsidRDefault="00FE777C" w:rsidP="00E27584">
      <w:pPr>
        <w:pStyle w:val="BodyTextIndent2"/>
        <w:spacing w:after="0" w:line="240" w:lineRule="auto"/>
        <w:ind w:left="0"/>
        <w:jc w:val="both"/>
        <w:rPr>
          <w:sz w:val="26"/>
          <w:szCs w:val="26"/>
        </w:rPr>
      </w:pPr>
      <w:r w:rsidRPr="00671DA6">
        <w:rPr>
          <w:sz w:val="26"/>
          <w:szCs w:val="26"/>
        </w:rPr>
        <w:t xml:space="preserve">In 2021, settlers, under the protection of the Israeli occupation army, carried out about 1,621 attacks against Palestinian citizens and their </w:t>
      </w:r>
      <w:r w:rsidR="00E27584" w:rsidRPr="00671DA6">
        <w:rPr>
          <w:sz w:val="26"/>
          <w:szCs w:val="26"/>
        </w:rPr>
        <w:t>properties</w:t>
      </w:r>
      <w:r w:rsidRPr="00671DA6">
        <w:rPr>
          <w:sz w:val="26"/>
          <w:szCs w:val="26"/>
        </w:rPr>
        <w:t>, an increase of 49% in 2020, and the attacks varied from uprooting, destroying and burning of 19,000 trees, carrying out 33 run-over attacks, 76 shootings, and 30 leveling operations of citizens' lands, in addition to burning, destroying and damaging cars and vehicles of 450 Palestinian citizens.</w:t>
      </w:r>
    </w:p>
    <w:p w:rsidR="00D039A5" w:rsidRPr="00671DA6" w:rsidRDefault="00D039A5" w:rsidP="004205AA">
      <w:pPr>
        <w:pStyle w:val="BodyTextIndent2"/>
        <w:spacing w:after="0" w:line="240" w:lineRule="auto"/>
        <w:ind w:left="0"/>
        <w:jc w:val="both"/>
        <w:rPr>
          <w:sz w:val="26"/>
          <w:szCs w:val="26"/>
          <w:rtl/>
        </w:rPr>
      </w:pPr>
    </w:p>
    <w:p w:rsidR="00FE777C" w:rsidRPr="00671DA6" w:rsidRDefault="00FE777C" w:rsidP="004205AA">
      <w:pPr>
        <w:pStyle w:val="BodyTextIndent2"/>
        <w:spacing w:after="0" w:line="240" w:lineRule="auto"/>
        <w:ind w:left="0"/>
        <w:jc w:val="both"/>
        <w:rPr>
          <w:sz w:val="26"/>
          <w:szCs w:val="26"/>
        </w:rPr>
      </w:pPr>
      <w:r w:rsidRPr="00671DA6">
        <w:rPr>
          <w:sz w:val="26"/>
          <w:szCs w:val="26"/>
        </w:rPr>
        <w:t xml:space="preserve">Since the beginning of 2021, settlers have established ten new outposts for the seizure and control of Palestinian lands, including </w:t>
      </w:r>
      <w:proofErr w:type="spellStart"/>
      <w:r w:rsidRPr="00671DA6">
        <w:rPr>
          <w:sz w:val="26"/>
          <w:szCs w:val="26"/>
        </w:rPr>
        <w:t>Jabal</w:t>
      </w:r>
      <w:proofErr w:type="spellEnd"/>
      <w:r w:rsidRPr="00671DA6">
        <w:rPr>
          <w:sz w:val="26"/>
          <w:szCs w:val="26"/>
        </w:rPr>
        <w:t xml:space="preserve"> </w:t>
      </w:r>
      <w:proofErr w:type="spellStart"/>
      <w:r w:rsidRPr="00671DA6">
        <w:rPr>
          <w:sz w:val="26"/>
          <w:szCs w:val="26"/>
        </w:rPr>
        <w:t>Sabih</w:t>
      </w:r>
      <w:proofErr w:type="spellEnd"/>
      <w:r w:rsidRPr="00671DA6">
        <w:rPr>
          <w:sz w:val="26"/>
          <w:szCs w:val="26"/>
        </w:rPr>
        <w:t>, which is located</w:t>
      </w:r>
      <w:r w:rsidR="00E27584" w:rsidRPr="00671DA6">
        <w:rPr>
          <w:sz w:val="26"/>
          <w:szCs w:val="26"/>
        </w:rPr>
        <w:t xml:space="preserve"> to</w:t>
      </w:r>
      <w:r w:rsidRPr="00671DA6">
        <w:rPr>
          <w:sz w:val="26"/>
          <w:szCs w:val="26"/>
        </w:rPr>
        <w:t xml:space="preserve"> southeast of Nablus city. The area of the mountain (</w:t>
      </w:r>
      <w:proofErr w:type="spellStart"/>
      <w:r w:rsidRPr="00671DA6">
        <w:rPr>
          <w:sz w:val="26"/>
          <w:szCs w:val="26"/>
        </w:rPr>
        <w:t>Jabal</w:t>
      </w:r>
      <w:proofErr w:type="spellEnd"/>
      <w:r w:rsidRPr="00671DA6">
        <w:rPr>
          <w:sz w:val="26"/>
          <w:szCs w:val="26"/>
        </w:rPr>
        <w:t xml:space="preserve"> </w:t>
      </w:r>
      <w:proofErr w:type="spellStart"/>
      <w:r w:rsidRPr="00671DA6">
        <w:rPr>
          <w:sz w:val="26"/>
          <w:szCs w:val="26"/>
        </w:rPr>
        <w:t>Sabih</w:t>
      </w:r>
      <w:proofErr w:type="spellEnd"/>
      <w:r w:rsidRPr="00671DA6">
        <w:rPr>
          <w:sz w:val="26"/>
          <w:szCs w:val="26"/>
        </w:rPr>
        <w:t xml:space="preserve">) is about 840 </w:t>
      </w:r>
      <w:proofErr w:type="spellStart"/>
      <w:r w:rsidRPr="00671DA6">
        <w:rPr>
          <w:sz w:val="26"/>
          <w:szCs w:val="26"/>
        </w:rPr>
        <w:t>dunums</w:t>
      </w:r>
      <w:proofErr w:type="spellEnd"/>
      <w:r w:rsidRPr="00671DA6">
        <w:rPr>
          <w:sz w:val="26"/>
          <w:szCs w:val="26"/>
        </w:rPr>
        <w:t xml:space="preserve">, where Israeli settlers seized so far 20 </w:t>
      </w:r>
      <w:proofErr w:type="spellStart"/>
      <w:r w:rsidRPr="00671DA6">
        <w:rPr>
          <w:sz w:val="26"/>
          <w:szCs w:val="26"/>
        </w:rPr>
        <w:t>dunums</w:t>
      </w:r>
      <w:proofErr w:type="spellEnd"/>
      <w:r w:rsidRPr="00671DA6">
        <w:rPr>
          <w:sz w:val="26"/>
          <w:szCs w:val="26"/>
        </w:rPr>
        <w:t xml:space="preserve"> of it, </w:t>
      </w:r>
      <w:r w:rsidR="00E27584" w:rsidRPr="00671DA6">
        <w:rPr>
          <w:sz w:val="26"/>
          <w:szCs w:val="26"/>
        </w:rPr>
        <w:t xml:space="preserve">where </w:t>
      </w:r>
      <w:r w:rsidRPr="00671DA6">
        <w:rPr>
          <w:sz w:val="26"/>
          <w:szCs w:val="26"/>
        </w:rPr>
        <w:t xml:space="preserve">they have built an outpost that includes a number of settlement units that are rapidly increasing in recent days, while the Israeli occupation authorities have initiated measures to legitimize the outpost to turn it into an Israeli Settlement. Israeli settlers also exploit about 120 thousand </w:t>
      </w:r>
      <w:proofErr w:type="spellStart"/>
      <w:r w:rsidRPr="00671DA6">
        <w:rPr>
          <w:sz w:val="26"/>
          <w:szCs w:val="26"/>
        </w:rPr>
        <w:t>dunums</w:t>
      </w:r>
      <w:proofErr w:type="spellEnd"/>
      <w:r w:rsidRPr="00671DA6">
        <w:rPr>
          <w:sz w:val="26"/>
          <w:szCs w:val="26"/>
        </w:rPr>
        <w:t xml:space="preserve"> of Palestinian lands for agriculture.</w:t>
      </w:r>
    </w:p>
    <w:p w:rsidR="00BB5BA1" w:rsidRPr="00671DA6" w:rsidRDefault="00BB5BA1" w:rsidP="00FE777C">
      <w:pPr>
        <w:jc w:val="both"/>
        <w:rPr>
          <w:b/>
          <w:bCs/>
          <w:sz w:val="26"/>
          <w:szCs w:val="26"/>
        </w:rPr>
      </w:pPr>
    </w:p>
    <w:p w:rsidR="001A612D" w:rsidRPr="00671DA6" w:rsidRDefault="001A612D" w:rsidP="00FE777C">
      <w:pPr>
        <w:jc w:val="left"/>
        <w:rPr>
          <w:b/>
          <w:bCs/>
          <w:sz w:val="28"/>
          <w:szCs w:val="28"/>
        </w:rPr>
      </w:pPr>
      <w:r w:rsidRPr="00671DA6">
        <w:rPr>
          <w:b/>
          <w:bCs/>
          <w:sz w:val="28"/>
          <w:szCs w:val="28"/>
        </w:rPr>
        <w:t>A Bitter Reality for Water in Palestine, 20% of Available Water in Palestine Purchased from Israeli Water Company "</w:t>
      </w:r>
      <w:proofErr w:type="spellStart"/>
      <w:r w:rsidRPr="00671DA6">
        <w:rPr>
          <w:b/>
          <w:bCs/>
          <w:sz w:val="28"/>
          <w:szCs w:val="28"/>
        </w:rPr>
        <w:t>Mekorot</w:t>
      </w:r>
      <w:proofErr w:type="spellEnd"/>
      <w:r w:rsidRPr="00671DA6">
        <w:rPr>
          <w:b/>
          <w:bCs/>
          <w:sz w:val="28"/>
          <w:szCs w:val="28"/>
        </w:rPr>
        <w:t>"</w:t>
      </w:r>
    </w:p>
    <w:p w:rsidR="008204FB" w:rsidRPr="00671DA6" w:rsidRDefault="008204FB" w:rsidP="00FE777C">
      <w:pPr>
        <w:jc w:val="both"/>
        <w:rPr>
          <w:sz w:val="26"/>
          <w:szCs w:val="26"/>
        </w:rPr>
      </w:pPr>
      <w:r w:rsidRPr="00671DA6">
        <w:rPr>
          <w:sz w:val="26"/>
          <w:szCs w:val="26"/>
        </w:rPr>
        <w:t>With scarce water and Israeli restrictions on access to resources, Palestinians are forced to purchase water from the Israeli water company “</w:t>
      </w:r>
      <w:proofErr w:type="spellStart"/>
      <w:r w:rsidRPr="00671DA6">
        <w:rPr>
          <w:sz w:val="26"/>
          <w:szCs w:val="26"/>
        </w:rPr>
        <w:t>Mekorot</w:t>
      </w:r>
      <w:proofErr w:type="spellEnd"/>
      <w:r w:rsidRPr="00671DA6">
        <w:rPr>
          <w:sz w:val="26"/>
          <w:szCs w:val="26"/>
        </w:rPr>
        <w:t xml:space="preserve">”. In 2020, they purchased 90.3 MCM, which represented 20% of the water available in Palestine (448.4 MCM). Additionally, 53.3 MCM of the water were produced from the Palestinian springs while 299.1 MCM are </w:t>
      </w:r>
      <w:r w:rsidRPr="00671DA6">
        <w:rPr>
          <w:sz w:val="26"/>
          <w:szCs w:val="26"/>
        </w:rPr>
        <w:lastRenderedPageBreak/>
        <w:t>pumped from groundwater wells and 5.7 MCM desalinated drinking water, representing 1% of the available water.</w:t>
      </w:r>
    </w:p>
    <w:p w:rsidR="008204FB" w:rsidRPr="00671DA6" w:rsidRDefault="008204FB" w:rsidP="00FE777C">
      <w:pPr>
        <w:jc w:val="both"/>
        <w:rPr>
          <w:sz w:val="26"/>
          <w:szCs w:val="26"/>
        </w:rPr>
      </w:pPr>
    </w:p>
    <w:p w:rsidR="008204FB" w:rsidRPr="00671DA6" w:rsidRDefault="008204FB" w:rsidP="00FE777C">
      <w:pPr>
        <w:jc w:val="both"/>
        <w:rPr>
          <w:rFonts w:asciiTheme="majorBidi" w:hAnsiTheme="majorBidi" w:cstheme="majorBidi"/>
          <w:b/>
          <w:bCs/>
          <w:sz w:val="26"/>
          <w:szCs w:val="26"/>
        </w:rPr>
      </w:pPr>
      <w:r w:rsidRPr="00671DA6">
        <w:rPr>
          <w:sz w:val="26"/>
          <w:szCs w:val="26"/>
        </w:rPr>
        <w:t>As for water available to Palestinians that is unsuitable for human use due to the quantities of polluted water in Gaza Strip, it reached 201.8 MCM, whereas the quantities of water suitable for domestic use available to the Palestinians are only 246.6 MCM, including purchased and desalinated water.</w:t>
      </w:r>
    </w:p>
    <w:p w:rsidR="001A612D" w:rsidRPr="00671DA6" w:rsidRDefault="001A612D" w:rsidP="00FE777C">
      <w:pPr>
        <w:jc w:val="both"/>
        <w:rPr>
          <w:sz w:val="26"/>
          <w:szCs w:val="26"/>
          <w:rtl/>
        </w:rPr>
      </w:pPr>
    </w:p>
    <w:p w:rsidR="001A612D" w:rsidRPr="00671DA6" w:rsidRDefault="001A612D" w:rsidP="00FE777C">
      <w:pPr>
        <w:jc w:val="left"/>
        <w:rPr>
          <w:b/>
          <w:bCs/>
          <w:sz w:val="28"/>
          <w:szCs w:val="28"/>
        </w:rPr>
      </w:pPr>
      <w:r w:rsidRPr="00671DA6">
        <w:rPr>
          <w:b/>
          <w:bCs/>
          <w:sz w:val="28"/>
          <w:szCs w:val="28"/>
        </w:rPr>
        <w:t>79% of</w:t>
      </w:r>
      <w:r w:rsidR="00093E74" w:rsidRPr="00671DA6">
        <w:rPr>
          <w:b/>
          <w:bCs/>
          <w:sz w:val="28"/>
          <w:szCs w:val="28"/>
        </w:rPr>
        <w:t xml:space="preserve"> the</w:t>
      </w:r>
      <w:r w:rsidRPr="00671DA6">
        <w:rPr>
          <w:b/>
          <w:bCs/>
          <w:sz w:val="28"/>
          <w:szCs w:val="28"/>
        </w:rPr>
        <w:t xml:space="preserve"> Available Water is from Groundwater</w:t>
      </w:r>
    </w:p>
    <w:p w:rsidR="00FF3A03" w:rsidRPr="00671DA6" w:rsidRDefault="00FF3A03" w:rsidP="00943CF9">
      <w:pPr>
        <w:shd w:val="clear" w:color="auto" w:fill="FFFFFF" w:themeFill="background1"/>
        <w:jc w:val="both"/>
        <w:rPr>
          <w:rFonts w:asciiTheme="majorBidi" w:hAnsiTheme="majorBidi" w:cstheme="majorBidi"/>
          <w:sz w:val="26"/>
          <w:szCs w:val="26"/>
        </w:rPr>
      </w:pPr>
      <w:r w:rsidRPr="00671DA6">
        <w:rPr>
          <w:rFonts w:asciiTheme="majorBidi" w:hAnsiTheme="majorBidi" w:cstheme="majorBidi"/>
          <w:sz w:val="26"/>
          <w:szCs w:val="26"/>
        </w:rPr>
        <w:t>Data showed that the percentage of the exploitation of surface and groundwater from available water during 2020 was high with an average of 79%.</w:t>
      </w:r>
      <w:r w:rsidR="008204FB" w:rsidRPr="00671DA6">
        <w:rPr>
          <w:rFonts w:asciiTheme="majorBidi" w:hAnsiTheme="majorBidi" w:cstheme="majorBidi" w:hint="cs"/>
          <w:sz w:val="26"/>
          <w:szCs w:val="26"/>
          <w:rtl/>
        </w:rPr>
        <w:t xml:space="preserve"> </w:t>
      </w:r>
      <w:r w:rsidRPr="00671DA6">
        <w:rPr>
          <w:rFonts w:asciiTheme="majorBidi" w:hAnsiTheme="majorBidi" w:cstheme="majorBidi"/>
          <w:sz w:val="26"/>
          <w:szCs w:val="26"/>
        </w:rPr>
        <w:t>It should be noted that Palestinians have been denied, by the Israeli occupation, to access and extract water from the Jordan River since 1967, which is estimated of about 250 MCM.</w:t>
      </w:r>
      <w:r w:rsidR="008204FB" w:rsidRPr="00671DA6">
        <w:rPr>
          <w:rFonts w:asciiTheme="majorBidi" w:hAnsiTheme="majorBidi" w:cstheme="majorBidi" w:hint="cs"/>
          <w:sz w:val="26"/>
          <w:szCs w:val="26"/>
          <w:rtl/>
        </w:rPr>
        <w:t xml:space="preserve"> </w:t>
      </w:r>
      <w:r w:rsidRPr="00671DA6">
        <w:rPr>
          <w:rFonts w:asciiTheme="majorBidi" w:hAnsiTheme="majorBidi" w:cstheme="majorBidi"/>
          <w:sz w:val="26"/>
          <w:szCs w:val="26"/>
        </w:rPr>
        <w:t>On the other hand, the quantity of water pumped from the Palestinian wells in the West Bank in 2020 was 108.</w:t>
      </w:r>
      <w:r w:rsidR="00943CF9" w:rsidRPr="00671DA6">
        <w:rPr>
          <w:rFonts w:asciiTheme="majorBidi" w:hAnsiTheme="majorBidi" w:cstheme="majorBidi" w:hint="cs"/>
          <w:sz w:val="26"/>
          <w:szCs w:val="26"/>
          <w:rtl/>
        </w:rPr>
        <w:t>6</w:t>
      </w:r>
      <w:r w:rsidRPr="00671DA6">
        <w:rPr>
          <w:rFonts w:asciiTheme="majorBidi" w:hAnsiTheme="majorBidi" w:cstheme="majorBidi"/>
          <w:sz w:val="26"/>
          <w:szCs w:val="26"/>
        </w:rPr>
        <w:t xml:space="preserve"> MCM from Eastern Aquifer, Western Aquifer and North-Eastern Aquifer.</w:t>
      </w:r>
    </w:p>
    <w:p w:rsidR="001A612D" w:rsidRPr="00671DA6" w:rsidRDefault="001A612D" w:rsidP="00FE777C">
      <w:pPr>
        <w:shd w:val="clear" w:color="auto" w:fill="FFFFFF" w:themeFill="background1"/>
        <w:autoSpaceDE w:val="0"/>
        <w:autoSpaceDN w:val="0"/>
        <w:adjustRightInd w:val="0"/>
        <w:jc w:val="both"/>
        <w:rPr>
          <w:sz w:val="26"/>
          <w:szCs w:val="26"/>
        </w:rPr>
      </w:pPr>
    </w:p>
    <w:p w:rsidR="004B1617" w:rsidRDefault="008204FB" w:rsidP="00D03B93">
      <w:pPr>
        <w:autoSpaceDE w:val="0"/>
        <w:autoSpaceDN w:val="0"/>
        <w:adjustRightInd w:val="0"/>
        <w:jc w:val="both"/>
        <w:rPr>
          <w:b/>
          <w:bCs/>
          <w:sz w:val="26"/>
          <w:szCs w:val="26"/>
        </w:rPr>
      </w:pPr>
      <w:r w:rsidRPr="00671DA6">
        <w:rPr>
          <w:rFonts w:asciiTheme="majorBidi" w:hAnsiTheme="majorBidi" w:cstheme="majorBidi"/>
          <w:sz w:val="26"/>
          <w:szCs w:val="26"/>
        </w:rPr>
        <w:t xml:space="preserve">The amount of water extracted from the coastal aquifer was 190.5 </w:t>
      </w:r>
      <w:r w:rsidRPr="00671DA6">
        <w:rPr>
          <w:sz w:val="26"/>
          <w:szCs w:val="26"/>
        </w:rPr>
        <w:t>million cubic meters (MCM)</w:t>
      </w:r>
      <w:r w:rsidRPr="00671DA6">
        <w:rPr>
          <w:rFonts w:asciiTheme="majorBidi" w:hAnsiTheme="majorBidi" w:cstheme="majorBidi"/>
          <w:sz w:val="26"/>
          <w:szCs w:val="26"/>
        </w:rPr>
        <w:t xml:space="preserve"> in Gaza Strip in 2020. However, this quantity is obtained via unsafe pumping that jeopardizes the sustainability of the source, as the basin sustainable yield should not exceed 50-60 MCM a year, where the groundwater level in the coastal aquifer reached 19 meters below sea level leading to the depletion of groundwater reserves, this led 97% of the water pumped from the coastal aquifer in Gaza Strip does not meet the water quality standards of the World Health Organization.</w:t>
      </w:r>
    </w:p>
    <w:p w:rsidR="00671DA6" w:rsidRPr="00671DA6" w:rsidRDefault="00671DA6" w:rsidP="00D03B93">
      <w:pPr>
        <w:autoSpaceDE w:val="0"/>
        <w:autoSpaceDN w:val="0"/>
        <w:adjustRightInd w:val="0"/>
        <w:jc w:val="both"/>
        <w:rPr>
          <w:b/>
          <w:bCs/>
          <w:sz w:val="26"/>
          <w:szCs w:val="26"/>
        </w:rPr>
      </w:pPr>
    </w:p>
    <w:p w:rsidR="001A612D" w:rsidRPr="00671DA6" w:rsidRDefault="001A612D" w:rsidP="00FE777C">
      <w:pPr>
        <w:jc w:val="left"/>
        <w:rPr>
          <w:b/>
          <w:bCs/>
          <w:sz w:val="26"/>
          <w:szCs w:val="26"/>
        </w:rPr>
      </w:pPr>
    </w:p>
    <w:p w:rsidR="001E179A" w:rsidRPr="00671DA6" w:rsidRDefault="001E179A" w:rsidP="00671DA6">
      <w:pPr>
        <w:jc w:val="left"/>
        <w:rPr>
          <w:b/>
          <w:bCs/>
          <w:sz w:val="26"/>
          <w:szCs w:val="26"/>
        </w:rPr>
      </w:pPr>
      <w:r w:rsidRPr="00671DA6">
        <w:rPr>
          <w:b/>
          <w:bCs/>
          <w:sz w:val="26"/>
          <w:szCs w:val="26"/>
        </w:rPr>
        <w:t>Sources:</w:t>
      </w:r>
    </w:p>
    <w:p w:rsidR="0047211E" w:rsidRPr="00D03B93" w:rsidRDefault="0047211E" w:rsidP="00FE777C">
      <w:pPr>
        <w:pStyle w:val="ListParagraph"/>
        <w:numPr>
          <w:ilvl w:val="0"/>
          <w:numId w:val="1"/>
        </w:numPr>
        <w:bidi w:val="0"/>
        <w:ind w:left="284" w:hanging="284"/>
        <w:jc w:val="both"/>
      </w:pPr>
      <w:r w:rsidRPr="00D03B93">
        <w:t>Palestinian Central Bureau of Statistics</w:t>
      </w:r>
      <w:r w:rsidR="00273BF1" w:rsidRPr="00D03B93">
        <w:t>,</w:t>
      </w:r>
      <w:r w:rsidRPr="00D03B93">
        <w:t xml:space="preserve"> </w:t>
      </w:r>
      <w:r w:rsidR="008204FB" w:rsidRPr="00D03B93">
        <w:rPr>
          <w:rFonts w:hint="cs"/>
          <w:rtl/>
        </w:rPr>
        <w:t>2021</w:t>
      </w:r>
      <w:r w:rsidR="00273BF1" w:rsidRPr="00D03B93">
        <w:t xml:space="preserve">. </w:t>
      </w:r>
      <w:r w:rsidRPr="00D03B93">
        <w:t xml:space="preserve">Israeli Settlements in the West Bank, </w:t>
      </w:r>
      <w:r w:rsidR="008204FB" w:rsidRPr="00D03B93">
        <w:rPr>
          <w:rFonts w:hint="cs"/>
          <w:rtl/>
        </w:rPr>
        <w:t>2020</w:t>
      </w:r>
      <w:r w:rsidRPr="00D03B93">
        <w:t>. Ramallah- Palestine.</w:t>
      </w:r>
    </w:p>
    <w:p w:rsidR="008204FB" w:rsidRPr="00D03B93" w:rsidRDefault="008204FB" w:rsidP="00FE777C">
      <w:pPr>
        <w:pStyle w:val="ListParagraph"/>
        <w:numPr>
          <w:ilvl w:val="0"/>
          <w:numId w:val="1"/>
        </w:numPr>
        <w:bidi w:val="0"/>
        <w:ind w:left="284" w:hanging="284"/>
        <w:jc w:val="both"/>
      </w:pPr>
      <w:r w:rsidRPr="00D03B93">
        <w:t xml:space="preserve">Colonization and Wall Resistance Commission </w:t>
      </w:r>
      <w:r w:rsidRPr="00D03B93">
        <w:rPr>
          <w:rFonts w:hint="cs"/>
          <w:rtl/>
        </w:rPr>
        <w:t>2022</w:t>
      </w:r>
      <w:r w:rsidRPr="00D03B93">
        <w:t xml:space="preserve">: Summary of the most Important Violations in Palestine (unpublished data), </w:t>
      </w:r>
      <w:r w:rsidRPr="00D03B93">
        <w:rPr>
          <w:rFonts w:hint="cs"/>
          <w:rtl/>
        </w:rPr>
        <w:t>2021</w:t>
      </w:r>
      <w:r w:rsidRPr="00D03B93">
        <w:t>. Ramallah- Palestine.</w:t>
      </w:r>
    </w:p>
    <w:p w:rsidR="008204FB" w:rsidRPr="00D03B93" w:rsidRDefault="008204FB" w:rsidP="00FE777C">
      <w:pPr>
        <w:pStyle w:val="ListParagraph"/>
        <w:numPr>
          <w:ilvl w:val="0"/>
          <w:numId w:val="1"/>
        </w:numPr>
        <w:bidi w:val="0"/>
        <w:ind w:left="284" w:hanging="284"/>
        <w:jc w:val="both"/>
      </w:pPr>
      <w:r w:rsidRPr="00D03B93">
        <w:t xml:space="preserve">Abdullah </w:t>
      </w:r>
      <w:proofErr w:type="spellStart"/>
      <w:r w:rsidRPr="00D03B93">
        <w:t>Hourani</w:t>
      </w:r>
      <w:proofErr w:type="spellEnd"/>
      <w:r w:rsidRPr="00D03B93">
        <w:t xml:space="preserve"> Center for Studies and Documentation, the Harvest of the Israeli Violations for the year 2021. Ramallah 2022.</w:t>
      </w:r>
    </w:p>
    <w:p w:rsidR="008204FB" w:rsidRPr="00D03B93" w:rsidRDefault="008204FB" w:rsidP="009C6CC3">
      <w:pPr>
        <w:pStyle w:val="ListParagraph"/>
        <w:numPr>
          <w:ilvl w:val="0"/>
          <w:numId w:val="1"/>
        </w:numPr>
        <w:bidi w:val="0"/>
        <w:ind w:left="284" w:hanging="284"/>
        <w:jc w:val="both"/>
      </w:pPr>
      <w:r w:rsidRPr="00D03B93">
        <w:t xml:space="preserve">Palestinian Central Bureau of Statistics, 2022. Revised </w:t>
      </w:r>
      <w:r w:rsidR="009C6CC3" w:rsidRPr="00D03B93">
        <w:t xml:space="preserve">Estimates </w:t>
      </w:r>
      <w:r w:rsidRPr="00D03B93">
        <w:t xml:space="preserve">based on the </w:t>
      </w:r>
      <w:r w:rsidR="009C6CC3" w:rsidRPr="00D03B93">
        <w:t xml:space="preserve">Final Results </w:t>
      </w:r>
      <w:r w:rsidRPr="00D03B93">
        <w:t>of Population, Housing and Establishments Census</w:t>
      </w:r>
      <w:r w:rsidR="00246AFE" w:rsidRPr="00D03B93">
        <w:t>,</w:t>
      </w:r>
      <w:r w:rsidRPr="00D03B93">
        <w:t xml:space="preserve"> 2017. Ramallah-Palestine.</w:t>
      </w:r>
    </w:p>
    <w:p w:rsidR="00092968" w:rsidRPr="00D03B93" w:rsidRDefault="00092968" w:rsidP="00FE777C">
      <w:pPr>
        <w:pStyle w:val="ListParagraph"/>
        <w:numPr>
          <w:ilvl w:val="0"/>
          <w:numId w:val="1"/>
        </w:numPr>
        <w:bidi w:val="0"/>
        <w:ind w:left="284" w:hanging="284"/>
        <w:jc w:val="both"/>
        <w:rPr>
          <w:rFonts w:asciiTheme="majorBidi" w:hAnsiTheme="majorBidi" w:cstheme="majorBidi"/>
        </w:rPr>
      </w:pPr>
      <w:r w:rsidRPr="00D03B93">
        <w:rPr>
          <w:rFonts w:asciiTheme="majorBidi" w:hAnsiTheme="majorBidi" w:cstheme="majorBidi"/>
        </w:rPr>
        <w:t xml:space="preserve">Israel Central Bureau of Statistics, Statistical Abstract of Israel. Jerusalem, </w:t>
      </w:r>
      <w:r w:rsidR="008204FB" w:rsidRPr="00D03B93">
        <w:rPr>
          <w:rFonts w:asciiTheme="majorBidi" w:hAnsiTheme="majorBidi" w:cstheme="majorBidi"/>
        </w:rPr>
        <w:t>2021</w:t>
      </w:r>
      <w:r w:rsidRPr="00D03B93">
        <w:rPr>
          <w:rFonts w:asciiTheme="majorBidi" w:hAnsiTheme="majorBidi" w:cstheme="majorBidi"/>
        </w:rPr>
        <w:t>.</w:t>
      </w:r>
    </w:p>
    <w:p w:rsidR="008204FB" w:rsidRPr="00D03B93" w:rsidRDefault="008204FB" w:rsidP="00FE777C">
      <w:pPr>
        <w:pStyle w:val="ListParagraph"/>
        <w:numPr>
          <w:ilvl w:val="0"/>
          <w:numId w:val="1"/>
        </w:numPr>
        <w:bidi w:val="0"/>
        <w:ind w:left="284" w:hanging="284"/>
        <w:jc w:val="both"/>
      </w:pPr>
      <w:r w:rsidRPr="00D03B93">
        <w:t>The Commission of Detainees Affairs, 2021.</w:t>
      </w:r>
    </w:p>
    <w:p w:rsidR="0047211E" w:rsidRPr="00D03B93" w:rsidRDefault="0047211E" w:rsidP="00246AFE">
      <w:pPr>
        <w:pStyle w:val="ListParagraph"/>
        <w:numPr>
          <w:ilvl w:val="0"/>
          <w:numId w:val="1"/>
        </w:numPr>
        <w:bidi w:val="0"/>
        <w:ind w:left="284" w:hanging="284"/>
        <w:jc w:val="both"/>
      </w:pPr>
      <w:r w:rsidRPr="00D03B93">
        <w:t>The Applied Research Institute – Jerusalem /Society</w:t>
      </w:r>
      <w:r w:rsidR="00246AFE" w:rsidRPr="00D03B93">
        <w:t xml:space="preserve"> </w:t>
      </w:r>
      <w:r w:rsidRPr="00D03B93">
        <w:t xml:space="preserve">(ARIJ), </w:t>
      </w:r>
      <w:r w:rsidR="00E46689" w:rsidRPr="00D03B93">
        <w:t>2021</w:t>
      </w:r>
      <w:r w:rsidRPr="00D03B93">
        <w:t>.</w:t>
      </w:r>
    </w:p>
    <w:p w:rsidR="0047211E" w:rsidRPr="00D03B93" w:rsidRDefault="0047211E" w:rsidP="00FE777C">
      <w:pPr>
        <w:pStyle w:val="ListParagraph"/>
        <w:numPr>
          <w:ilvl w:val="0"/>
          <w:numId w:val="1"/>
        </w:numPr>
        <w:bidi w:val="0"/>
        <w:ind w:left="284" w:hanging="284"/>
        <w:jc w:val="both"/>
      </w:pPr>
      <w:r w:rsidRPr="00D03B93">
        <w:t xml:space="preserve">Peace Now Organization, </w:t>
      </w:r>
      <w:r w:rsidR="008204FB" w:rsidRPr="00D03B93">
        <w:t>2021</w:t>
      </w:r>
      <w:r w:rsidRPr="00D03B93">
        <w:t>.</w:t>
      </w:r>
    </w:p>
    <w:p w:rsidR="0047211E" w:rsidRPr="00D03B93" w:rsidRDefault="0047211E" w:rsidP="00FE777C">
      <w:pPr>
        <w:pStyle w:val="ListParagraph"/>
        <w:numPr>
          <w:ilvl w:val="0"/>
          <w:numId w:val="1"/>
        </w:numPr>
        <w:bidi w:val="0"/>
        <w:ind w:left="284" w:hanging="284"/>
        <w:jc w:val="both"/>
      </w:pPr>
      <w:r w:rsidRPr="00D03B93">
        <w:t xml:space="preserve">Human Rights Watch. </w:t>
      </w:r>
      <w:r w:rsidR="00E46689" w:rsidRPr="00D03B93">
        <w:t>2021</w:t>
      </w:r>
      <w:r w:rsidRPr="00D03B93">
        <w:t>.</w:t>
      </w:r>
    </w:p>
    <w:p w:rsidR="0047211E" w:rsidRPr="00D03B93" w:rsidRDefault="0047211E" w:rsidP="00FE777C">
      <w:pPr>
        <w:pStyle w:val="ListParagraph"/>
        <w:numPr>
          <w:ilvl w:val="0"/>
          <w:numId w:val="1"/>
        </w:numPr>
        <w:tabs>
          <w:tab w:val="left" w:pos="284"/>
          <w:tab w:val="left" w:pos="426"/>
        </w:tabs>
        <w:bidi w:val="0"/>
        <w:ind w:left="284" w:hanging="284"/>
        <w:jc w:val="both"/>
      </w:pPr>
      <w:r w:rsidRPr="00D03B93">
        <w:t xml:space="preserve">UN Office for the Coordination of the Humanitarian Affairs in the </w:t>
      </w:r>
      <w:r w:rsidR="00BB5BA1" w:rsidRPr="00D03B93">
        <w:t xml:space="preserve">Occupied </w:t>
      </w:r>
      <w:r w:rsidRPr="00D03B93">
        <w:t xml:space="preserve">Territories (OCHA), </w:t>
      </w:r>
      <w:r w:rsidR="00E46689" w:rsidRPr="00D03B93">
        <w:t>2021</w:t>
      </w:r>
      <w:r w:rsidRPr="00D03B93">
        <w:t xml:space="preserve">.  </w:t>
      </w:r>
    </w:p>
    <w:p w:rsidR="004A0073" w:rsidRPr="00671DA6" w:rsidRDefault="004A0073" w:rsidP="00FE777C">
      <w:pPr>
        <w:pStyle w:val="ListParagraph"/>
        <w:bidi w:val="0"/>
        <w:ind w:left="284"/>
        <w:rPr>
          <w:sz w:val="10"/>
          <w:szCs w:val="10"/>
          <w:rtl/>
        </w:rPr>
      </w:pPr>
    </w:p>
    <w:p w:rsidR="00F0610A" w:rsidRPr="00D03B93" w:rsidRDefault="00F0610A" w:rsidP="00FE777C">
      <w:pPr>
        <w:jc w:val="both"/>
        <w:rPr>
          <w:sz w:val="22"/>
          <w:szCs w:val="22"/>
        </w:rPr>
      </w:pPr>
      <w:r w:rsidRPr="00D03B93">
        <w:rPr>
          <w:b/>
          <w:bCs/>
          <w:sz w:val="22"/>
          <w:szCs w:val="22"/>
        </w:rPr>
        <w:t>For more information, please contact</w:t>
      </w:r>
      <w:r w:rsidRPr="00D03B93">
        <w:rPr>
          <w:sz w:val="22"/>
          <w:szCs w:val="22"/>
        </w:rPr>
        <w:t>:</w:t>
      </w:r>
    </w:p>
    <w:p w:rsidR="00F0610A" w:rsidRPr="00D03B93" w:rsidRDefault="00F0610A" w:rsidP="00FE777C">
      <w:pPr>
        <w:jc w:val="both"/>
        <w:rPr>
          <w:b/>
          <w:bCs/>
          <w:sz w:val="22"/>
          <w:szCs w:val="22"/>
        </w:rPr>
      </w:pPr>
      <w:r w:rsidRPr="00D03B93">
        <w:rPr>
          <w:b/>
          <w:bCs/>
          <w:sz w:val="22"/>
          <w:szCs w:val="22"/>
        </w:rPr>
        <w:t>The Palestinian Central Bureau of Statistics</w:t>
      </w:r>
    </w:p>
    <w:p w:rsidR="00F0610A" w:rsidRPr="00D03B93" w:rsidRDefault="00F0610A" w:rsidP="00FE777C">
      <w:pPr>
        <w:jc w:val="both"/>
        <w:rPr>
          <w:b/>
          <w:bCs/>
          <w:sz w:val="22"/>
          <w:szCs w:val="22"/>
        </w:rPr>
      </w:pPr>
      <w:r w:rsidRPr="00D03B93">
        <w:rPr>
          <w:b/>
          <w:bCs/>
          <w:sz w:val="22"/>
          <w:szCs w:val="22"/>
        </w:rPr>
        <w:t>P. O. Box 1647, Ramallah P6028179 – Palestine.</w:t>
      </w:r>
    </w:p>
    <w:p w:rsidR="00F0610A" w:rsidRPr="00D03B93" w:rsidRDefault="00F0610A" w:rsidP="00FE777C">
      <w:pPr>
        <w:jc w:val="both"/>
        <w:rPr>
          <w:b/>
          <w:bCs/>
          <w:sz w:val="22"/>
          <w:szCs w:val="22"/>
        </w:rPr>
      </w:pPr>
    </w:p>
    <w:p w:rsidR="00F0610A" w:rsidRPr="00D03B93" w:rsidRDefault="00F0610A" w:rsidP="00FE777C">
      <w:pPr>
        <w:jc w:val="both"/>
        <w:rPr>
          <w:sz w:val="22"/>
          <w:szCs w:val="22"/>
        </w:rPr>
      </w:pPr>
      <w:r w:rsidRPr="00D03B93">
        <w:rPr>
          <w:b/>
          <w:bCs/>
          <w:sz w:val="22"/>
          <w:szCs w:val="22"/>
        </w:rPr>
        <w:t>Tel.: (972/970) 2</w:t>
      </w:r>
      <w:r w:rsidRPr="00D03B93">
        <w:rPr>
          <w:sz w:val="22"/>
          <w:szCs w:val="22"/>
          <w:lang w:val="en-GB" w:eastAsia="en-GB"/>
        </w:rPr>
        <w:t xml:space="preserve"> 2982700</w:t>
      </w:r>
    </w:p>
    <w:p w:rsidR="00F0610A" w:rsidRPr="00D03B93" w:rsidRDefault="00F0610A" w:rsidP="00FE777C">
      <w:pPr>
        <w:jc w:val="both"/>
        <w:rPr>
          <w:sz w:val="22"/>
          <w:szCs w:val="22"/>
        </w:rPr>
      </w:pPr>
      <w:r w:rsidRPr="00D03B93">
        <w:rPr>
          <w:sz w:val="22"/>
          <w:szCs w:val="22"/>
        </w:rPr>
        <w:t>Fax: (972/970) 2 2982710</w:t>
      </w:r>
    </w:p>
    <w:p w:rsidR="00F0610A" w:rsidRPr="00D03B93" w:rsidRDefault="00F0610A" w:rsidP="00BF1153">
      <w:pPr>
        <w:jc w:val="both"/>
        <w:rPr>
          <w:sz w:val="22"/>
          <w:szCs w:val="22"/>
        </w:rPr>
      </w:pPr>
      <w:r w:rsidRPr="00D03B93">
        <w:rPr>
          <w:sz w:val="22"/>
          <w:szCs w:val="22"/>
        </w:rPr>
        <w:t xml:space="preserve">Toll Free: </w:t>
      </w:r>
      <w:r w:rsidRPr="00D03B93">
        <w:rPr>
          <w:sz w:val="22"/>
          <w:szCs w:val="22"/>
          <w:rtl/>
          <w:lang w:val="en-GB"/>
        </w:rPr>
        <w:t>1800300300</w:t>
      </w:r>
    </w:p>
    <w:p w:rsidR="00F0610A" w:rsidRPr="00D03B93" w:rsidRDefault="00F0610A" w:rsidP="00FE777C">
      <w:pPr>
        <w:jc w:val="both"/>
        <w:rPr>
          <w:sz w:val="22"/>
          <w:szCs w:val="22"/>
        </w:rPr>
      </w:pPr>
      <w:r w:rsidRPr="00D03B93">
        <w:rPr>
          <w:sz w:val="22"/>
          <w:szCs w:val="22"/>
          <w:lang w:eastAsia="fr-FR"/>
        </w:rPr>
        <w:t>Email: diwan@pcbs.gov.ps</w:t>
      </w:r>
    </w:p>
    <w:p w:rsidR="00F0610A" w:rsidRPr="00D03B93" w:rsidRDefault="00F0610A" w:rsidP="00671DA6">
      <w:pPr>
        <w:tabs>
          <w:tab w:val="left" w:pos="5070"/>
        </w:tabs>
        <w:jc w:val="left"/>
        <w:rPr>
          <w:rtl/>
        </w:rPr>
      </w:pPr>
      <w:r w:rsidRPr="00D03B93">
        <w:rPr>
          <w:sz w:val="22"/>
          <w:szCs w:val="22"/>
        </w:rPr>
        <w:t xml:space="preserve">Website: </w:t>
      </w:r>
      <w:hyperlink r:id="rId9" w:history="1">
        <w:r w:rsidRPr="00D03B93">
          <w:rPr>
            <w:rStyle w:val="Hyperlink"/>
            <w:color w:val="auto"/>
            <w:sz w:val="22"/>
            <w:szCs w:val="22"/>
          </w:rPr>
          <w:t>http://www.pcbs.gov.ps</w:t>
        </w:r>
      </w:hyperlink>
      <w:r w:rsidRPr="00D03B93">
        <w:rPr>
          <w:rtl/>
        </w:rPr>
        <w:tab/>
      </w:r>
      <w:r w:rsidRPr="00D03B93">
        <w:rPr>
          <w:b/>
          <w:bCs/>
          <w:rtl/>
        </w:rPr>
        <w:tab/>
      </w:r>
    </w:p>
    <w:sectPr w:rsidR="00F0610A" w:rsidRPr="00D03B93" w:rsidSect="00671DA6">
      <w:headerReference w:type="default" r:id="rId10"/>
      <w:footerReference w:type="even" r:id="rId11"/>
      <w:footerReference w:type="default" r:id="rId12"/>
      <w:pgSz w:w="11906" w:h="16838"/>
      <w:pgMar w:top="720" w:right="1134" w:bottom="720" w:left="1134" w:header="567" w:footer="56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6E5" w:rsidRDefault="004116E5" w:rsidP="00A8553F">
      <w:r>
        <w:separator/>
      </w:r>
    </w:p>
  </w:endnote>
  <w:endnote w:type="continuationSeparator" w:id="0">
    <w:p w:rsidR="004116E5" w:rsidRDefault="004116E5" w:rsidP="00A85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6C3" w:rsidRDefault="00D91EC7" w:rsidP="00A8553F">
    <w:pPr>
      <w:pStyle w:val="Footer"/>
      <w:rPr>
        <w:rStyle w:val="PageNumber"/>
        <w:rtl/>
      </w:rPr>
    </w:pPr>
    <w:r>
      <w:rPr>
        <w:rStyle w:val="PageNumber"/>
        <w:rtl/>
      </w:rPr>
      <w:fldChar w:fldCharType="begin"/>
    </w:r>
    <w:r w:rsidR="00A136C3">
      <w:rPr>
        <w:rStyle w:val="PageNumber"/>
      </w:rPr>
      <w:instrText xml:space="preserve">PAGE  </w:instrText>
    </w:r>
    <w:r>
      <w:rPr>
        <w:rStyle w:val="PageNumber"/>
        <w:rtl/>
      </w:rPr>
      <w:fldChar w:fldCharType="end"/>
    </w:r>
  </w:p>
  <w:p w:rsidR="00A136C3" w:rsidRDefault="00A136C3" w:rsidP="00A8553F">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6C3" w:rsidRDefault="00D91EC7" w:rsidP="009813A3">
    <w:pPr>
      <w:pStyle w:val="Footer"/>
      <w:jc w:val="center"/>
      <w:rPr>
        <w:rStyle w:val="PageNumber"/>
        <w:rtl/>
      </w:rPr>
    </w:pPr>
    <w:r>
      <w:rPr>
        <w:rStyle w:val="PageNumber"/>
        <w:rtl/>
      </w:rPr>
      <w:fldChar w:fldCharType="begin"/>
    </w:r>
    <w:r w:rsidR="00A136C3">
      <w:rPr>
        <w:rStyle w:val="PageNumber"/>
      </w:rPr>
      <w:instrText xml:space="preserve">PAGE  </w:instrText>
    </w:r>
    <w:r>
      <w:rPr>
        <w:rStyle w:val="PageNumber"/>
        <w:rtl/>
      </w:rPr>
      <w:fldChar w:fldCharType="separate"/>
    </w:r>
    <w:r w:rsidR="00F562B7">
      <w:rPr>
        <w:rStyle w:val="PageNumber"/>
        <w:noProof/>
      </w:rPr>
      <w:t>5</w:t>
    </w:r>
    <w:r>
      <w:rPr>
        <w:rStyle w:val="PageNumber"/>
        <w:rtl/>
      </w:rPr>
      <w:fldChar w:fldCharType="end"/>
    </w:r>
  </w:p>
  <w:p w:rsidR="00A136C3" w:rsidRDefault="00A136C3" w:rsidP="00A8553F">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6E5" w:rsidRDefault="004116E5" w:rsidP="00A8553F">
      <w:r>
        <w:separator/>
      </w:r>
    </w:p>
  </w:footnote>
  <w:footnote w:type="continuationSeparator" w:id="0">
    <w:p w:rsidR="004116E5" w:rsidRDefault="004116E5" w:rsidP="00A8553F">
      <w:r>
        <w:continuationSeparator/>
      </w:r>
    </w:p>
  </w:footnote>
  <w:footnote w:id="1">
    <w:p w:rsidR="0020778D" w:rsidRPr="0053258F" w:rsidRDefault="0020778D" w:rsidP="00164E23">
      <w:pPr>
        <w:pStyle w:val="FootnoteText"/>
        <w:tabs>
          <w:tab w:val="left" w:pos="2910"/>
        </w:tabs>
        <w:bidi w:val="0"/>
      </w:pPr>
      <w:r w:rsidRPr="0053258F">
        <w:rPr>
          <w:rStyle w:val="FootnoteReference"/>
        </w:rPr>
        <w:footnoteRef/>
      </w:r>
      <w:r w:rsidRPr="0053258F">
        <w:t xml:space="preserve"> Several Sources</w:t>
      </w:r>
      <w:r w:rsidR="00164E23">
        <w:tab/>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073" w:rsidRPr="00AA1F52" w:rsidRDefault="004A0073">
    <w:pPr>
      <w:bidi/>
      <w:rPr>
        <w:rtl/>
      </w:rPr>
    </w:pPr>
  </w:p>
  <w:p w:rsidR="00A136C3" w:rsidRDefault="00A136C3" w:rsidP="004A0073">
    <w:pPr>
      <w:pStyle w:val="Header"/>
      <w:tabs>
        <w:tab w:val="clear" w:pos="4153"/>
        <w:tab w:val="clear" w:pos="8306"/>
        <w:tab w:val="left" w:pos="21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206D6"/>
    <w:multiLevelType w:val="hybridMultilevel"/>
    <w:tmpl w:val="DB2490DC"/>
    <w:lvl w:ilvl="0" w:tplc="C5723A06">
      <w:start w:val="1"/>
      <w:numFmt w:val="decimal"/>
      <w:lvlText w:val="%1."/>
      <w:lvlJc w:val="left"/>
      <w:pPr>
        <w:ind w:left="360" w:hanging="360"/>
      </w:pPr>
      <w:rPr>
        <w:rFonts w:asciiTheme="majorBidi" w:hAnsiTheme="majorBidi" w:cs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36E"/>
    <w:rsid w:val="00000113"/>
    <w:rsid w:val="00006E97"/>
    <w:rsid w:val="00010DE4"/>
    <w:rsid w:val="000140B9"/>
    <w:rsid w:val="000142E6"/>
    <w:rsid w:val="00015E27"/>
    <w:rsid w:val="00017EFA"/>
    <w:rsid w:val="00020860"/>
    <w:rsid w:val="00022415"/>
    <w:rsid w:val="0002263C"/>
    <w:rsid w:val="000242C8"/>
    <w:rsid w:val="00025AD9"/>
    <w:rsid w:val="00027934"/>
    <w:rsid w:val="000332E2"/>
    <w:rsid w:val="000337A5"/>
    <w:rsid w:val="00034965"/>
    <w:rsid w:val="00042D3E"/>
    <w:rsid w:val="0005217D"/>
    <w:rsid w:val="00052B86"/>
    <w:rsid w:val="000543EC"/>
    <w:rsid w:val="000555EE"/>
    <w:rsid w:val="00055C31"/>
    <w:rsid w:val="00055E06"/>
    <w:rsid w:val="00056713"/>
    <w:rsid w:val="000570FE"/>
    <w:rsid w:val="00057531"/>
    <w:rsid w:val="00062566"/>
    <w:rsid w:val="00062738"/>
    <w:rsid w:val="000637A8"/>
    <w:rsid w:val="00065713"/>
    <w:rsid w:val="000747AC"/>
    <w:rsid w:val="0007631B"/>
    <w:rsid w:val="00076A48"/>
    <w:rsid w:val="00081F17"/>
    <w:rsid w:val="000843B6"/>
    <w:rsid w:val="00087407"/>
    <w:rsid w:val="0008784A"/>
    <w:rsid w:val="00091E11"/>
    <w:rsid w:val="00092850"/>
    <w:rsid w:val="00092968"/>
    <w:rsid w:val="00093E74"/>
    <w:rsid w:val="00096E9B"/>
    <w:rsid w:val="000B419B"/>
    <w:rsid w:val="000B60D3"/>
    <w:rsid w:val="000C01D4"/>
    <w:rsid w:val="000C1CB1"/>
    <w:rsid w:val="000C4551"/>
    <w:rsid w:val="000C77CF"/>
    <w:rsid w:val="000D37D4"/>
    <w:rsid w:val="000D5F4F"/>
    <w:rsid w:val="000E008D"/>
    <w:rsid w:val="000E23E2"/>
    <w:rsid w:val="000E2B30"/>
    <w:rsid w:val="000E3C7F"/>
    <w:rsid w:val="000E3E04"/>
    <w:rsid w:val="000F233E"/>
    <w:rsid w:val="00116557"/>
    <w:rsid w:val="0012388D"/>
    <w:rsid w:val="00133607"/>
    <w:rsid w:val="00135C9C"/>
    <w:rsid w:val="001420DE"/>
    <w:rsid w:val="0014461D"/>
    <w:rsid w:val="001465B3"/>
    <w:rsid w:val="00151452"/>
    <w:rsid w:val="00154E06"/>
    <w:rsid w:val="00157FF2"/>
    <w:rsid w:val="00164E23"/>
    <w:rsid w:val="00165E73"/>
    <w:rsid w:val="00165E91"/>
    <w:rsid w:val="0016756A"/>
    <w:rsid w:val="00170B03"/>
    <w:rsid w:val="0017126A"/>
    <w:rsid w:val="001717C4"/>
    <w:rsid w:val="001727DA"/>
    <w:rsid w:val="00180AC1"/>
    <w:rsid w:val="00182C8A"/>
    <w:rsid w:val="00183BE4"/>
    <w:rsid w:val="001907D6"/>
    <w:rsid w:val="001915ED"/>
    <w:rsid w:val="001957FE"/>
    <w:rsid w:val="00195F30"/>
    <w:rsid w:val="00196D93"/>
    <w:rsid w:val="001A612D"/>
    <w:rsid w:val="001C00E4"/>
    <w:rsid w:val="001C2A86"/>
    <w:rsid w:val="001C3610"/>
    <w:rsid w:val="001C517C"/>
    <w:rsid w:val="001C6ECB"/>
    <w:rsid w:val="001D4C4F"/>
    <w:rsid w:val="001D5556"/>
    <w:rsid w:val="001E070B"/>
    <w:rsid w:val="001E179A"/>
    <w:rsid w:val="001E2F26"/>
    <w:rsid w:val="001E3DA4"/>
    <w:rsid w:val="001E4CA7"/>
    <w:rsid w:val="001F3056"/>
    <w:rsid w:val="001F58AA"/>
    <w:rsid w:val="001F74E0"/>
    <w:rsid w:val="00201DF9"/>
    <w:rsid w:val="00202E24"/>
    <w:rsid w:val="0020778D"/>
    <w:rsid w:val="00210BE0"/>
    <w:rsid w:val="00211914"/>
    <w:rsid w:val="00217F7A"/>
    <w:rsid w:val="00223250"/>
    <w:rsid w:val="00224758"/>
    <w:rsid w:val="0022767D"/>
    <w:rsid w:val="00231F2A"/>
    <w:rsid w:val="0023412C"/>
    <w:rsid w:val="00234FC5"/>
    <w:rsid w:val="00236493"/>
    <w:rsid w:val="002366BB"/>
    <w:rsid w:val="002374A9"/>
    <w:rsid w:val="00240933"/>
    <w:rsid w:val="00240D43"/>
    <w:rsid w:val="00244DBD"/>
    <w:rsid w:val="00246A8D"/>
    <w:rsid w:val="00246AFE"/>
    <w:rsid w:val="0024755D"/>
    <w:rsid w:val="00255703"/>
    <w:rsid w:val="002572C7"/>
    <w:rsid w:val="00262391"/>
    <w:rsid w:val="00273BF1"/>
    <w:rsid w:val="00276C59"/>
    <w:rsid w:val="00286500"/>
    <w:rsid w:val="00292AEC"/>
    <w:rsid w:val="00293F57"/>
    <w:rsid w:val="00294415"/>
    <w:rsid w:val="00295BBC"/>
    <w:rsid w:val="002A0F85"/>
    <w:rsid w:val="002A2F22"/>
    <w:rsid w:val="002A66B3"/>
    <w:rsid w:val="002A7B43"/>
    <w:rsid w:val="002B335C"/>
    <w:rsid w:val="002B3624"/>
    <w:rsid w:val="002C08C2"/>
    <w:rsid w:val="002C12F3"/>
    <w:rsid w:val="002C3B71"/>
    <w:rsid w:val="002C598E"/>
    <w:rsid w:val="002C7488"/>
    <w:rsid w:val="002D1098"/>
    <w:rsid w:val="002D22E2"/>
    <w:rsid w:val="002F4480"/>
    <w:rsid w:val="002F7319"/>
    <w:rsid w:val="00303E3D"/>
    <w:rsid w:val="00306DEC"/>
    <w:rsid w:val="00313240"/>
    <w:rsid w:val="00320CB5"/>
    <w:rsid w:val="00324239"/>
    <w:rsid w:val="00334530"/>
    <w:rsid w:val="00342724"/>
    <w:rsid w:val="00343A87"/>
    <w:rsid w:val="00344208"/>
    <w:rsid w:val="00353C61"/>
    <w:rsid w:val="00355631"/>
    <w:rsid w:val="00355E2F"/>
    <w:rsid w:val="00357D0B"/>
    <w:rsid w:val="00360251"/>
    <w:rsid w:val="00361DD4"/>
    <w:rsid w:val="00362FD8"/>
    <w:rsid w:val="003655F9"/>
    <w:rsid w:val="00366480"/>
    <w:rsid w:val="00367FCA"/>
    <w:rsid w:val="00371BCB"/>
    <w:rsid w:val="003725B7"/>
    <w:rsid w:val="00372D20"/>
    <w:rsid w:val="00374847"/>
    <w:rsid w:val="00387342"/>
    <w:rsid w:val="003902D2"/>
    <w:rsid w:val="00392661"/>
    <w:rsid w:val="00395952"/>
    <w:rsid w:val="00397EF8"/>
    <w:rsid w:val="003A2D24"/>
    <w:rsid w:val="003A3E0A"/>
    <w:rsid w:val="003A6FBC"/>
    <w:rsid w:val="003C3663"/>
    <w:rsid w:val="003C5CE6"/>
    <w:rsid w:val="003C776B"/>
    <w:rsid w:val="003D33BF"/>
    <w:rsid w:val="003D420A"/>
    <w:rsid w:val="003E336F"/>
    <w:rsid w:val="003E6054"/>
    <w:rsid w:val="00406849"/>
    <w:rsid w:val="004116E5"/>
    <w:rsid w:val="004205AA"/>
    <w:rsid w:val="00422C70"/>
    <w:rsid w:val="00426CE4"/>
    <w:rsid w:val="00427D61"/>
    <w:rsid w:val="004413B0"/>
    <w:rsid w:val="00442C6E"/>
    <w:rsid w:val="004437B5"/>
    <w:rsid w:val="004446FE"/>
    <w:rsid w:val="00446468"/>
    <w:rsid w:val="00447C11"/>
    <w:rsid w:val="0045595D"/>
    <w:rsid w:val="00457032"/>
    <w:rsid w:val="00460F9C"/>
    <w:rsid w:val="004625FA"/>
    <w:rsid w:val="00464DA3"/>
    <w:rsid w:val="004704A7"/>
    <w:rsid w:val="0047092C"/>
    <w:rsid w:val="00471318"/>
    <w:rsid w:val="0047211E"/>
    <w:rsid w:val="00473ACB"/>
    <w:rsid w:val="00477FE0"/>
    <w:rsid w:val="004804AD"/>
    <w:rsid w:val="00482185"/>
    <w:rsid w:val="004851B8"/>
    <w:rsid w:val="004924F9"/>
    <w:rsid w:val="00492F1F"/>
    <w:rsid w:val="00497781"/>
    <w:rsid w:val="004A0073"/>
    <w:rsid w:val="004A1917"/>
    <w:rsid w:val="004A5B68"/>
    <w:rsid w:val="004A70AC"/>
    <w:rsid w:val="004B1617"/>
    <w:rsid w:val="004B2B72"/>
    <w:rsid w:val="004B3AA6"/>
    <w:rsid w:val="004C3E9E"/>
    <w:rsid w:val="004C7176"/>
    <w:rsid w:val="004D190C"/>
    <w:rsid w:val="004D3475"/>
    <w:rsid w:val="004D7D1D"/>
    <w:rsid w:val="004E1B0A"/>
    <w:rsid w:val="004E43AF"/>
    <w:rsid w:val="004E4EA1"/>
    <w:rsid w:val="004E7159"/>
    <w:rsid w:val="004F2F6E"/>
    <w:rsid w:val="004F4149"/>
    <w:rsid w:val="004F430A"/>
    <w:rsid w:val="004F45D2"/>
    <w:rsid w:val="005018E3"/>
    <w:rsid w:val="005033CE"/>
    <w:rsid w:val="005101AB"/>
    <w:rsid w:val="005102A2"/>
    <w:rsid w:val="005124A1"/>
    <w:rsid w:val="00513808"/>
    <w:rsid w:val="00513BF2"/>
    <w:rsid w:val="005161C0"/>
    <w:rsid w:val="00522248"/>
    <w:rsid w:val="005234EA"/>
    <w:rsid w:val="005261CC"/>
    <w:rsid w:val="00527F5C"/>
    <w:rsid w:val="00531202"/>
    <w:rsid w:val="00535A32"/>
    <w:rsid w:val="00541A0A"/>
    <w:rsid w:val="00543156"/>
    <w:rsid w:val="00545240"/>
    <w:rsid w:val="0054677D"/>
    <w:rsid w:val="00547BAD"/>
    <w:rsid w:val="0055428C"/>
    <w:rsid w:val="005552B0"/>
    <w:rsid w:val="0055724C"/>
    <w:rsid w:val="0056061B"/>
    <w:rsid w:val="005668A1"/>
    <w:rsid w:val="00573B46"/>
    <w:rsid w:val="00576F3C"/>
    <w:rsid w:val="00577375"/>
    <w:rsid w:val="0058215A"/>
    <w:rsid w:val="005832AD"/>
    <w:rsid w:val="00585F2F"/>
    <w:rsid w:val="005874A2"/>
    <w:rsid w:val="00593E2D"/>
    <w:rsid w:val="005A173E"/>
    <w:rsid w:val="005A1E37"/>
    <w:rsid w:val="005B2AB4"/>
    <w:rsid w:val="005B3986"/>
    <w:rsid w:val="005B3FF6"/>
    <w:rsid w:val="005B4CA9"/>
    <w:rsid w:val="005C327B"/>
    <w:rsid w:val="005C46A8"/>
    <w:rsid w:val="005D0B8B"/>
    <w:rsid w:val="005D0C3F"/>
    <w:rsid w:val="005E11E1"/>
    <w:rsid w:val="005E7F4C"/>
    <w:rsid w:val="005F27F4"/>
    <w:rsid w:val="005F3ADE"/>
    <w:rsid w:val="005F5908"/>
    <w:rsid w:val="005F6108"/>
    <w:rsid w:val="006010E9"/>
    <w:rsid w:val="00605DC2"/>
    <w:rsid w:val="00606261"/>
    <w:rsid w:val="0061726B"/>
    <w:rsid w:val="00620318"/>
    <w:rsid w:val="00624810"/>
    <w:rsid w:val="00634007"/>
    <w:rsid w:val="006365D8"/>
    <w:rsid w:val="00636863"/>
    <w:rsid w:val="00643106"/>
    <w:rsid w:val="00645BD2"/>
    <w:rsid w:val="00651679"/>
    <w:rsid w:val="0065656C"/>
    <w:rsid w:val="0065673C"/>
    <w:rsid w:val="00662DAA"/>
    <w:rsid w:val="00664AEB"/>
    <w:rsid w:val="00665DCC"/>
    <w:rsid w:val="00666B5B"/>
    <w:rsid w:val="00671DA6"/>
    <w:rsid w:val="00673650"/>
    <w:rsid w:val="00673A21"/>
    <w:rsid w:val="00675000"/>
    <w:rsid w:val="00677612"/>
    <w:rsid w:val="00680FCC"/>
    <w:rsid w:val="00682AA8"/>
    <w:rsid w:val="00687A5E"/>
    <w:rsid w:val="00690169"/>
    <w:rsid w:val="006931C4"/>
    <w:rsid w:val="00694CB8"/>
    <w:rsid w:val="00695D62"/>
    <w:rsid w:val="006A06E8"/>
    <w:rsid w:val="006A2645"/>
    <w:rsid w:val="006B2171"/>
    <w:rsid w:val="006B3A6B"/>
    <w:rsid w:val="006B4286"/>
    <w:rsid w:val="006B69DD"/>
    <w:rsid w:val="006B7D14"/>
    <w:rsid w:val="006C5484"/>
    <w:rsid w:val="006C5B58"/>
    <w:rsid w:val="006C6C37"/>
    <w:rsid w:val="006D4DD9"/>
    <w:rsid w:val="006D728B"/>
    <w:rsid w:val="006E0224"/>
    <w:rsid w:val="006E3170"/>
    <w:rsid w:val="006E51CF"/>
    <w:rsid w:val="006E553F"/>
    <w:rsid w:val="006E58CA"/>
    <w:rsid w:val="006E6963"/>
    <w:rsid w:val="006F1403"/>
    <w:rsid w:val="006F7707"/>
    <w:rsid w:val="007049D0"/>
    <w:rsid w:val="00706B88"/>
    <w:rsid w:val="00707342"/>
    <w:rsid w:val="0071039E"/>
    <w:rsid w:val="007148C8"/>
    <w:rsid w:val="00715890"/>
    <w:rsid w:val="0072293F"/>
    <w:rsid w:val="00723A8E"/>
    <w:rsid w:val="00734F7C"/>
    <w:rsid w:val="00735703"/>
    <w:rsid w:val="00736AD9"/>
    <w:rsid w:val="007415DE"/>
    <w:rsid w:val="00744131"/>
    <w:rsid w:val="00744C39"/>
    <w:rsid w:val="00746899"/>
    <w:rsid w:val="007702E6"/>
    <w:rsid w:val="00773607"/>
    <w:rsid w:val="00775A80"/>
    <w:rsid w:val="00783F00"/>
    <w:rsid w:val="00785EF5"/>
    <w:rsid w:val="007908C1"/>
    <w:rsid w:val="00793379"/>
    <w:rsid w:val="00794529"/>
    <w:rsid w:val="007A549D"/>
    <w:rsid w:val="007B1687"/>
    <w:rsid w:val="007B4157"/>
    <w:rsid w:val="007B6839"/>
    <w:rsid w:val="007C2141"/>
    <w:rsid w:val="007C51E0"/>
    <w:rsid w:val="007C6151"/>
    <w:rsid w:val="007D3380"/>
    <w:rsid w:val="007E000E"/>
    <w:rsid w:val="007E2810"/>
    <w:rsid w:val="007E423A"/>
    <w:rsid w:val="007E4898"/>
    <w:rsid w:val="007E65B4"/>
    <w:rsid w:val="007E6866"/>
    <w:rsid w:val="007F2F2F"/>
    <w:rsid w:val="007F5224"/>
    <w:rsid w:val="007F525B"/>
    <w:rsid w:val="007F7C15"/>
    <w:rsid w:val="007F7FAA"/>
    <w:rsid w:val="00802E2D"/>
    <w:rsid w:val="00810737"/>
    <w:rsid w:val="0081398B"/>
    <w:rsid w:val="008157B7"/>
    <w:rsid w:val="00817516"/>
    <w:rsid w:val="008204FB"/>
    <w:rsid w:val="008235EC"/>
    <w:rsid w:val="00827E79"/>
    <w:rsid w:val="0083033F"/>
    <w:rsid w:val="008515B2"/>
    <w:rsid w:val="00851612"/>
    <w:rsid w:val="008615E1"/>
    <w:rsid w:val="00867950"/>
    <w:rsid w:val="00870900"/>
    <w:rsid w:val="0087228A"/>
    <w:rsid w:val="00875117"/>
    <w:rsid w:val="00876D64"/>
    <w:rsid w:val="00876E07"/>
    <w:rsid w:val="0088077D"/>
    <w:rsid w:val="0088176B"/>
    <w:rsid w:val="0089041A"/>
    <w:rsid w:val="00891B87"/>
    <w:rsid w:val="00894DC4"/>
    <w:rsid w:val="00894E75"/>
    <w:rsid w:val="008A64BA"/>
    <w:rsid w:val="008B1E30"/>
    <w:rsid w:val="008B302D"/>
    <w:rsid w:val="008B3F27"/>
    <w:rsid w:val="008C06F1"/>
    <w:rsid w:val="008C3E93"/>
    <w:rsid w:val="008C7D72"/>
    <w:rsid w:val="008D07DF"/>
    <w:rsid w:val="008D089E"/>
    <w:rsid w:val="008D264C"/>
    <w:rsid w:val="008E0485"/>
    <w:rsid w:val="008E32E0"/>
    <w:rsid w:val="008E4927"/>
    <w:rsid w:val="008E5450"/>
    <w:rsid w:val="00903262"/>
    <w:rsid w:val="009037F0"/>
    <w:rsid w:val="00903EB9"/>
    <w:rsid w:val="009053DA"/>
    <w:rsid w:val="00907FE4"/>
    <w:rsid w:val="00913614"/>
    <w:rsid w:val="00916E93"/>
    <w:rsid w:val="00917984"/>
    <w:rsid w:val="009206BA"/>
    <w:rsid w:val="00920D59"/>
    <w:rsid w:val="00922951"/>
    <w:rsid w:val="00930A72"/>
    <w:rsid w:val="009344EE"/>
    <w:rsid w:val="00937C62"/>
    <w:rsid w:val="00943CF9"/>
    <w:rsid w:val="0094462E"/>
    <w:rsid w:val="009520D3"/>
    <w:rsid w:val="00952927"/>
    <w:rsid w:val="009541F5"/>
    <w:rsid w:val="00973AFD"/>
    <w:rsid w:val="009754EB"/>
    <w:rsid w:val="00975813"/>
    <w:rsid w:val="009813A3"/>
    <w:rsid w:val="00983245"/>
    <w:rsid w:val="00986DC5"/>
    <w:rsid w:val="00987ED8"/>
    <w:rsid w:val="009900A2"/>
    <w:rsid w:val="009A4880"/>
    <w:rsid w:val="009A6C31"/>
    <w:rsid w:val="009B08D6"/>
    <w:rsid w:val="009B113E"/>
    <w:rsid w:val="009B1AB2"/>
    <w:rsid w:val="009B6C77"/>
    <w:rsid w:val="009C1FC1"/>
    <w:rsid w:val="009C2434"/>
    <w:rsid w:val="009C380B"/>
    <w:rsid w:val="009C602F"/>
    <w:rsid w:val="009C6CC3"/>
    <w:rsid w:val="009D0539"/>
    <w:rsid w:val="009D1C8E"/>
    <w:rsid w:val="009D32F9"/>
    <w:rsid w:val="009D44A9"/>
    <w:rsid w:val="009D5749"/>
    <w:rsid w:val="009E0404"/>
    <w:rsid w:val="009F01C8"/>
    <w:rsid w:val="009F0B97"/>
    <w:rsid w:val="009F2034"/>
    <w:rsid w:val="009F73D4"/>
    <w:rsid w:val="009F7FD1"/>
    <w:rsid w:val="00A105D6"/>
    <w:rsid w:val="00A111DA"/>
    <w:rsid w:val="00A113D8"/>
    <w:rsid w:val="00A12F15"/>
    <w:rsid w:val="00A136C3"/>
    <w:rsid w:val="00A15F43"/>
    <w:rsid w:val="00A16E22"/>
    <w:rsid w:val="00A22846"/>
    <w:rsid w:val="00A23003"/>
    <w:rsid w:val="00A33EE5"/>
    <w:rsid w:val="00A34428"/>
    <w:rsid w:val="00A40AB1"/>
    <w:rsid w:val="00A4415F"/>
    <w:rsid w:val="00A46E76"/>
    <w:rsid w:val="00A51028"/>
    <w:rsid w:val="00A51571"/>
    <w:rsid w:val="00A55B36"/>
    <w:rsid w:val="00A57D3B"/>
    <w:rsid w:val="00A63B9B"/>
    <w:rsid w:val="00A64F51"/>
    <w:rsid w:val="00A65311"/>
    <w:rsid w:val="00A70E42"/>
    <w:rsid w:val="00A73822"/>
    <w:rsid w:val="00A73BC8"/>
    <w:rsid w:val="00A77A78"/>
    <w:rsid w:val="00A8094B"/>
    <w:rsid w:val="00A8553F"/>
    <w:rsid w:val="00A87189"/>
    <w:rsid w:val="00A877EA"/>
    <w:rsid w:val="00A902A0"/>
    <w:rsid w:val="00A9117C"/>
    <w:rsid w:val="00A92F0E"/>
    <w:rsid w:val="00A932EF"/>
    <w:rsid w:val="00A94980"/>
    <w:rsid w:val="00A9689E"/>
    <w:rsid w:val="00A97A1E"/>
    <w:rsid w:val="00AA1F52"/>
    <w:rsid w:val="00AA4069"/>
    <w:rsid w:val="00AA5421"/>
    <w:rsid w:val="00AB288C"/>
    <w:rsid w:val="00AB3340"/>
    <w:rsid w:val="00AB3C8C"/>
    <w:rsid w:val="00AB4934"/>
    <w:rsid w:val="00AC011D"/>
    <w:rsid w:val="00AC1D33"/>
    <w:rsid w:val="00AC25B8"/>
    <w:rsid w:val="00AD4F21"/>
    <w:rsid w:val="00AE15CD"/>
    <w:rsid w:val="00AE1CCC"/>
    <w:rsid w:val="00AE3D92"/>
    <w:rsid w:val="00AE417B"/>
    <w:rsid w:val="00AE4737"/>
    <w:rsid w:val="00AF0368"/>
    <w:rsid w:val="00B05FF8"/>
    <w:rsid w:val="00B10B11"/>
    <w:rsid w:val="00B16C3B"/>
    <w:rsid w:val="00B175EB"/>
    <w:rsid w:val="00B1768C"/>
    <w:rsid w:val="00B22185"/>
    <w:rsid w:val="00B22BDA"/>
    <w:rsid w:val="00B24D65"/>
    <w:rsid w:val="00B26168"/>
    <w:rsid w:val="00B27D8B"/>
    <w:rsid w:val="00B3116F"/>
    <w:rsid w:val="00B313B3"/>
    <w:rsid w:val="00B31925"/>
    <w:rsid w:val="00B32CFD"/>
    <w:rsid w:val="00B36982"/>
    <w:rsid w:val="00B37D19"/>
    <w:rsid w:val="00B40A2B"/>
    <w:rsid w:val="00B42B5C"/>
    <w:rsid w:val="00B53D36"/>
    <w:rsid w:val="00B54CAE"/>
    <w:rsid w:val="00B738D1"/>
    <w:rsid w:val="00B7528E"/>
    <w:rsid w:val="00B753F8"/>
    <w:rsid w:val="00B75F88"/>
    <w:rsid w:val="00B80133"/>
    <w:rsid w:val="00B81BF5"/>
    <w:rsid w:val="00B86FBC"/>
    <w:rsid w:val="00B87BBC"/>
    <w:rsid w:val="00B93953"/>
    <w:rsid w:val="00B97CAB"/>
    <w:rsid w:val="00BA05B9"/>
    <w:rsid w:val="00BA4806"/>
    <w:rsid w:val="00BA5015"/>
    <w:rsid w:val="00BA5F2A"/>
    <w:rsid w:val="00BB0C54"/>
    <w:rsid w:val="00BB5BA1"/>
    <w:rsid w:val="00BB697B"/>
    <w:rsid w:val="00BC1310"/>
    <w:rsid w:val="00BC3996"/>
    <w:rsid w:val="00BC5E0C"/>
    <w:rsid w:val="00BD0EEE"/>
    <w:rsid w:val="00BD10B5"/>
    <w:rsid w:val="00BD10E6"/>
    <w:rsid w:val="00BD186B"/>
    <w:rsid w:val="00BD3488"/>
    <w:rsid w:val="00BD3646"/>
    <w:rsid w:val="00BD406F"/>
    <w:rsid w:val="00BE13C5"/>
    <w:rsid w:val="00BE1F04"/>
    <w:rsid w:val="00BE3C91"/>
    <w:rsid w:val="00BF1153"/>
    <w:rsid w:val="00BF2A11"/>
    <w:rsid w:val="00BF6BF8"/>
    <w:rsid w:val="00BF7440"/>
    <w:rsid w:val="00BF7FB5"/>
    <w:rsid w:val="00C00AB2"/>
    <w:rsid w:val="00C02E08"/>
    <w:rsid w:val="00C0451A"/>
    <w:rsid w:val="00C05A35"/>
    <w:rsid w:val="00C106C7"/>
    <w:rsid w:val="00C10D4A"/>
    <w:rsid w:val="00C15514"/>
    <w:rsid w:val="00C21933"/>
    <w:rsid w:val="00C22CD7"/>
    <w:rsid w:val="00C23662"/>
    <w:rsid w:val="00C26507"/>
    <w:rsid w:val="00C26508"/>
    <w:rsid w:val="00C31B12"/>
    <w:rsid w:val="00C32415"/>
    <w:rsid w:val="00C32A61"/>
    <w:rsid w:val="00C356F3"/>
    <w:rsid w:val="00C3574A"/>
    <w:rsid w:val="00C35DDA"/>
    <w:rsid w:val="00C425AD"/>
    <w:rsid w:val="00C437ED"/>
    <w:rsid w:val="00C517E4"/>
    <w:rsid w:val="00C55D30"/>
    <w:rsid w:val="00C61114"/>
    <w:rsid w:val="00C666AD"/>
    <w:rsid w:val="00C67780"/>
    <w:rsid w:val="00C71DA7"/>
    <w:rsid w:val="00C80030"/>
    <w:rsid w:val="00C80750"/>
    <w:rsid w:val="00C809C3"/>
    <w:rsid w:val="00C81275"/>
    <w:rsid w:val="00C834F5"/>
    <w:rsid w:val="00C84D2B"/>
    <w:rsid w:val="00C85CD7"/>
    <w:rsid w:val="00C865BE"/>
    <w:rsid w:val="00C867E1"/>
    <w:rsid w:val="00C90FC4"/>
    <w:rsid w:val="00CA1E02"/>
    <w:rsid w:val="00CA26C3"/>
    <w:rsid w:val="00CA425C"/>
    <w:rsid w:val="00CA5106"/>
    <w:rsid w:val="00CA5C29"/>
    <w:rsid w:val="00CB1265"/>
    <w:rsid w:val="00CB1332"/>
    <w:rsid w:val="00CB7B50"/>
    <w:rsid w:val="00CB7D48"/>
    <w:rsid w:val="00CC143A"/>
    <w:rsid w:val="00CC27D9"/>
    <w:rsid w:val="00CC4B5F"/>
    <w:rsid w:val="00CD511E"/>
    <w:rsid w:val="00CE215F"/>
    <w:rsid w:val="00CF0CF2"/>
    <w:rsid w:val="00CF1564"/>
    <w:rsid w:val="00CF785F"/>
    <w:rsid w:val="00D003F2"/>
    <w:rsid w:val="00D03588"/>
    <w:rsid w:val="00D039A5"/>
    <w:rsid w:val="00D03B93"/>
    <w:rsid w:val="00D06A88"/>
    <w:rsid w:val="00D07779"/>
    <w:rsid w:val="00D10CFA"/>
    <w:rsid w:val="00D10EF0"/>
    <w:rsid w:val="00D15E0D"/>
    <w:rsid w:val="00D16331"/>
    <w:rsid w:val="00D179E7"/>
    <w:rsid w:val="00D23641"/>
    <w:rsid w:val="00D341A2"/>
    <w:rsid w:val="00D34AD7"/>
    <w:rsid w:val="00D37058"/>
    <w:rsid w:val="00D372D2"/>
    <w:rsid w:val="00D37F6C"/>
    <w:rsid w:val="00D47846"/>
    <w:rsid w:val="00D51DDC"/>
    <w:rsid w:val="00D535A5"/>
    <w:rsid w:val="00D5594A"/>
    <w:rsid w:val="00D55AA7"/>
    <w:rsid w:val="00D60EB7"/>
    <w:rsid w:val="00D62D65"/>
    <w:rsid w:val="00D6475B"/>
    <w:rsid w:val="00D672FA"/>
    <w:rsid w:val="00D673B9"/>
    <w:rsid w:val="00D70651"/>
    <w:rsid w:val="00D7275F"/>
    <w:rsid w:val="00D73DA1"/>
    <w:rsid w:val="00D75AF4"/>
    <w:rsid w:val="00D77881"/>
    <w:rsid w:val="00D77D3B"/>
    <w:rsid w:val="00D823CE"/>
    <w:rsid w:val="00D87A18"/>
    <w:rsid w:val="00D87B10"/>
    <w:rsid w:val="00D91EC7"/>
    <w:rsid w:val="00D956A3"/>
    <w:rsid w:val="00DA0088"/>
    <w:rsid w:val="00DA18C2"/>
    <w:rsid w:val="00DB6B85"/>
    <w:rsid w:val="00DC0D6D"/>
    <w:rsid w:val="00DC47C5"/>
    <w:rsid w:val="00DC7C9D"/>
    <w:rsid w:val="00DD0B0D"/>
    <w:rsid w:val="00DD4D04"/>
    <w:rsid w:val="00DD69A7"/>
    <w:rsid w:val="00DE1B49"/>
    <w:rsid w:val="00DF02C6"/>
    <w:rsid w:val="00DF3AFF"/>
    <w:rsid w:val="00DF3D86"/>
    <w:rsid w:val="00DF42BC"/>
    <w:rsid w:val="00E03348"/>
    <w:rsid w:val="00E062BC"/>
    <w:rsid w:val="00E15948"/>
    <w:rsid w:val="00E271CC"/>
    <w:rsid w:val="00E27584"/>
    <w:rsid w:val="00E27B80"/>
    <w:rsid w:val="00E36682"/>
    <w:rsid w:val="00E36CC7"/>
    <w:rsid w:val="00E46689"/>
    <w:rsid w:val="00E47C1E"/>
    <w:rsid w:val="00E53F55"/>
    <w:rsid w:val="00E5411B"/>
    <w:rsid w:val="00E566F0"/>
    <w:rsid w:val="00E62E20"/>
    <w:rsid w:val="00E64DC5"/>
    <w:rsid w:val="00E666A4"/>
    <w:rsid w:val="00E677DD"/>
    <w:rsid w:val="00E701C9"/>
    <w:rsid w:val="00E73A6F"/>
    <w:rsid w:val="00E86D25"/>
    <w:rsid w:val="00E9049A"/>
    <w:rsid w:val="00E920BD"/>
    <w:rsid w:val="00E9227C"/>
    <w:rsid w:val="00E9232D"/>
    <w:rsid w:val="00E942C0"/>
    <w:rsid w:val="00E957C9"/>
    <w:rsid w:val="00EA0E99"/>
    <w:rsid w:val="00EA1323"/>
    <w:rsid w:val="00EA6984"/>
    <w:rsid w:val="00EB2424"/>
    <w:rsid w:val="00EB291F"/>
    <w:rsid w:val="00EB6093"/>
    <w:rsid w:val="00EB649D"/>
    <w:rsid w:val="00EC154C"/>
    <w:rsid w:val="00ED2E9A"/>
    <w:rsid w:val="00ED2EC4"/>
    <w:rsid w:val="00ED344E"/>
    <w:rsid w:val="00ED7817"/>
    <w:rsid w:val="00EE222B"/>
    <w:rsid w:val="00EE2B36"/>
    <w:rsid w:val="00EE47FD"/>
    <w:rsid w:val="00EE5A6D"/>
    <w:rsid w:val="00EF0FCF"/>
    <w:rsid w:val="00EF1629"/>
    <w:rsid w:val="00EF19FB"/>
    <w:rsid w:val="00EF5391"/>
    <w:rsid w:val="00EF5735"/>
    <w:rsid w:val="00EF70B2"/>
    <w:rsid w:val="00EF78C5"/>
    <w:rsid w:val="00EF7D61"/>
    <w:rsid w:val="00F02450"/>
    <w:rsid w:val="00F0378C"/>
    <w:rsid w:val="00F0610A"/>
    <w:rsid w:val="00F10BE4"/>
    <w:rsid w:val="00F207BD"/>
    <w:rsid w:val="00F30958"/>
    <w:rsid w:val="00F30F86"/>
    <w:rsid w:val="00F3143F"/>
    <w:rsid w:val="00F31AA6"/>
    <w:rsid w:val="00F32A87"/>
    <w:rsid w:val="00F33F73"/>
    <w:rsid w:val="00F3573B"/>
    <w:rsid w:val="00F36199"/>
    <w:rsid w:val="00F47F4C"/>
    <w:rsid w:val="00F50738"/>
    <w:rsid w:val="00F562B7"/>
    <w:rsid w:val="00F5779B"/>
    <w:rsid w:val="00F60A13"/>
    <w:rsid w:val="00F61347"/>
    <w:rsid w:val="00F6493D"/>
    <w:rsid w:val="00F64D38"/>
    <w:rsid w:val="00F715C2"/>
    <w:rsid w:val="00F72D65"/>
    <w:rsid w:val="00F74B73"/>
    <w:rsid w:val="00F7772C"/>
    <w:rsid w:val="00F85A1D"/>
    <w:rsid w:val="00F8615F"/>
    <w:rsid w:val="00F909E6"/>
    <w:rsid w:val="00F923A9"/>
    <w:rsid w:val="00F93F38"/>
    <w:rsid w:val="00FA113E"/>
    <w:rsid w:val="00FA1A38"/>
    <w:rsid w:val="00FA51EE"/>
    <w:rsid w:val="00FA6153"/>
    <w:rsid w:val="00FA6C0A"/>
    <w:rsid w:val="00FB2FA6"/>
    <w:rsid w:val="00FB5A15"/>
    <w:rsid w:val="00FC240B"/>
    <w:rsid w:val="00FC34FF"/>
    <w:rsid w:val="00FC4BCD"/>
    <w:rsid w:val="00FC54A3"/>
    <w:rsid w:val="00FC5B36"/>
    <w:rsid w:val="00FD0BBB"/>
    <w:rsid w:val="00FE4510"/>
    <w:rsid w:val="00FE4611"/>
    <w:rsid w:val="00FE48A2"/>
    <w:rsid w:val="00FE4A2F"/>
    <w:rsid w:val="00FE777C"/>
    <w:rsid w:val="00FF16D1"/>
    <w:rsid w:val="00FF336E"/>
    <w:rsid w:val="00FF3A0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B8639"/>
  <w15:docId w15:val="{6C1754FF-63DA-401A-8E8A-65F42B47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53F"/>
    <w:pPr>
      <w:jc w:val="lowKashida"/>
    </w:pPr>
    <w:rPr>
      <w:rFonts w:ascii="Times New Roman" w:hAnsi="Times New Roman" w:cs="Times New Roman"/>
      <w:sz w:val="24"/>
      <w:szCs w:val="24"/>
    </w:rPr>
  </w:style>
  <w:style w:type="paragraph" w:styleId="Heading1">
    <w:name w:val="heading 1"/>
    <w:basedOn w:val="Normal"/>
    <w:next w:val="Normal"/>
    <w:qFormat/>
    <w:rsid w:val="00D77881"/>
    <w:pPr>
      <w:keepNext/>
      <w:autoSpaceDE w:val="0"/>
      <w:autoSpaceDN w:val="0"/>
      <w:adjustRightInd w:val="0"/>
      <w:jc w:val="left"/>
      <w:outlineLvl w:val="0"/>
    </w:pPr>
    <w:rPr>
      <w:b/>
      <w:bCs/>
      <w:sz w:val="26"/>
      <w:szCs w:val="26"/>
    </w:rPr>
  </w:style>
  <w:style w:type="paragraph" w:styleId="Heading2">
    <w:name w:val="heading 2"/>
    <w:basedOn w:val="Normal"/>
    <w:next w:val="Normal"/>
    <w:qFormat/>
    <w:rsid w:val="00D77881"/>
    <w:pPr>
      <w:keepNext/>
      <w:autoSpaceDE w:val="0"/>
      <w:autoSpaceDN w:val="0"/>
      <w:adjustRightInd w:val="0"/>
      <w:jc w:val="left"/>
      <w:outlineLvl w:val="1"/>
    </w:pPr>
    <w:rPr>
      <w:rFonts w:eastAsia="Times New Roman"/>
      <w:b/>
      <w:bCs/>
    </w:rPr>
  </w:style>
  <w:style w:type="paragraph" w:styleId="Heading3">
    <w:name w:val="heading 3"/>
    <w:basedOn w:val="Normal"/>
    <w:next w:val="Normal"/>
    <w:qFormat/>
    <w:rsid w:val="00D77881"/>
    <w:pPr>
      <w:keepNext/>
      <w:autoSpaceDE w:val="0"/>
      <w:autoSpaceDN w:val="0"/>
      <w:adjustRightInd w:val="0"/>
      <w:jc w:val="both"/>
      <w:outlineLvl w:val="2"/>
    </w:pPr>
    <w:rPr>
      <w:b/>
      <w:bCs/>
    </w:rPr>
  </w:style>
  <w:style w:type="paragraph" w:styleId="Heading4">
    <w:name w:val="heading 4"/>
    <w:basedOn w:val="Normal"/>
    <w:next w:val="Normal"/>
    <w:qFormat/>
    <w:rsid w:val="00D77881"/>
    <w:pPr>
      <w:keepNext/>
      <w:jc w:val="center"/>
      <w:outlineLvl w:val="3"/>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D77881"/>
    <w:pPr>
      <w:jc w:val="left"/>
    </w:pPr>
    <w:rPr>
      <w:rFonts w:ascii="Tahoma" w:hAnsi="Tahoma" w:cs="Tahoma"/>
      <w:sz w:val="16"/>
      <w:szCs w:val="16"/>
    </w:rPr>
  </w:style>
  <w:style w:type="character" w:customStyle="1" w:styleId="BalloonTextChar">
    <w:name w:val="Balloon Text Char"/>
    <w:basedOn w:val="DefaultParagraphFont"/>
    <w:semiHidden/>
    <w:rsid w:val="00D77881"/>
    <w:rPr>
      <w:rFonts w:ascii="Tahoma" w:hAnsi="Tahoma" w:cs="Tahoma"/>
      <w:sz w:val="16"/>
      <w:szCs w:val="16"/>
    </w:rPr>
  </w:style>
  <w:style w:type="character" w:customStyle="1" w:styleId="longtext1">
    <w:name w:val="long_text1"/>
    <w:basedOn w:val="DefaultParagraphFont"/>
    <w:rsid w:val="00D77881"/>
    <w:rPr>
      <w:sz w:val="20"/>
      <w:szCs w:val="20"/>
    </w:rPr>
  </w:style>
  <w:style w:type="character" w:customStyle="1" w:styleId="mediumtext1">
    <w:name w:val="medium_text1"/>
    <w:basedOn w:val="DefaultParagraphFont"/>
    <w:rsid w:val="00D77881"/>
    <w:rPr>
      <w:sz w:val="24"/>
      <w:szCs w:val="24"/>
    </w:rPr>
  </w:style>
  <w:style w:type="character" w:customStyle="1" w:styleId="shorttext1">
    <w:name w:val="short_text1"/>
    <w:basedOn w:val="DefaultParagraphFont"/>
    <w:rsid w:val="00D77881"/>
    <w:rPr>
      <w:sz w:val="29"/>
      <w:szCs w:val="29"/>
    </w:rPr>
  </w:style>
  <w:style w:type="paragraph" w:styleId="Header">
    <w:name w:val="header"/>
    <w:basedOn w:val="Normal"/>
    <w:unhideWhenUsed/>
    <w:rsid w:val="00D77881"/>
    <w:pPr>
      <w:tabs>
        <w:tab w:val="center" w:pos="4153"/>
        <w:tab w:val="right" w:pos="8306"/>
      </w:tabs>
      <w:jc w:val="left"/>
    </w:pPr>
  </w:style>
  <w:style w:type="character" w:customStyle="1" w:styleId="HeaderChar">
    <w:name w:val="Header Char"/>
    <w:basedOn w:val="DefaultParagraphFont"/>
    <w:rsid w:val="00D77881"/>
    <w:rPr>
      <w:sz w:val="22"/>
      <w:szCs w:val="22"/>
    </w:rPr>
  </w:style>
  <w:style w:type="paragraph" w:styleId="Footer">
    <w:name w:val="footer"/>
    <w:basedOn w:val="Normal"/>
    <w:unhideWhenUsed/>
    <w:rsid w:val="00D77881"/>
    <w:pPr>
      <w:tabs>
        <w:tab w:val="center" w:pos="4153"/>
        <w:tab w:val="right" w:pos="8306"/>
      </w:tabs>
      <w:jc w:val="left"/>
    </w:pPr>
  </w:style>
  <w:style w:type="character" w:customStyle="1" w:styleId="FooterChar">
    <w:name w:val="Footer Char"/>
    <w:basedOn w:val="DefaultParagraphFont"/>
    <w:semiHidden/>
    <w:rsid w:val="00D77881"/>
    <w:rPr>
      <w:sz w:val="22"/>
      <w:szCs w:val="22"/>
    </w:rPr>
  </w:style>
  <w:style w:type="paragraph" w:styleId="BodyText">
    <w:name w:val="Body Text"/>
    <w:basedOn w:val="Normal"/>
    <w:link w:val="BodyTextChar"/>
    <w:semiHidden/>
    <w:rsid w:val="00D77881"/>
    <w:pPr>
      <w:jc w:val="both"/>
    </w:pPr>
  </w:style>
  <w:style w:type="paragraph" w:styleId="BodyText2">
    <w:name w:val="Body Text 2"/>
    <w:basedOn w:val="Normal"/>
    <w:semiHidden/>
    <w:rsid w:val="00D77881"/>
  </w:style>
  <w:style w:type="paragraph" w:styleId="BodyText3">
    <w:name w:val="Body Text 3"/>
    <w:basedOn w:val="Normal"/>
    <w:semiHidden/>
    <w:rsid w:val="00D77881"/>
    <w:pPr>
      <w:autoSpaceDE w:val="0"/>
      <w:autoSpaceDN w:val="0"/>
      <w:adjustRightInd w:val="0"/>
      <w:jc w:val="left"/>
    </w:pPr>
    <w:rPr>
      <w:rFonts w:eastAsia="Times New Roman"/>
      <w:sz w:val="20"/>
      <w:szCs w:val="20"/>
    </w:rPr>
  </w:style>
  <w:style w:type="character" w:styleId="PageNumber">
    <w:name w:val="page number"/>
    <w:basedOn w:val="DefaultParagraphFont"/>
    <w:semiHidden/>
    <w:rsid w:val="00D77881"/>
  </w:style>
  <w:style w:type="paragraph" w:styleId="BodyTextIndent">
    <w:name w:val="Body Text Indent"/>
    <w:basedOn w:val="Normal"/>
    <w:link w:val="BodyTextIndentChar"/>
    <w:uiPriority w:val="99"/>
    <w:unhideWhenUsed/>
    <w:rsid w:val="00C67780"/>
    <w:pPr>
      <w:spacing w:after="120"/>
      <w:ind w:left="283"/>
    </w:pPr>
  </w:style>
  <w:style w:type="character" w:customStyle="1" w:styleId="BodyTextIndentChar">
    <w:name w:val="Body Text Indent Char"/>
    <w:basedOn w:val="DefaultParagraphFont"/>
    <w:link w:val="BodyTextIndent"/>
    <w:uiPriority w:val="99"/>
    <w:rsid w:val="00C67780"/>
    <w:rPr>
      <w:sz w:val="22"/>
      <w:szCs w:val="22"/>
    </w:rPr>
  </w:style>
  <w:style w:type="character" w:customStyle="1" w:styleId="hps">
    <w:name w:val="hps"/>
    <w:basedOn w:val="DefaultParagraphFont"/>
    <w:rsid w:val="00B22185"/>
  </w:style>
  <w:style w:type="character" w:customStyle="1" w:styleId="BodyTextChar">
    <w:name w:val="Body Text Char"/>
    <w:basedOn w:val="DefaultParagraphFont"/>
    <w:link w:val="BodyText"/>
    <w:semiHidden/>
    <w:rsid w:val="00CC4B5F"/>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975813"/>
    <w:pPr>
      <w:spacing w:after="120" w:line="480" w:lineRule="auto"/>
      <w:ind w:left="283"/>
    </w:pPr>
  </w:style>
  <w:style w:type="character" w:customStyle="1" w:styleId="BodyTextIndent2Char">
    <w:name w:val="Body Text Indent 2 Char"/>
    <w:basedOn w:val="DefaultParagraphFont"/>
    <w:link w:val="BodyTextIndent2"/>
    <w:uiPriority w:val="99"/>
    <w:semiHidden/>
    <w:rsid w:val="00975813"/>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66480"/>
    <w:rPr>
      <w:sz w:val="16"/>
      <w:szCs w:val="16"/>
    </w:rPr>
  </w:style>
  <w:style w:type="paragraph" w:styleId="CommentText">
    <w:name w:val="annotation text"/>
    <w:basedOn w:val="Normal"/>
    <w:link w:val="CommentTextChar"/>
    <w:uiPriority w:val="99"/>
    <w:semiHidden/>
    <w:unhideWhenUsed/>
    <w:rsid w:val="00366480"/>
    <w:rPr>
      <w:sz w:val="20"/>
      <w:szCs w:val="20"/>
    </w:rPr>
  </w:style>
  <w:style w:type="character" w:customStyle="1" w:styleId="CommentTextChar">
    <w:name w:val="Comment Text Char"/>
    <w:basedOn w:val="DefaultParagraphFont"/>
    <w:link w:val="CommentText"/>
    <w:uiPriority w:val="99"/>
    <w:semiHidden/>
    <w:rsid w:val="00366480"/>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366480"/>
    <w:rPr>
      <w:b/>
      <w:bCs/>
    </w:rPr>
  </w:style>
  <w:style w:type="character" w:customStyle="1" w:styleId="CommentSubjectChar">
    <w:name w:val="Comment Subject Char"/>
    <w:basedOn w:val="CommentTextChar"/>
    <w:link w:val="CommentSubject"/>
    <w:uiPriority w:val="99"/>
    <w:semiHidden/>
    <w:rsid w:val="00366480"/>
    <w:rPr>
      <w:rFonts w:ascii="Times New Roman" w:hAnsi="Times New Roman" w:cs="Times New Roman"/>
      <w:b/>
      <w:bCs/>
    </w:rPr>
  </w:style>
  <w:style w:type="character" w:customStyle="1" w:styleId="shorttext">
    <w:name w:val="short_text"/>
    <w:basedOn w:val="DefaultParagraphFont"/>
    <w:rsid w:val="005832AD"/>
  </w:style>
  <w:style w:type="table" w:styleId="TableGrid">
    <w:name w:val="Table Grid"/>
    <w:basedOn w:val="TableNormal"/>
    <w:uiPriority w:val="59"/>
    <w:rsid w:val="005832A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E7F4C"/>
    <w:pPr>
      <w:spacing w:before="100" w:beforeAutospacing="1" w:after="100" w:afterAutospacing="1"/>
      <w:jc w:val="left"/>
    </w:pPr>
    <w:rPr>
      <w:rFonts w:ascii="Arial Unicode MS" w:eastAsia="Arial Unicode MS" w:hAnsi="Arial Unicode MS" w:cs="Arial Unicode MS"/>
      <w:lang w:eastAsia="ar-SA"/>
    </w:rPr>
  </w:style>
  <w:style w:type="paragraph" w:styleId="ListParagraph">
    <w:name w:val="List Paragraph"/>
    <w:basedOn w:val="Normal"/>
    <w:uiPriority w:val="34"/>
    <w:qFormat/>
    <w:rsid w:val="001E179A"/>
    <w:pPr>
      <w:bidi/>
      <w:ind w:left="720"/>
      <w:contextualSpacing/>
      <w:jc w:val="left"/>
    </w:pPr>
    <w:rPr>
      <w:rFonts w:eastAsia="Times New Roman"/>
      <w:lang w:eastAsia="ar-SA"/>
    </w:rPr>
  </w:style>
  <w:style w:type="paragraph" w:styleId="NoSpacing">
    <w:name w:val="No Spacing"/>
    <w:basedOn w:val="Normal"/>
    <w:uiPriority w:val="1"/>
    <w:qFormat/>
    <w:rsid w:val="00062566"/>
    <w:pPr>
      <w:bidi/>
      <w:jc w:val="left"/>
    </w:pPr>
    <w:rPr>
      <w:rFonts w:ascii="Calibri" w:eastAsiaTheme="minorHAnsi" w:hAnsi="Calibri"/>
      <w:sz w:val="22"/>
      <w:szCs w:val="22"/>
    </w:rPr>
  </w:style>
  <w:style w:type="paragraph" w:styleId="HTMLPreformatted">
    <w:name w:val="HTML Preformatted"/>
    <w:basedOn w:val="Normal"/>
    <w:link w:val="HTMLPreformattedChar"/>
    <w:uiPriority w:val="99"/>
    <w:semiHidden/>
    <w:unhideWhenUsed/>
    <w:rsid w:val="009A4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A4880"/>
    <w:rPr>
      <w:rFonts w:ascii="Courier New" w:eastAsia="Times New Roman" w:hAnsi="Courier New" w:cs="Courier New"/>
    </w:rPr>
  </w:style>
  <w:style w:type="paragraph" w:styleId="Title">
    <w:name w:val="Title"/>
    <w:basedOn w:val="Normal"/>
    <w:link w:val="TitleChar"/>
    <w:qFormat/>
    <w:rsid w:val="00BC5E0C"/>
    <w:pPr>
      <w:bidi/>
      <w:jc w:val="center"/>
    </w:pPr>
    <w:rPr>
      <w:rFonts w:eastAsia="Times New Roman" w:cs="Simplified Arabic"/>
      <w:b/>
      <w:bCs/>
      <w:color w:val="000000"/>
      <w:lang w:eastAsia="ar-SA"/>
    </w:rPr>
  </w:style>
  <w:style w:type="character" w:customStyle="1" w:styleId="TitleChar">
    <w:name w:val="Title Char"/>
    <w:basedOn w:val="DefaultParagraphFont"/>
    <w:link w:val="Title"/>
    <w:rsid w:val="00BC5E0C"/>
    <w:rPr>
      <w:rFonts w:ascii="Times New Roman" w:eastAsia="Times New Roman" w:hAnsi="Times New Roman" w:cs="Simplified Arabic"/>
      <w:b/>
      <w:bCs/>
      <w:color w:val="000000"/>
      <w:sz w:val="24"/>
      <w:szCs w:val="24"/>
      <w:lang w:eastAsia="ar-SA"/>
    </w:rPr>
  </w:style>
  <w:style w:type="paragraph" w:styleId="FootnoteText">
    <w:name w:val="footnote text"/>
    <w:basedOn w:val="Normal"/>
    <w:link w:val="FootnoteTextChar"/>
    <w:uiPriority w:val="99"/>
    <w:unhideWhenUsed/>
    <w:rsid w:val="00AA5421"/>
    <w:pPr>
      <w:bidi/>
      <w:jc w:val="left"/>
    </w:pPr>
    <w:rPr>
      <w:rFonts w:eastAsia="Times New Roman"/>
      <w:sz w:val="20"/>
      <w:szCs w:val="20"/>
      <w:lang w:eastAsia="ar-SA"/>
    </w:rPr>
  </w:style>
  <w:style w:type="character" w:customStyle="1" w:styleId="FootnoteTextChar">
    <w:name w:val="Footnote Text Char"/>
    <w:basedOn w:val="DefaultParagraphFont"/>
    <w:link w:val="FootnoteText"/>
    <w:uiPriority w:val="99"/>
    <w:rsid w:val="00AA5421"/>
    <w:rPr>
      <w:rFonts w:ascii="Times New Roman" w:eastAsia="Times New Roman" w:hAnsi="Times New Roman" w:cs="Times New Roman"/>
      <w:lang w:eastAsia="ar-SA"/>
    </w:rPr>
  </w:style>
  <w:style w:type="character" w:styleId="FootnoteReference">
    <w:name w:val="footnote reference"/>
    <w:basedOn w:val="DefaultParagraphFont"/>
    <w:uiPriority w:val="99"/>
    <w:unhideWhenUsed/>
    <w:rsid w:val="00AA5421"/>
    <w:rPr>
      <w:vertAlign w:val="superscript"/>
    </w:rPr>
  </w:style>
  <w:style w:type="character" w:styleId="Hyperlink">
    <w:name w:val="Hyperlink"/>
    <w:rsid w:val="00B97CAB"/>
    <w:rPr>
      <w:strike w:val="0"/>
      <w:dstrike w:val="0"/>
      <w:color w:val="000080"/>
      <w:sz w:val="21"/>
      <w:szCs w:val="21"/>
      <w:u w:val="none"/>
      <w:effect w:val="none"/>
    </w:rPr>
  </w:style>
  <w:style w:type="character" w:styleId="Emphasis">
    <w:name w:val="Emphasis"/>
    <w:basedOn w:val="DefaultParagraphFont"/>
    <w:uiPriority w:val="20"/>
    <w:qFormat/>
    <w:rsid w:val="008807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2165">
      <w:bodyDiv w:val="1"/>
      <w:marLeft w:val="0"/>
      <w:marRight w:val="0"/>
      <w:marTop w:val="0"/>
      <w:marBottom w:val="0"/>
      <w:divBdr>
        <w:top w:val="none" w:sz="0" w:space="0" w:color="auto"/>
        <w:left w:val="none" w:sz="0" w:space="0" w:color="auto"/>
        <w:bottom w:val="none" w:sz="0" w:space="0" w:color="auto"/>
        <w:right w:val="none" w:sz="0" w:space="0" w:color="auto"/>
      </w:divBdr>
    </w:div>
    <w:div w:id="96098309">
      <w:bodyDiv w:val="1"/>
      <w:marLeft w:val="0"/>
      <w:marRight w:val="0"/>
      <w:marTop w:val="0"/>
      <w:marBottom w:val="0"/>
      <w:divBdr>
        <w:top w:val="none" w:sz="0" w:space="0" w:color="auto"/>
        <w:left w:val="none" w:sz="0" w:space="0" w:color="auto"/>
        <w:bottom w:val="none" w:sz="0" w:space="0" w:color="auto"/>
        <w:right w:val="none" w:sz="0" w:space="0" w:color="auto"/>
      </w:divBdr>
    </w:div>
    <w:div w:id="338235115">
      <w:bodyDiv w:val="1"/>
      <w:marLeft w:val="0"/>
      <w:marRight w:val="0"/>
      <w:marTop w:val="0"/>
      <w:marBottom w:val="0"/>
      <w:divBdr>
        <w:top w:val="none" w:sz="0" w:space="0" w:color="auto"/>
        <w:left w:val="none" w:sz="0" w:space="0" w:color="auto"/>
        <w:bottom w:val="none" w:sz="0" w:space="0" w:color="auto"/>
        <w:right w:val="none" w:sz="0" w:space="0" w:color="auto"/>
      </w:divBdr>
      <w:divsChild>
        <w:div w:id="2069376320">
          <w:marLeft w:val="0"/>
          <w:marRight w:val="0"/>
          <w:marTop w:val="0"/>
          <w:marBottom w:val="0"/>
          <w:divBdr>
            <w:top w:val="none" w:sz="0" w:space="0" w:color="auto"/>
            <w:left w:val="none" w:sz="0" w:space="0" w:color="auto"/>
            <w:bottom w:val="none" w:sz="0" w:space="0" w:color="auto"/>
            <w:right w:val="none" w:sz="0" w:space="0" w:color="auto"/>
          </w:divBdr>
          <w:divsChild>
            <w:div w:id="447432368">
              <w:marLeft w:val="0"/>
              <w:marRight w:val="0"/>
              <w:marTop w:val="0"/>
              <w:marBottom w:val="0"/>
              <w:divBdr>
                <w:top w:val="none" w:sz="0" w:space="0" w:color="auto"/>
                <w:left w:val="none" w:sz="0" w:space="0" w:color="auto"/>
                <w:bottom w:val="none" w:sz="0" w:space="0" w:color="auto"/>
                <w:right w:val="none" w:sz="0" w:space="0" w:color="auto"/>
              </w:divBdr>
              <w:divsChild>
                <w:div w:id="204222208">
                  <w:marLeft w:val="0"/>
                  <w:marRight w:val="0"/>
                  <w:marTop w:val="0"/>
                  <w:marBottom w:val="0"/>
                  <w:divBdr>
                    <w:top w:val="none" w:sz="0" w:space="0" w:color="auto"/>
                    <w:left w:val="none" w:sz="0" w:space="0" w:color="auto"/>
                    <w:bottom w:val="none" w:sz="0" w:space="0" w:color="auto"/>
                    <w:right w:val="none" w:sz="0" w:space="0" w:color="auto"/>
                  </w:divBdr>
                  <w:divsChild>
                    <w:div w:id="1087966186">
                      <w:marLeft w:val="0"/>
                      <w:marRight w:val="0"/>
                      <w:marTop w:val="0"/>
                      <w:marBottom w:val="0"/>
                      <w:divBdr>
                        <w:top w:val="none" w:sz="0" w:space="0" w:color="auto"/>
                        <w:left w:val="none" w:sz="0" w:space="0" w:color="auto"/>
                        <w:bottom w:val="none" w:sz="0" w:space="0" w:color="auto"/>
                        <w:right w:val="none" w:sz="0" w:space="0" w:color="auto"/>
                      </w:divBdr>
                      <w:divsChild>
                        <w:div w:id="131749382">
                          <w:marLeft w:val="0"/>
                          <w:marRight w:val="0"/>
                          <w:marTop w:val="0"/>
                          <w:marBottom w:val="0"/>
                          <w:divBdr>
                            <w:top w:val="none" w:sz="0" w:space="0" w:color="auto"/>
                            <w:left w:val="none" w:sz="0" w:space="0" w:color="auto"/>
                            <w:bottom w:val="none" w:sz="0" w:space="0" w:color="auto"/>
                            <w:right w:val="none" w:sz="0" w:space="0" w:color="auto"/>
                          </w:divBdr>
                          <w:divsChild>
                            <w:div w:id="581987075">
                              <w:marLeft w:val="0"/>
                              <w:marRight w:val="0"/>
                              <w:marTop w:val="0"/>
                              <w:marBottom w:val="0"/>
                              <w:divBdr>
                                <w:top w:val="none" w:sz="0" w:space="0" w:color="auto"/>
                                <w:left w:val="none" w:sz="0" w:space="0" w:color="auto"/>
                                <w:bottom w:val="none" w:sz="0" w:space="0" w:color="auto"/>
                                <w:right w:val="none" w:sz="0" w:space="0" w:color="auto"/>
                              </w:divBdr>
                              <w:divsChild>
                                <w:div w:id="55589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685593">
      <w:bodyDiv w:val="1"/>
      <w:marLeft w:val="0"/>
      <w:marRight w:val="0"/>
      <w:marTop w:val="0"/>
      <w:marBottom w:val="0"/>
      <w:divBdr>
        <w:top w:val="none" w:sz="0" w:space="0" w:color="auto"/>
        <w:left w:val="none" w:sz="0" w:space="0" w:color="auto"/>
        <w:bottom w:val="none" w:sz="0" w:space="0" w:color="auto"/>
        <w:right w:val="none" w:sz="0" w:space="0" w:color="auto"/>
      </w:divBdr>
    </w:div>
    <w:div w:id="1014376561">
      <w:bodyDiv w:val="1"/>
      <w:marLeft w:val="0"/>
      <w:marRight w:val="0"/>
      <w:marTop w:val="0"/>
      <w:marBottom w:val="0"/>
      <w:divBdr>
        <w:top w:val="none" w:sz="0" w:space="0" w:color="auto"/>
        <w:left w:val="none" w:sz="0" w:space="0" w:color="auto"/>
        <w:bottom w:val="none" w:sz="0" w:space="0" w:color="auto"/>
        <w:right w:val="none" w:sz="0" w:space="0" w:color="auto"/>
      </w:divBdr>
    </w:div>
    <w:div w:id="1185093031">
      <w:bodyDiv w:val="1"/>
      <w:marLeft w:val="0"/>
      <w:marRight w:val="0"/>
      <w:marTop w:val="0"/>
      <w:marBottom w:val="0"/>
      <w:divBdr>
        <w:top w:val="none" w:sz="0" w:space="0" w:color="auto"/>
        <w:left w:val="none" w:sz="0" w:space="0" w:color="auto"/>
        <w:bottom w:val="none" w:sz="0" w:space="0" w:color="auto"/>
        <w:right w:val="none" w:sz="0" w:space="0" w:color="auto"/>
      </w:divBdr>
    </w:div>
    <w:div w:id="1221013071">
      <w:bodyDiv w:val="1"/>
      <w:marLeft w:val="0"/>
      <w:marRight w:val="0"/>
      <w:marTop w:val="0"/>
      <w:marBottom w:val="0"/>
      <w:divBdr>
        <w:top w:val="none" w:sz="0" w:space="0" w:color="auto"/>
        <w:left w:val="none" w:sz="0" w:space="0" w:color="auto"/>
        <w:bottom w:val="none" w:sz="0" w:space="0" w:color="auto"/>
        <w:right w:val="none" w:sz="0" w:space="0" w:color="auto"/>
      </w:divBdr>
    </w:div>
    <w:div w:id="1911964217">
      <w:bodyDiv w:val="1"/>
      <w:marLeft w:val="0"/>
      <w:marRight w:val="0"/>
      <w:marTop w:val="0"/>
      <w:marBottom w:val="0"/>
      <w:divBdr>
        <w:top w:val="none" w:sz="0" w:space="0" w:color="auto"/>
        <w:left w:val="none" w:sz="0" w:space="0" w:color="auto"/>
        <w:bottom w:val="none" w:sz="0" w:space="0" w:color="auto"/>
        <w:right w:val="none" w:sz="0" w:space="0" w:color="auto"/>
      </w:divBdr>
    </w:div>
    <w:div w:id="2039355744">
      <w:bodyDiv w:val="1"/>
      <w:marLeft w:val="0"/>
      <w:marRight w:val="0"/>
      <w:marTop w:val="0"/>
      <w:marBottom w:val="0"/>
      <w:divBdr>
        <w:top w:val="none" w:sz="0" w:space="0" w:color="auto"/>
        <w:left w:val="none" w:sz="0" w:space="0" w:color="auto"/>
        <w:bottom w:val="none" w:sz="0" w:space="0" w:color="auto"/>
        <w:right w:val="none" w:sz="0" w:space="0" w:color="auto"/>
      </w:divBdr>
      <w:divsChild>
        <w:div w:id="444345420">
          <w:marLeft w:val="0"/>
          <w:marRight w:val="0"/>
          <w:marTop w:val="0"/>
          <w:marBottom w:val="0"/>
          <w:divBdr>
            <w:top w:val="none" w:sz="0" w:space="0" w:color="auto"/>
            <w:left w:val="none" w:sz="0" w:space="0" w:color="auto"/>
            <w:bottom w:val="none" w:sz="0" w:space="0" w:color="auto"/>
            <w:right w:val="none" w:sz="0" w:space="0" w:color="auto"/>
          </w:divBdr>
          <w:divsChild>
            <w:div w:id="2117019715">
              <w:marLeft w:val="0"/>
              <w:marRight w:val="0"/>
              <w:marTop w:val="0"/>
              <w:marBottom w:val="0"/>
              <w:divBdr>
                <w:top w:val="none" w:sz="0" w:space="0" w:color="auto"/>
                <w:left w:val="none" w:sz="0" w:space="0" w:color="auto"/>
                <w:bottom w:val="none" w:sz="0" w:space="0" w:color="auto"/>
                <w:right w:val="none" w:sz="0" w:space="0" w:color="auto"/>
              </w:divBdr>
              <w:divsChild>
                <w:div w:id="334502794">
                  <w:marLeft w:val="0"/>
                  <w:marRight w:val="0"/>
                  <w:marTop w:val="0"/>
                  <w:marBottom w:val="0"/>
                  <w:divBdr>
                    <w:top w:val="none" w:sz="0" w:space="0" w:color="auto"/>
                    <w:left w:val="none" w:sz="0" w:space="0" w:color="auto"/>
                    <w:bottom w:val="none" w:sz="0" w:space="0" w:color="auto"/>
                    <w:right w:val="none" w:sz="0" w:space="0" w:color="auto"/>
                  </w:divBdr>
                  <w:divsChild>
                    <w:div w:id="750547876">
                      <w:marLeft w:val="0"/>
                      <w:marRight w:val="0"/>
                      <w:marTop w:val="0"/>
                      <w:marBottom w:val="0"/>
                      <w:divBdr>
                        <w:top w:val="none" w:sz="0" w:space="0" w:color="auto"/>
                        <w:left w:val="none" w:sz="0" w:space="0" w:color="auto"/>
                        <w:bottom w:val="none" w:sz="0" w:space="0" w:color="auto"/>
                        <w:right w:val="none" w:sz="0" w:space="0" w:color="auto"/>
                      </w:divBdr>
                      <w:divsChild>
                        <w:div w:id="1910656253">
                          <w:marLeft w:val="0"/>
                          <w:marRight w:val="0"/>
                          <w:marTop w:val="0"/>
                          <w:marBottom w:val="0"/>
                          <w:divBdr>
                            <w:top w:val="none" w:sz="0" w:space="0" w:color="auto"/>
                            <w:left w:val="none" w:sz="0" w:space="0" w:color="auto"/>
                            <w:bottom w:val="none" w:sz="0" w:space="0" w:color="auto"/>
                            <w:right w:val="none" w:sz="0" w:space="0" w:color="auto"/>
                          </w:divBdr>
                          <w:divsChild>
                            <w:div w:id="1785660479">
                              <w:marLeft w:val="0"/>
                              <w:marRight w:val="0"/>
                              <w:marTop w:val="0"/>
                              <w:marBottom w:val="0"/>
                              <w:divBdr>
                                <w:top w:val="none" w:sz="0" w:space="0" w:color="auto"/>
                                <w:left w:val="none" w:sz="0" w:space="0" w:color="auto"/>
                                <w:bottom w:val="none" w:sz="0" w:space="0" w:color="auto"/>
                                <w:right w:val="none" w:sz="0" w:space="0" w:color="auto"/>
                              </w:divBdr>
                              <w:divsChild>
                                <w:div w:id="1984846553">
                                  <w:marLeft w:val="0"/>
                                  <w:marRight w:val="0"/>
                                  <w:marTop w:val="0"/>
                                  <w:marBottom w:val="0"/>
                                  <w:divBdr>
                                    <w:top w:val="none" w:sz="0" w:space="0" w:color="auto"/>
                                    <w:left w:val="none" w:sz="0" w:space="0" w:color="auto"/>
                                    <w:bottom w:val="none" w:sz="0" w:space="0" w:color="auto"/>
                                    <w:right w:val="none" w:sz="0" w:space="0" w:color="auto"/>
                                  </w:divBdr>
                                  <w:divsChild>
                                    <w:div w:id="1601110569">
                                      <w:marLeft w:val="0"/>
                                      <w:marRight w:val="54"/>
                                      <w:marTop w:val="0"/>
                                      <w:marBottom w:val="0"/>
                                      <w:divBdr>
                                        <w:top w:val="none" w:sz="0" w:space="0" w:color="auto"/>
                                        <w:left w:val="none" w:sz="0" w:space="0" w:color="auto"/>
                                        <w:bottom w:val="none" w:sz="0" w:space="0" w:color="auto"/>
                                        <w:right w:val="none" w:sz="0" w:space="0" w:color="auto"/>
                                      </w:divBdr>
                                      <w:divsChild>
                                        <w:div w:id="922177497">
                                          <w:marLeft w:val="0"/>
                                          <w:marRight w:val="0"/>
                                          <w:marTop w:val="0"/>
                                          <w:marBottom w:val="0"/>
                                          <w:divBdr>
                                            <w:top w:val="none" w:sz="0" w:space="0" w:color="auto"/>
                                            <w:left w:val="none" w:sz="0" w:space="0" w:color="auto"/>
                                            <w:bottom w:val="none" w:sz="0" w:space="0" w:color="auto"/>
                                            <w:right w:val="none" w:sz="0" w:space="0" w:color="auto"/>
                                          </w:divBdr>
                                          <w:divsChild>
                                            <w:div w:id="1699893999">
                                              <w:marLeft w:val="0"/>
                                              <w:marRight w:val="0"/>
                                              <w:marTop w:val="0"/>
                                              <w:marBottom w:val="109"/>
                                              <w:divBdr>
                                                <w:top w:val="single" w:sz="6" w:space="0" w:color="F5F5F5"/>
                                                <w:left w:val="single" w:sz="6" w:space="0" w:color="F5F5F5"/>
                                                <w:bottom w:val="single" w:sz="6" w:space="0" w:color="F5F5F5"/>
                                                <w:right w:val="single" w:sz="6" w:space="0" w:color="F5F5F5"/>
                                              </w:divBdr>
                                              <w:divsChild>
                                                <w:div w:id="2041739909">
                                                  <w:marLeft w:val="0"/>
                                                  <w:marRight w:val="0"/>
                                                  <w:marTop w:val="0"/>
                                                  <w:marBottom w:val="0"/>
                                                  <w:divBdr>
                                                    <w:top w:val="none" w:sz="0" w:space="0" w:color="auto"/>
                                                    <w:left w:val="none" w:sz="0" w:space="0" w:color="auto"/>
                                                    <w:bottom w:val="none" w:sz="0" w:space="0" w:color="auto"/>
                                                    <w:right w:val="none" w:sz="0" w:space="0" w:color="auto"/>
                                                  </w:divBdr>
                                                  <w:divsChild>
                                                    <w:div w:id="1521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cbs.gov.ps"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671727853236001"/>
          <c:y val="0.1667661052828579"/>
          <c:w val="0.81681143971963888"/>
          <c:h val="0.61625462331244463"/>
        </c:manualLayout>
      </c:layout>
      <c:lineChart>
        <c:grouping val="standard"/>
        <c:varyColors val="0"/>
        <c:ser>
          <c:idx val="0"/>
          <c:order val="0"/>
          <c:tx>
            <c:strRef>
              <c:f>Sheet1!$B$1</c:f>
              <c:strCache>
                <c:ptCount val="1"/>
                <c:pt idx="0">
                  <c:v>% Palestinian</c:v>
                </c:pt>
              </c:strCache>
            </c:strRef>
          </c:tx>
          <c:spPr>
            <a:ln>
              <a:prstDash val="sysDot"/>
            </a:ln>
          </c:spPr>
          <c:marker>
            <c:symbol val="diamond"/>
            <c:size val="7"/>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marker>
          <c:cat>
            <c:numRef>
              <c:f>Sheet1!$A$2:$A$15</c:f>
              <c:numCache>
                <c:formatCode>General</c:formatCode>
                <c:ptCount val="14"/>
                <c:pt idx="0">
                  <c:v>1914</c:v>
                </c:pt>
                <c:pt idx="1">
                  <c:v>1918</c:v>
                </c:pt>
                <c:pt idx="2">
                  <c:v>1922</c:v>
                </c:pt>
                <c:pt idx="3">
                  <c:v>1931</c:v>
                </c:pt>
                <c:pt idx="4">
                  <c:v>1944</c:v>
                </c:pt>
                <c:pt idx="5">
                  <c:v>1948</c:v>
                </c:pt>
                <c:pt idx="6">
                  <c:v>1966</c:v>
                </c:pt>
                <c:pt idx="7">
                  <c:v>1978</c:v>
                </c:pt>
                <c:pt idx="8">
                  <c:v>1997</c:v>
                </c:pt>
                <c:pt idx="9">
                  <c:v>2017</c:v>
                </c:pt>
                <c:pt idx="10">
                  <c:v>2018</c:v>
                </c:pt>
                <c:pt idx="11">
                  <c:v>2019</c:v>
                </c:pt>
                <c:pt idx="12">
                  <c:v>2020</c:v>
                </c:pt>
                <c:pt idx="13">
                  <c:v>2021</c:v>
                </c:pt>
              </c:numCache>
            </c:numRef>
          </c:cat>
          <c:val>
            <c:numRef>
              <c:f>Sheet1!$B$2:$B$15</c:f>
              <c:numCache>
                <c:formatCode>General</c:formatCode>
                <c:ptCount val="14"/>
                <c:pt idx="0">
                  <c:v>92</c:v>
                </c:pt>
                <c:pt idx="1">
                  <c:v>92.800000000000011</c:v>
                </c:pt>
                <c:pt idx="2">
                  <c:v>88.9</c:v>
                </c:pt>
                <c:pt idx="3">
                  <c:v>83.14</c:v>
                </c:pt>
                <c:pt idx="4">
                  <c:v>69.599999999999994</c:v>
                </c:pt>
                <c:pt idx="5">
                  <c:v>68.5</c:v>
                </c:pt>
                <c:pt idx="6">
                  <c:v>40.4</c:v>
                </c:pt>
                <c:pt idx="7">
                  <c:v>47.5</c:v>
                </c:pt>
                <c:pt idx="8">
                  <c:v>45.6</c:v>
                </c:pt>
                <c:pt idx="9">
                  <c:v>49.4</c:v>
                </c:pt>
                <c:pt idx="10">
                  <c:v>49.3</c:v>
                </c:pt>
                <c:pt idx="11">
                  <c:v>49.7</c:v>
                </c:pt>
                <c:pt idx="12">
                  <c:v>49.7</c:v>
                </c:pt>
                <c:pt idx="13">
                  <c:v>49.9</c:v>
                </c:pt>
              </c:numCache>
            </c:numRef>
          </c:val>
          <c:smooth val="0"/>
          <c:extLst>
            <c:ext xmlns:c16="http://schemas.microsoft.com/office/drawing/2014/chart" uri="{C3380CC4-5D6E-409C-BE32-E72D297353CC}">
              <c16:uniqueId val="{00000000-6510-49BE-9FCD-EC72316F12CB}"/>
            </c:ext>
          </c:extLst>
        </c:ser>
        <c:ser>
          <c:idx val="1"/>
          <c:order val="1"/>
          <c:tx>
            <c:strRef>
              <c:f>Sheet1!$C$1</c:f>
              <c:strCache>
                <c:ptCount val="1"/>
                <c:pt idx="0">
                  <c:v>% Jewish</c:v>
                </c:pt>
              </c:strCache>
            </c:strRef>
          </c:tx>
          <c:cat>
            <c:numRef>
              <c:f>Sheet1!$A$2:$A$15</c:f>
              <c:numCache>
                <c:formatCode>General</c:formatCode>
                <c:ptCount val="14"/>
                <c:pt idx="0">
                  <c:v>1914</c:v>
                </c:pt>
                <c:pt idx="1">
                  <c:v>1918</c:v>
                </c:pt>
                <c:pt idx="2">
                  <c:v>1922</c:v>
                </c:pt>
                <c:pt idx="3">
                  <c:v>1931</c:v>
                </c:pt>
                <c:pt idx="4">
                  <c:v>1944</c:v>
                </c:pt>
                <c:pt idx="5">
                  <c:v>1948</c:v>
                </c:pt>
                <c:pt idx="6">
                  <c:v>1966</c:v>
                </c:pt>
                <c:pt idx="7">
                  <c:v>1978</c:v>
                </c:pt>
                <c:pt idx="8">
                  <c:v>1997</c:v>
                </c:pt>
                <c:pt idx="9">
                  <c:v>2017</c:v>
                </c:pt>
                <c:pt idx="10">
                  <c:v>2018</c:v>
                </c:pt>
                <c:pt idx="11">
                  <c:v>2019</c:v>
                </c:pt>
                <c:pt idx="12">
                  <c:v>2020</c:v>
                </c:pt>
                <c:pt idx="13">
                  <c:v>2021</c:v>
                </c:pt>
              </c:numCache>
            </c:numRef>
          </c:cat>
          <c:val>
            <c:numRef>
              <c:f>Sheet1!$C$2:$C$15</c:f>
              <c:numCache>
                <c:formatCode>General</c:formatCode>
                <c:ptCount val="14"/>
                <c:pt idx="0">
                  <c:v>8</c:v>
                </c:pt>
                <c:pt idx="1">
                  <c:v>7.1999999999999993</c:v>
                </c:pt>
                <c:pt idx="2">
                  <c:v>11.1</c:v>
                </c:pt>
                <c:pt idx="3">
                  <c:v>16.86</c:v>
                </c:pt>
                <c:pt idx="4">
                  <c:v>30.4</c:v>
                </c:pt>
                <c:pt idx="5">
                  <c:v>31.5</c:v>
                </c:pt>
                <c:pt idx="6">
                  <c:v>59.6</c:v>
                </c:pt>
                <c:pt idx="7">
                  <c:v>52.5</c:v>
                </c:pt>
                <c:pt idx="8">
                  <c:v>54.4</c:v>
                </c:pt>
                <c:pt idx="9">
                  <c:v>50.6</c:v>
                </c:pt>
                <c:pt idx="10">
                  <c:v>50.7</c:v>
                </c:pt>
                <c:pt idx="11">
                  <c:v>50.3</c:v>
                </c:pt>
                <c:pt idx="12">
                  <c:v>50.3</c:v>
                </c:pt>
                <c:pt idx="13">
                  <c:v>50.1</c:v>
                </c:pt>
              </c:numCache>
            </c:numRef>
          </c:val>
          <c:smooth val="0"/>
          <c:extLst>
            <c:ext xmlns:c16="http://schemas.microsoft.com/office/drawing/2014/chart" uri="{C3380CC4-5D6E-409C-BE32-E72D297353CC}">
              <c16:uniqueId val="{00000001-6510-49BE-9FCD-EC72316F12CB}"/>
            </c:ext>
          </c:extLst>
        </c:ser>
        <c:dLbls>
          <c:showLegendKey val="0"/>
          <c:showVal val="0"/>
          <c:showCatName val="0"/>
          <c:showSerName val="0"/>
          <c:showPercent val="0"/>
          <c:showBubbleSize val="0"/>
        </c:dLbls>
        <c:marker val="1"/>
        <c:smooth val="0"/>
        <c:axId val="-56630720"/>
        <c:axId val="-56628000"/>
      </c:lineChart>
      <c:catAx>
        <c:axId val="-56630720"/>
        <c:scaling>
          <c:orientation val="minMax"/>
        </c:scaling>
        <c:delete val="0"/>
        <c:axPos val="b"/>
        <c:title>
          <c:tx>
            <c:rich>
              <a:bodyPr/>
              <a:lstStyle/>
              <a:p>
                <a:pPr>
                  <a:defRPr lang="en-US"/>
                </a:pPr>
                <a:r>
                  <a:rPr lang="en-US"/>
                  <a:t>Year</a:t>
                </a:r>
              </a:p>
            </c:rich>
          </c:tx>
          <c:overlay val="0"/>
        </c:title>
        <c:numFmt formatCode="General" sourceLinked="1"/>
        <c:majorTickMark val="out"/>
        <c:minorTickMark val="none"/>
        <c:tickLblPos val="nextTo"/>
        <c:txPr>
          <a:bodyPr/>
          <a:lstStyle/>
          <a:p>
            <a:pPr>
              <a:defRPr lang="en-US"/>
            </a:pPr>
            <a:endParaRPr lang="ar-SA"/>
          </a:p>
        </c:txPr>
        <c:crossAx val="-56628000"/>
        <c:crosses val="autoZero"/>
        <c:auto val="1"/>
        <c:lblAlgn val="ctr"/>
        <c:lblOffset val="100"/>
        <c:noMultiLvlLbl val="0"/>
      </c:catAx>
      <c:valAx>
        <c:axId val="-56628000"/>
        <c:scaling>
          <c:orientation val="minMax"/>
          <c:max val="100"/>
          <c:min val="0"/>
        </c:scaling>
        <c:delete val="0"/>
        <c:axPos val="l"/>
        <c:title>
          <c:tx>
            <c:rich>
              <a:bodyPr rot="0" vert="wordArtVert"/>
              <a:lstStyle/>
              <a:p>
                <a:pPr>
                  <a:defRPr lang="en-US"/>
                </a:pPr>
                <a:r>
                  <a:rPr lang="en-US"/>
                  <a:t>%</a:t>
                </a:r>
              </a:p>
            </c:rich>
          </c:tx>
          <c:overlay val="0"/>
        </c:title>
        <c:numFmt formatCode="General" sourceLinked="1"/>
        <c:majorTickMark val="out"/>
        <c:minorTickMark val="none"/>
        <c:tickLblPos val="nextTo"/>
        <c:txPr>
          <a:bodyPr/>
          <a:lstStyle/>
          <a:p>
            <a:pPr>
              <a:defRPr lang="en-US"/>
            </a:pPr>
            <a:endParaRPr lang="ar-SA"/>
          </a:p>
        </c:txPr>
        <c:crossAx val="-56630720"/>
        <c:crosses val="autoZero"/>
        <c:crossBetween val="between"/>
        <c:majorUnit val="10"/>
      </c:valAx>
    </c:plotArea>
    <c:legend>
      <c:legendPos val="r"/>
      <c:layout>
        <c:manualLayout>
          <c:xMode val="edge"/>
          <c:yMode val="edge"/>
          <c:x val="0.33885696501640722"/>
          <c:y val="4.2351321359583326E-2"/>
          <c:w val="0.36493614496645088"/>
          <c:h val="8.8875508610414766E-2"/>
        </c:manualLayout>
      </c:layout>
      <c:overlay val="0"/>
      <c:txPr>
        <a:bodyPr/>
        <a:lstStyle/>
        <a:p>
          <a:pPr>
            <a:defRPr lang="en-US"/>
          </a:pPr>
          <a:endParaRPr lang="ar-SA"/>
        </a:p>
      </c:txPr>
    </c:legend>
    <c:plotVisOnly val="1"/>
    <c:dispBlanksAs val="gap"/>
    <c:showDLblsOverMax val="0"/>
  </c:chart>
  <c:txPr>
    <a:bodyPr/>
    <a:lstStyle/>
    <a:p>
      <a:pPr>
        <a:defRPr sz="900"/>
      </a:pPr>
      <a:endParaRPr lang="ar-SA"/>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EE8DF-3582-4E65-B723-EAA52E889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2373</Words>
  <Characters>13530</Characters>
  <Application>Microsoft Office Word</Application>
  <DocSecurity>0</DocSecurity>
  <Lines>112</Lines>
  <Paragraphs>31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15872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sufian</dc:creator>
  <cp:lastModifiedBy>LOAY SHEHADEH</cp:lastModifiedBy>
  <cp:revision>9</cp:revision>
  <cp:lastPrinted>2022-05-12T05:52:00Z</cp:lastPrinted>
  <dcterms:created xsi:type="dcterms:W3CDTF">2022-05-11T12:33:00Z</dcterms:created>
  <dcterms:modified xsi:type="dcterms:W3CDTF">2022-05-12T07:29:00Z</dcterms:modified>
</cp:coreProperties>
</file>