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4E" w:rsidRDefault="004A7C4E" w:rsidP="004A7C4E">
      <w:pPr>
        <w:jc w:val="both"/>
        <w:rPr>
          <w:b/>
          <w:bCs/>
          <w:sz w:val="28"/>
          <w:szCs w:val="28"/>
        </w:rPr>
      </w:pPr>
      <w:r w:rsidRPr="004A7C4E">
        <w:rPr>
          <w:b/>
          <w:bCs/>
          <w:sz w:val="28"/>
          <w:szCs w:val="28"/>
        </w:rPr>
        <w:t>Ms. Ola Awad, President of the PCBS, reviews the conditions of the Palestinian people via statistical figures and findings, on the eve of the 70</w:t>
      </w:r>
      <w:r w:rsidRPr="004A7C4E">
        <w:rPr>
          <w:b/>
          <w:bCs/>
          <w:sz w:val="28"/>
          <w:szCs w:val="28"/>
          <w:vertAlign w:val="superscript"/>
        </w:rPr>
        <w:t>th</w:t>
      </w:r>
      <w:r w:rsidRPr="004A7C4E">
        <w:rPr>
          <w:b/>
          <w:bCs/>
          <w:sz w:val="28"/>
          <w:szCs w:val="28"/>
        </w:rPr>
        <w:t xml:space="preserve"> anniversary of the Palestinian </w:t>
      </w:r>
      <w:proofErr w:type="spellStart"/>
      <w:r w:rsidRPr="004A7C4E">
        <w:rPr>
          <w:b/>
          <w:bCs/>
          <w:sz w:val="28"/>
          <w:szCs w:val="28"/>
        </w:rPr>
        <w:t>Nakba</w:t>
      </w:r>
      <w:proofErr w:type="spellEnd"/>
      <w:r w:rsidRPr="004A7C4E">
        <w:rPr>
          <w:b/>
          <w:bCs/>
          <w:sz w:val="28"/>
          <w:szCs w:val="28"/>
        </w:rPr>
        <w:t>.</w:t>
      </w:r>
    </w:p>
    <w:p w:rsidR="004A7C4E" w:rsidRPr="004A7C4E" w:rsidRDefault="004A7C4E" w:rsidP="009F76EC">
      <w:pPr>
        <w:jc w:val="center"/>
        <w:rPr>
          <w:b/>
          <w:bCs/>
          <w:sz w:val="28"/>
          <w:szCs w:val="28"/>
        </w:rPr>
      </w:pPr>
    </w:p>
    <w:p w:rsidR="00217F7A" w:rsidRPr="008C7D72" w:rsidRDefault="00217F7A" w:rsidP="00A8553F">
      <w:pPr>
        <w:rPr>
          <w:sz w:val="28"/>
          <w:szCs w:val="28"/>
        </w:rPr>
      </w:pPr>
    </w:p>
    <w:p w:rsidR="00535A32" w:rsidRPr="0012067E" w:rsidRDefault="00535A32" w:rsidP="00535A32">
      <w:pPr>
        <w:pStyle w:val="BodyTextIndent"/>
        <w:ind w:left="0"/>
        <w:jc w:val="center"/>
        <w:rPr>
          <w:b/>
          <w:bCs/>
          <w:sz w:val="28"/>
          <w:szCs w:val="28"/>
          <w:lang w:bidi="ar-JO"/>
        </w:rPr>
      </w:pPr>
      <w:r w:rsidRPr="0012067E">
        <w:rPr>
          <w:b/>
          <w:bCs/>
          <w:sz w:val="28"/>
          <w:szCs w:val="28"/>
        </w:rPr>
        <w:t>On the 70</w:t>
      </w:r>
      <w:r w:rsidRPr="0012067E">
        <w:rPr>
          <w:b/>
          <w:bCs/>
          <w:sz w:val="28"/>
          <w:szCs w:val="28"/>
          <w:vertAlign w:val="superscript"/>
        </w:rPr>
        <w:t>th</w:t>
      </w:r>
      <w:r w:rsidRPr="0012067E">
        <w:rPr>
          <w:b/>
          <w:bCs/>
          <w:sz w:val="28"/>
          <w:szCs w:val="28"/>
        </w:rPr>
        <w:t xml:space="preserve"> Annual Commemoration </w:t>
      </w:r>
      <w:r w:rsidRPr="0012067E">
        <w:rPr>
          <w:b/>
          <w:bCs/>
          <w:sz w:val="28"/>
          <w:szCs w:val="28"/>
          <w:lang w:bidi="ar-JO"/>
        </w:rPr>
        <w:t>of the Palestinian Nakba</w:t>
      </w:r>
    </w:p>
    <w:p w:rsidR="00535A32" w:rsidRPr="004A7C4E" w:rsidRDefault="00535A32" w:rsidP="00DC47C5">
      <w:pPr>
        <w:rPr>
          <w:b/>
          <w:bCs/>
          <w:sz w:val="28"/>
          <w:szCs w:val="28"/>
        </w:rPr>
      </w:pPr>
      <w:r w:rsidRPr="004A7C4E">
        <w:rPr>
          <w:b/>
          <w:bCs/>
          <w:sz w:val="28"/>
          <w:szCs w:val="28"/>
        </w:rPr>
        <w:t xml:space="preserve">The number of Palestinians worldwide has </w:t>
      </w:r>
      <w:r w:rsidR="00793379" w:rsidRPr="004A7C4E">
        <w:rPr>
          <w:b/>
          <w:bCs/>
          <w:sz w:val="28"/>
          <w:szCs w:val="28"/>
        </w:rPr>
        <w:t>doubled</w:t>
      </w:r>
      <w:r w:rsidRPr="004A7C4E">
        <w:rPr>
          <w:b/>
          <w:bCs/>
          <w:sz w:val="28"/>
          <w:szCs w:val="28"/>
        </w:rPr>
        <w:t xml:space="preserve"> about nine-times, Israeli </w:t>
      </w:r>
      <w:r w:rsidR="000570FE" w:rsidRPr="004A7C4E">
        <w:rPr>
          <w:b/>
          <w:bCs/>
          <w:sz w:val="28"/>
          <w:szCs w:val="28"/>
        </w:rPr>
        <w:t>O</w:t>
      </w:r>
      <w:r w:rsidRPr="004A7C4E">
        <w:rPr>
          <w:b/>
          <w:bCs/>
          <w:sz w:val="28"/>
          <w:szCs w:val="28"/>
        </w:rPr>
        <w:t>ccupation Controls More than 85% of the Land of Historical Palestine</w:t>
      </w:r>
    </w:p>
    <w:p w:rsidR="004A7C4E" w:rsidRDefault="004A7C4E" w:rsidP="00DC47C5">
      <w:pPr>
        <w:rPr>
          <w:b/>
          <w:bCs/>
        </w:rPr>
      </w:pPr>
    </w:p>
    <w:p w:rsidR="004A7C4E" w:rsidRDefault="004A7C4E" w:rsidP="00DC47C5">
      <w:pPr>
        <w:rPr>
          <w:b/>
          <w:bCs/>
        </w:rPr>
      </w:pPr>
    </w:p>
    <w:p w:rsidR="004A7C4E" w:rsidRPr="002D19FA" w:rsidRDefault="004A7C4E" w:rsidP="004A7C4E">
      <w:pPr>
        <w:rPr>
          <w:rFonts w:ascii="Calibri" w:hAnsi="Calibri"/>
          <w:b/>
          <w:bCs/>
          <w:color w:val="1F497D"/>
          <w:sz w:val="26"/>
          <w:szCs w:val="26"/>
        </w:rPr>
      </w:pPr>
      <w:r w:rsidRPr="002D19FA">
        <w:rPr>
          <w:b/>
          <w:bCs/>
          <w:sz w:val="26"/>
          <w:szCs w:val="26"/>
        </w:rPr>
        <w:t xml:space="preserve">Ms. Ola Awad, President of the Palestinian Central Bureau of Statistics (PCBS), via figures, historical and current data, reviewed the geographical, demographical and economic situation of the Palestinian People on the eve of the </w:t>
      </w:r>
      <w:r w:rsidRPr="008C7D72">
        <w:rPr>
          <w:b/>
          <w:bCs/>
          <w:sz w:val="32"/>
          <w:szCs w:val="32"/>
        </w:rPr>
        <w:t>70</w:t>
      </w:r>
      <w:r w:rsidRPr="008C7D72">
        <w:rPr>
          <w:b/>
          <w:bCs/>
          <w:sz w:val="32"/>
          <w:szCs w:val="32"/>
          <w:vertAlign w:val="superscript"/>
        </w:rPr>
        <w:t>th</w:t>
      </w:r>
      <w:r w:rsidRPr="008C7D72">
        <w:rPr>
          <w:b/>
          <w:bCs/>
          <w:sz w:val="32"/>
          <w:szCs w:val="32"/>
        </w:rPr>
        <w:t xml:space="preserve"> </w:t>
      </w:r>
      <w:r w:rsidRPr="002D19FA">
        <w:rPr>
          <w:b/>
          <w:bCs/>
          <w:sz w:val="26"/>
          <w:szCs w:val="26"/>
        </w:rPr>
        <w:t xml:space="preserve">anniversary of the Palestinian </w:t>
      </w:r>
      <w:proofErr w:type="spellStart"/>
      <w:r w:rsidRPr="002D19FA">
        <w:rPr>
          <w:b/>
          <w:bCs/>
          <w:sz w:val="26"/>
          <w:szCs w:val="26"/>
        </w:rPr>
        <w:t>Nakba</w:t>
      </w:r>
      <w:proofErr w:type="spellEnd"/>
      <w:r w:rsidRPr="002D19FA">
        <w:rPr>
          <w:b/>
          <w:bCs/>
          <w:sz w:val="26"/>
          <w:szCs w:val="26"/>
        </w:rPr>
        <w:t>, which occur takes place on May, 15</w:t>
      </w:r>
      <w:r w:rsidRPr="002D19FA">
        <w:rPr>
          <w:b/>
          <w:bCs/>
          <w:sz w:val="26"/>
          <w:szCs w:val="26"/>
          <w:vertAlign w:val="superscript"/>
        </w:rPr>
        <w:t>th</w:t>
      </w:r>
      <w:r w:rsidRPr="002D19FA">
        <w:rPr>
          <w:b/>
          <w:bCs/>
          <w:sz w:val="26"/>
          <w:szCs w:val="26"/>
        </w:rPr>
        <w:t xml:space="preserve">; and those figures and data run as the following: </w:t>
      </w:r>
      <w:r w:rsidRPr="002D19FA">
        <w:rPr>
          <w:b/>
          <w:bCs/>
          <w:color w:val="1F497D"/>
          <w:sz w:val="26"/>
          <w:szCs w:val="26"/>
        </w:rPr>
        <w:t> </w:t>
      </w:r>
    </w:p>
    <w:p w:rsidR="004A7C4E" w:rsidRDefault="004A7C4E" w:rsidP="00DC47C5">
      <w:pPr>
        <w:rPr>
          <w:b/>
          <w:bCs/>
        </w:rPr>
      </w:pPr>
    </w:p>
    <w:p w:rsidR="004A7C4E" w:rsidRPr="00DC47C5" w:rsidRDefault="004A7C4E" w:rsidP="00DC47C5">
      <w:pPr>
        <w:rPr>
          <w:b/>
          <w:bCs/>
        </w:rPr>
      </w:pPr>
    </w:p>
    <w:p w:rsidR="00535A32" w:rsidRDefault="00535A32" w:rsidP="00BF6BF8">
      <w:pPr>
        <w:rPr>
          <w:b/>
          <w:bCs/>
        </w:rPr>
      </w:pPr>
    </w:p>
    <w:p w:rsidR="00217F7A" w:rsidRPr="008C7D72" w:rsidRDefault="00217F7A" w:rsidP="00BF6BF8">
      <w:pPr>
        <w:rPr>
          <w:b/>
          <w:bCs/>
        </w:rPr>
      </w:pPr>
      <w:r w:rsidRPr="008C7D72">
        <w:rPr>
          <w:b/>
          <w:bCs/>
        </w:rPr>
        <w:t xml:space="preserve">The </w:t>
      </w:r>
      <w:r w:rsidR="00CB7B50" w:rsidRPr="008C7D72">
        <w:rPr>
          <w:b/>
          <w:bCs/>
          <w:i/>
          <w:iCs/>
        </w:rPr>
        <w:t>Nakba</w:t>
      </w:r>
      <w:r w:rsidR="00BF6BF8">
        <w:rPr>
          <w:b/>
          <w:bCs/>
        </w:rPr>
        <w:t xml:space="preserve">: Ethnic cleansing, </w:t>
      </w:r>
      <w:r w:rsidR="00306DEC" w:rsidRPr="008C7D72">
        <w:rPr>
          <w:b/>
          <w:bCs/>
        </w:rPr>
        <w:t>displacement</w:t>
      </w:r>
      <w:r w:rsidRPr="008C7D72">
        <w:rPr>
          <w:b/>
          <w:bCs/>
        </w:rPr>
        <w:t xml:space="preserve"> of </w:t>
      </w:r>
      <w:r w:rsidR="00BF6BF8">
        <w:rPr>
          <w:b/>
          <w:bCs/>
        </w:rPr>
        <w:t>Palestinians and settler colonization</w:t>
      </w:r>
    </w:p>
    <w:p w:rsidR="00AB3340" w:rsidRDefault="00CB7B50" w:rsidP="00793379">
      <w:proofErr w:type="spellStart"/>
      <w:r w:rsidRPr="008C7D72">
        <w:rPr>
          <w:i/>
          <w:iCs/>
        </w:rPr>
        <w:t>Nakba</w:t>
      </w:r>
      <w:proofErr w:type="spellEnd"/>
      <w:r w:rsidR="00217F7A" w:rsidRPr="008C7D72">
        <w:t xml:space="preserve"> </w:t>
      </w:r>
      <w:r w:rsidR="007E6866" w:rsidRPr="008C7D72">
        <w:t>in</w:t>
      </w:r>
      <w:r w:rsidR="00217F7A" w:rsidRPr="008C7D72">
        <w:t xml:space="preserve"> Palestine </w:t>
      </w:r>
      <w:r w:rsidR="007E6866" w:rsidRPr="008C7D72">
        <w:t xml:space="preserve">describes a process of </w:t>
      </w:r>
      <w:r w:rsidR="00217F7A" w:rsidRPr="008C7D72">
        <w:t xml:space="preserve">ethnic cleansing </w:t>
      </w:r>
      <w:r w:rsidR="007E6866" w:rsidRPr="008C7D72">
        <w:t xml:space="preserve">in which an unarmed nation </w:t>
      </w:r>
      <w:r w:rsidR="003C5CE6" w:rsidRPr="008C7D72">
        <w:t>w</w:t>
      </w:r>
      <w:r w:rsidR="007E6866" w:rsidRPr="008C7D72">
        <w:t xml:space="preserve">as destroyed and its population </w:t>
      </w:r>
      <w:r w:rsidR="00217F7A" w:rsidRPr="00A57D3B">
        <w:t>displace</w:t>
      </w:r>
      <w:r w:rsidR="007E6866" w:rsidRPr="00A57D3B">
        <w:t>d</w:t>
      </w:r>
      <w:r w:rsidR="00217F7A" w:rsidRPr="00A57D3B">
        <w:t xml:space="preserve"> </w:t>
      </w:r>
      <w:r w:rsidR="00217F7A" w:rsidRPr="008C7D72">
        <w:t xml:space="preserve">systematically by another nation. </w:t>
      </w:r>
      <w:r w:rsidR="00BF6BF8">
        <w:t xml:space="preserve">The </w:t>
      </w:r>
      <w:r w:rsidR="00BF6BF8">
        <w:rPr>
          <w:i/>
          <w:iCs/>
        </w:rPr>
        <w:t>Nakba</w:t>
      </w:r>
      <w:r w:rsidR="00BF6BF8">
        <w:t xml:space="preserve"> resu</w:t>
      </w:r>
      <w:r w:rsidR="009B08D6">
        <w:t>lted in the displacement of 800 thousand</w:t>
      </w:r>
      <w:r w:rsidR="00BF6BF8">
        <w:t xml:space="preserve"> out of the 1.4 million Palestinians who lived in historical Palestine in 1948 in 1,300 villages and towns</w:t>
      </w:r>
      <w:r w:rsidR="0024755D" w:rsidRPr="008C7D72">
        <w:t>.</w:t>
      </w:r>
      <w:r w:rsidR="00BF6BF8">
        <w:t xml:space="preserve"> The majority of the displaced Palestinians ended up in neighboring Arab countries and in the West Bank and Gaza Strip and other countries in the world. Furthermore, thousands of Palestinians – who stayed in the area controlled by the Israeli occupation in 1948 – were driven out of their homes and lands, seized by the occupation government.</w:t>
      </w:r>
    </w:p>
    <w:p w:rsidR="00217F7A" w:rsidRPr="008C7D72" w:rsidRDefault="00217F7A" w:rsidP="00A8553F">
      <w:r w:rsidRPr="008C7D72">
        <w:tab/>
      </w:r>
    </w:p>
    <w:p w:rsidR="00AB3340" w:rsidRDefault="00217F7A" w:rsidP="00793379">
      <w:r w:rsidRPr="008C7D72">
        <w:t>According to document</w:t>
      </w:r>
      <w:r w:rsidR="00F10BE4" w:rsidRPr="008C7D72">
        <w:t>ary evidence</w:t>
      </w:r>
      <w:r w:rsidRPr="008C7D72">
        <w:t xml:space="preserve">, </w:t>
      </w:r>
      <w:r w:rsidR="00E9232D" w:rsidRPr="008C7D72">
        <w:t xml:space="preserve">the </w:t>
      </w:r>
      <w:r w:rsidRPr="008C7D72">
        <w:t xml:space="preserve">Israelis controlled 774 towns and villages and destroyed 531 Palestinian towns and villages during the </w:t>
      </w:r>
      <w:r w:rsidR="00CB7B50" w:rsidRPr="008C7D72">
        <w:rPr>
          <w:i/>
          <w:iCs/>
        </w:rPr>
        <w:t>Nakba</w:t>
      </w:r>
      <w:r w:rsidRPr="008C7D72">
        <w:t xml:space="preserve">. The atrocities of </w:t>
      </w:r>
      <w:r w:rsidR="00366480" w:rsidRPr="008C7D72">
        <w:t xml:space="preserve">Zionist </w:t>
      </w:r>
      <w:r w:rsidRPr="008C7D72">
        <w:t>forces also included mor</w:t>
      </w:r>
      <w:r w:rsidR="00952927" w:rsidRPr="008C7D72">
        <w:t xml:space="preserve">e than 70 massacres in which </w:t>
      </w:r>
      <w:r w:rsidR="00076A48" w:rsidRPr="008C7D72">
        <w:t xml:space="preserve">more than </w:t>
      </w:r>
      <w:r w:rsidR="00952927" w:rsidRPr="008C7D72">
        <w:t>15</w:t>
      </w:r>
      <w:r w:rsidR="00076A48" w:rsidRPr="008C7D72">
        <w:t xml:space="preserve"> </w:t>
      </w:r>
      <w:r w:rsidR="00690169" w:rsidRPr="008C7D72">
        <w:t>thousand</w:t>
      </w:r>
      <w:r w:rsidR="00952927" w:rsidRPr="008C7D72">
        <w:t xml:space="preserve"> </w:t>
      </w:r>
      <w:r w:rsidRPr="008C7D72">
        <w:t>Palestin</w:t>
      </w:r>
      <w:r w:rsidR="00303E3D">
        <w:t xml:space="preserve">ians were </w:t>
      </w:r>
      <w:r w:rsidR="00343A87" w:rsidRPr="00343A87">
        <w:t>martyred</w:t>
      </w:r>
      <w:r w:rsidR="00E03348">
        <w:t xml:space="preserve">, </w:t>
      </w:r>
      <w:r w:rsidR="00793379">
        <w:t>To date, the Israeli occupation continues its control over 85% of the area of historical Palestine, which amounts to 27,000 sq. km, while the remaining areas continue to endure further attempts of usurpation and control</w:t>
      </w:r>
      <w:r w:rsidR="005B2AB4">
        <w:t>.</w:t>
      </w:r>
    </w:p>
    <w:p w:rsidR="00217F7A" w:rsidRPr="008C7D72" w:rsidRDefault="00217F7A" w:rsidP="00A8553F"/>
    <w:p w:rsidR="00903262" w:rsidRPr="008C7D72" w:rsidRDefault="00903262" w:rsidP="000570FE">
      <w:pPr>
        <w:rPr>
          <w:b/>
          <w:bCs/>
        </w:rPr>
      </w:pPr>
      <w:r w:rsidRPr="008C7D72">
        <w:rPr>
          <w:b/>
          <w:bCs/>
        </w:rPr>
        <w:t xml:space="preserve">The </w:t>
      </w:r>
      <w:r w:rsidR="00306DEC" w:rsidRPr="008C7D72">
        <w:rPr>
          <w:b/>
          <w:bCs/>
        </w:rPr>
        <w:t>D</w:t>
      </w:r>
      <w:r w:rsidRPr="008C7D72">
        <w:rPr>
          <w:b/>
          <w:bCs/>
        </w:rPr>
        <w:t xml:space="preserve">emographic </w:t>
      </w:r>
      <w:r w:rsidR="00306DEC" w:rsidRPr="008C7D72">
        <w:rPr>
          <w:b/>
          <w:bCs/>
        </w:rPr>
        <w:t>R</w:t>
      </w:r>
      <w:r w:rsidRPr="008C7D72">
        <w:rPr>
          <w:b/>
          <w:bCs/>
        </w:rPr>
        <w:t>eality: Palestinian</w:t>
      </w:r>
      <w:r w:rsidR="00165E73" w:rsidRPr="008C7D72">
        <w:rPr>
          <w:b/>
          <w:bCs/>
        </w:rPr>
        <w:t xml:space="preserve"> population </w:t>
      </w:r>
      <w:r w:rsidR="00306DEC" w:rsidRPr="008C7D72">
        <w:rPr>
          <w:b/>
          <w:bCs/>
        </w:rPr>
        <w:t xml:space="preserve">has </w:t>
      </w:r>
      <w:r w:rsidR="000570FE">
        <w:rPr>
          <w:b/>
          <w:bCs/>
          <w:lang w:bidi="ar-JO"/>
        </w:rPr>
        <w:t>doubled</w:t>
      </w:r>
      <w:r w:rsidR="000570FE" w:rsidRPr="008C7D72">
        <w:rPr>
          <w:b/>
          <w:bCs/>
          <w:lang w:bidi="ar-JO"/>
        </w:rPr>
        <w:t xml:space="preserve"> </w:t>
      </w:r>
      <w:r w:rsidR="00A57D3B">
        <w:rPr>
          <w:b/>
          <w:bCs/>
        </w:rPr>
        <w:t>nine times</w:t>
      </w:r>
      <w:r w:rsidR="00306DEC" w:rsidRPr="008C7D72">
        <w:rPr>
          <w:b/>
          <w:bCs/>
        </w:rPr>
        <w:t xml:space="preserve"> since the</w:t>
      </w:r>
      <w:r w:rsidRPr="008C7D72">
        <w:rPr>
          <w:b/>
          <w:bCs/>
        </w:rPr>
        <w:t xml:space="preserve"> </w:t>
      </w:r>
      <w:r w:rsidR="00CB7B50" w:rsidRPr="008C7D72">
        <w:rPr>
          <w:b/>
          <w:bCs/>
          <w:i/>
          <w:iCs/>
        </w:rPr>
        <w:t>Nakba</w:t>
      </w:r>
    </w:p>
    <w:p w:rsidR="00AB3340" w:rsidRDefault="00A70E42" w:rsidP="00715890">
      <w:pPr>
        <w:rPr>
          <w:rFonts w:asciiTheme="majorBidi" w:hAnsiTheme="majorBidi" w:cstheme="majorBidi"/>
        </w:rPr>
      </w:pPr>
      <w:r w:rsidRPr="008C7D72">
        <w:rPr>
          <w:rFonts w:asciiTheme="majorBidi" w:hAnsiTheme="majorBidi" w:cstheme="majorBidi"/>
        </w:rPr>
        <w:t>The population of Palestine in</w:t>
      </w:r>
      <w:r w:rsidR="00715890">
        <w:rPr>
          <w:rFonts w:asciiTheme="majorBidi" w:hAnsiTheme="majorBidi" w:cstheme="majorBidi"/>
        </w:rPr>
        <w:t xml:space="preserve"> 1914 was </w:t>
      </w:r>
      <w:r w:rsidR="000570FE">
        <w:rPr>
          <w:rFonts w:asciiTheme="majorBidi" w:hAnsiTheme="majorBidi" w:cstheme="majorBidi"/>
        </w:rPr>
        <w:t>around</w:t>
      </w:r>
      <w:r w:rsidR="00715890">
        <w:rPr>
          <w:rFonts w:asciiTheme="majorBidi" w:hAnsiTheme="majorBidi" w:cstheme="majorBidi"/>
        </w:rPr>
        <w:t xml:space="preserve"> 690 thousands</w:t>
      </w:r>
      <w:r w:rsidRPr="008C7D72">
        <w:rPr>
          <w:rFonts w:asciiTheme="majorBidi" w:hAnsiTheme="majorBidi" w:cstheme="majorBidi"/>
        </w:rPr>
        <w:t xml:space="preserve"> of whom only 8% were Jew</w:t>
      </w:r>
      <w:r w:rsidR="00E03348">
        <w:rPr>
          <w:rFonts w:asciiTheme="majorBidi" w:hAnsiTheme="majorBidi" w:cstheme="majorBidi"/>
        </w:rPr>
        <w:t>ish</w:t>
      </w:r>
      <w:r w:rsidRPr="008C7D72">
        <w:rPr>
          <w:rFonts w:asciiTheme="majorBidi" w:hAnsiTheme="majorBidi" w:cstheme="majorBidi"/>
        </w:rPr>
        <w:t xml:space="preserve">. In 1948, the number of Palestinians in Palestine </w:t>
      </w:r>
      <w:r w:rsidR="00E03348">
        <w:rPr>
          <w:rFonts w:asciiTheme="majorBidi" w:hAnsiTheme="majorBidi" w:cstheme="majorBidi"/>
        </w:rPr>
        <w:t>exceeded</w:t>
      </w:r>
      <w:r w:rsidRPr="008C7D72">
        <w:rPr>
          <w:rFonts w:asciiTheme="majorBidi" w:hAnsiTheme="majorBidi" w:cstheme="majorBidi"/>
        </w:rPr>
        <w:t xml:space="preserve"> 2 million, 31.5% of them</w:t>
      </w:r>
      <w:r w:rsidR="001727DA">
        <w:rPr>
          <w:rFonts w:asciiTheme="majorBidi" w:hAnsiTheme="majorBidi" w:cstheme="majorBidi"/>
        </w:rPr>
        <w:t xml:space="preserve"> were Jews, w</w:t>
      </w:r>
      <w:r w:rsidRPr="008C7D72">
        <w:rPr>
          <w:rFonts w:asciiTheme="majorBidi" w:hAnsiTheme="majorBidi" w:cstheme="majorBidi"/>
        </w:rPr>
        <w:t xml:space="preserve">here the number of Jews doubled more than six times during this period. Between 1932 and 1939, the largest number of Jewish immigrants to Palestine reached 225,000 </w:t>
      </w:r>
      <w:r w:rsidR="00E03348">
        <w:rPr>
          <w:rFonts w:asciiTheme="majorBidi" w:hAnsiTheme="majorBidi" w:cstheme="majorBidi"/>
        </w:rPr>
        <w:t>people</w:t>
      </w:r>
      <w:r w:rsidRPr="008C7D72">
        <w:rPr>
          <w:rFonts w:asciiTheme="majorBidi" w:hAnsiTheme="majorBidi" w:cstheme="majorBidi"/>
        </w:rPr>
        <w:t>. Between 1940 and 1947, mor</w:t>
      </w:r>
      <w:r w:rsidR="00715890">
        <w:rPr>
          <w:rFonts w:asciiTheme="majorBidi" w:hAnsiTheme="majorBidi" w:cstheme="majorBidi"/>
        </w:rPr>
        <w:t>e than 93 thousand</w:t>
      </w:r>
      <w:r w:rsidRPr="008C7D72">
        <w:rPr>
          <w:rFonts w:asciiTheme="majorBidi" w:hAnsiTheme="majorBidi" w:cstheme="majorBidi"/>
        </w:rPr>
        <w:t xml:space="preserve"> Jews </w:t>
      </w:r>
      <w:r w:rsidRPr="005A1E37">
        <w:rPr>
          <w:rFonts w:asciiTheme="majorBidi" w:hAnsiTheme="majorBidi" w:cstheme="majorBidi"/>
        </w:rPr>
        <w:t>poured</w:t>
      </w:r>
      <w:r w:rsidRPr="008C7D72">
        <w:rPr>
          <w:rFonts w:asciiTheme="majorBidi" w:hAnsiTheme="majorBidi" w:cstheme="majorBidi"/>
        </w:rPr>
        <w:t xml:space="preserve"> into Palestine. </w:t>
      </w:r>
      <w:r w:rsidR="00715890">
        <w:rPr>
          <w:rFonts w:asciiTheme="majorBidi" w:hAnsiTheme="majorBidi" w:cstheme="majorBidi"/>
        </w:rPr>
        <w:t>Palestine received around 318</w:t>
      </w:r>
      <w:r w:rsidR="00715890" w:rsidRPr="00715890">
        <w:rPr>
          <w:rFonts w:asciiTheme="majorBidi" w:hAnsiTheme="majorBidi" w:cstheme="majorBidi"/>
        </w:rPr>
        <w:t xml:space="preserve"> </w:t>
      </w:r>
      <w:r w:rsidR="00715890">
        <w:rPr>
          <w:rFonts w:asciiTheme="majorBidi" w:hAnsiTheme="majorBidi" w:cstheme="majorBidi"/>
        </w:rPr>
        <w:t>thousand</w:t>
      </w:r>
      <w:r w:rsidR="005A1E37">
        <w:rPr>
          <w:rFonts w:asciiTheme="majorBidi" w:hAnsiTheme="majorBidi" w:cstheme="majorBidi"/>
        </w:rPr>
        <w:t xml:space="preserve"> Jews </w:t>
      </w:r>
      <w:r w:rsidRPr="005A1E37">
        <w:rPr>
          <w:rFonts w:asciiTheme="majorBidi" w:hAnsiTheme="majorBidi" w:cstheme="majorBidi"/>
        </w:rPr>
        <w:t>Be</w:t>
      </w:r>
      <w:r w:rsidR="005A1E37" w:rsidRPr="005A1E37">
        <w:rPr>
          <w:rFonts w:asciiTheme="majorBidi" w:hAnsiTheme="majorBidi" w:cstheme="majorBidi"/>
        </w:rPr>
        <w:t>tween 1932 and 1947 and</w:t>
      </w:r>
      <w:r w:rsidRPr="005A1E37">
        <w:rPr>
          <w:rFonts w:asciiTheme="majorBidi" w:hAnsiTheme="majorBidi" w:cstheme="majorBidi"/>
        </w:rPr>
        <w:t xml:space="preserve"> </w:t>
      </w:r>
      <w:r w:rsidR="00715890">
        <w:rPr>
          <w:rFonts w:asciiTheme="majorBidi" w:hAnsiTheme="majorBidi" w:cstheme="majorBidi"/>
        </w:rPr>
        <w:t>540 thousand</w:t>
      </w:r>
      <w:r w:rsidR="005A1E37" w:rsidRPr="005A1E37">
        <w:rPr>
          <w:rFonts w:asciiTheme="majorBidi" w:hAnsiTheme="majorBidi" w:cstheme="majorBidi"/>
        </w:rPr>
        <w:t xml:space="preserve"> from </w:t>
      </w:r>
      <w:r w:rsidRPr="005A1E37">
        <w:rPr>
          <w:rFonts w:asciiTheme="majorBidi" w:hAnsiTheme="majorBidi" w:cstheme="majorBidi"/>
        </w:rPr>
        <w:t>1948 to 197</w:t>
      </w:r>
      <w:r w:rsidR="005A1E37" w:rsidRPr="005A1E37">
        <w:rPr>
          <w:rFonts w:asciiTheme="majorBidi" w:hAnsiTheme="majorBidi" w:cstheme="majorBidi"/>
        </w:rPr>
        <w:t>5</w:t>
      </w:r>
      <w:r w:rsidRPr="005A1E37">
        <w:rPr>
          <w:rFonts w:asciiTheme="majorBidi" w:hAnsiTheme="majorBidi" w:cstheme="majorBidi"/>
        </w:rPr>
        <w:t>.</w:t>
      </w:r>
    </w:p>
    <w:p w:rsidR="00A70E42" w:rsidRPr="008C7D72" w:rsidRDefault="00A70E42" w:rsidP="00A70E42">
      <w:pPr>
        <w:rPr>
          <w:rFonts w:asciiTheme="majorBidi" w:hAnsiTheme="majorBidi" w:cstheme="majorBidi"/>
        </w:rPr>
      </w:pPr>
    </w:p>
    <w:p w:rsidR="00AB3340" w:rsidRDefault="00A70E42" w:rsidP="00DC47C5">
      <w:pPr>
        <w:rPr>
          <w:rFonts w:asciiTheme="majorBidi" w:hAnsiTheme="majorBidi" w:cstheme="majorBidi"/>
        </w:rPr>
      </w:pPr>
      <w:r w:rsidRPr="008C7D72">
        <w:rPr>
          <w:rFonts w:asciiTheme="majorBidi" w:hAnsiTheme="majorBidi" w:cstheme="majorBidi"/>
        </w:rPr>
        <w:t>Despite th</w:t>
      </w:r>
      <w:r w:rsidR="00715890">
        <w:rPr>
          <w:rFonts w:asciiTheme="majorBidi" w:hAnsiTheme="majorBidi" w:cstheme="majorBidi"/>
        </w:rPr>
        <w:t>e displacement of more than 800 thousand</w:t>
      </w:r>
      <w:r w:rsidRPr="008C7D72">
        <w:rPr>
          <w:rFonts w:asciiTheme="majorBidi" w:hAnsiTheme="majorBidi" w:cstheme="majorBidi"/>
        </w:rPr>
        <w:t xml:space="preserve"> Palestinians in 1948 and th</w:t>
      </w:r>
      <w:r w:rsidR="00694CB8">
        <w:rPr>
          <w:rFonts w:asciiTheme="majorBidi" w:hAnsiTheme="majorBidi" w:cstheme="majorBidi"/>
        </w:rPr>
        <w:t>e displacement of more than 200 thousand</w:t>
      </w:r>
      <w:r w:rsidRPr="008C7D72">
        <w:rPr>
          <w:rFonts w:asciiTheme="majorBidi" w:hAnsiTheme="majorBidi" w:cstheme="majorBidi"/>
        </w:rPr>
        <w:t xml:space="preserve"> Palestinians to Jordan </w:t>
      </w:r>
      <w:r w:rsidR="00E03348">
        <w:rPr>
          <w:rFonts w:asciiTheme="majorBidi" w:hAnsiTheme="majorBidi" w:cstheme="majorBidi"/>
        </w:rPr>
        <w:t xml:space="preserve">and other countries </w:t>
      </w:r>
      <w:r w:rsidRPr="008C7D72">
        <w:rPr>
          <w:rFonts w:asciiTheme="majorBidi" w:hAnsiTheme="majorBidi" w:cstheme="majorBidi"/>
        </w:rPr>
        <w:t xml:space="preserve">after the </w:t>
      </w:r>
      <w:r w:rsidRPr="008C7D72">
        <w:rPr>
          <w:rFonts w:asciiTheme="majorBidi" w:hAnsiTheme="majorBidi" w:cstheme="majorBidi"/>
        </w:rPr>
        <w:lastRenderedPageBreak/>
        <w:t xml:space="preserve">1967 war, the </w:t>
      </w:r>
      <w:r w:rsidR="005B2AB4">
        <w:rPr>
          <w:rFonts w:asciiTheme="majorBidi" w:hAnsiTheme="majorBidi" w:cstheme="majorBidi"/>
        </w:rPr>
        <w:t xml:space="preserve">2017 Population, Housing and Establishments Census showed that the </w:t>
      </w:r>
      <w:r w:rsidR="00E03348">
        <w:rPr>
          <w:rFonts w:asciiTheme="majorBidi" w:hAnsiTheme="majorBidi" w:cstheme="majorBidi"/>
        </w:rPr>
        <w:t>Palestinian population in</w:t>
      </w:r>
      <w:r w:rsidRPr="008C7D72">
        <w:rPr>
          <w:rFonts w:asciiTheme="majorBidi" w:hAnsiTheme="majorBidi" w:cstheme="majorBidi"/>
        </w:rPr>
        <w:t xml:space="preserve"> </w:t>
      </w:r>
      <w:r w:rsidR="00BC5E0C">
        <w:rPr>
          <w:rFonts w:asciiTheme="majorBidi" w:hAnsiTheme="majorBidi" w:cstheme="majorBidi"/>
        </w:rPr>
        <w:t xml:space="preserve">State of </w:t>
      </w:r>
      <w:r w:rsidRPr="008C7D72">
        <w:rPr>
          <w:rFonts w:asciiTheme="majorBidi" w:hAnsiTheme="majorBidi" w:cstheme="majorBidi"/>
        </w:rPr>
        <w:t>Palestine at the end of 2017 was (4.8 million in the West Bank and Gaza Strip</w:t>
      </w:r>
      <w:r w:rsidR="00694CB8">
        <w:rPr>
          <w:rFonts w:asciiTheme="majorBidi" w:hAnsiTheme="majorBidi" w:cstheme="majorBidi"/>
        </w:rPr>
        <w:t>)</w:t>
      </w:r>
      <w:r w:rsidR="00BC5E0C">
        <w:rPr>
          <w:rFonts w:asciiTheme="majorBidi" w:hAnsiTheme="majorBidi" w:cstheme="majorBidi"/>
        </w:rPr>
        <w:t>,</w:t>
      </w:r>
      <w:r w:rsidR="005B2AB4">
        <w:rPr>
          <w:rFonts w:asciiTheme="majorBidi" w:hAnsiTheme="majorBidi" w:cstheme="majorBidi"/>
        </w:rPr>
        <w:t xml:space="preserve"> </w:t>
      </w:r>
      <w:r w:rsidR="00BC5E0C">
        <w:rPr>
          <w:rFonts w:asciiTheme="majorBidi" w:hAnsiTheme="majorBidi" w:cstheme="majorBidi"/>
        </w:rPr>
        <w:t>in</w:t>
      </w:r>
      <w:r w:rsidRPr="008C7D72">
        <w:rPr>
          <w:rFonts w:asciiTheme="majorBidi" w:hAnsiTheme="majorBidi" w:cstheme="majorBidi"/>
        </w:rPr>
        <w:t xml:space="preserve"> </w:t>
      </w:r>
      <w:r w:rsidR="00BC5E0C">
        <w:rPr>
          <w:rFonts w:asciiTheme="majorBidi" w:hAnsiTheme="majorBidi" w:cstheme="majorBidi"/>
        </w:rPr>
        <w:t xml:space="preserve">addition to </w:t>
      </w:r>
      <w:r w:rsidRPr="008C7D72">
        <w:rPr>
          <w:rFonts w:asciiTheme="majorBidi" w:hAnsiTheme="majorBidi" w:cstheme="majorBidi"/>
        </w:rPr>
        <w:t xml:space="preserve">1.56 </w:t>
      </w:r>
      <w:r w:rsidR="00DF3AFF" w:rsidRPr="008C7D72">
        <w:rPr>
          <w:rFonts w:asciiTheme="majorBidi" w:hAnsiTheme="majorBidi" w:cstheme="majorBidi"/>
        </w:rPr>
        <w:t xml:space="preserve">million </w:t>
      </w:r>
      <w:r w:rsidRPr="008C7D72">
        <w:rPr>
          <w:rFonts w:asciiTheme="majorBidi" w:hAnsiTheme="majorBidi" w:cstheme="majorBidi"/>
        </w:rPr>
        <w:t>in the</w:t>
      </w:r>
      <w:r w:rsidR="00694CB8">
        <w:rPr>
          <w:rFonts w:asciiTheme="majorBidi" w:hAnsiTheme="majorBidi" w:cstheme="majorBidi"/>
        </w:rPr>
        <w:t xml:space="preserve"> occupied territories in 1948</w:t>
      </w:r>
      <w:r w:rsidR="005B2AB4">
        <w:rPr>
          <w:rFonts w:asciiTheme="majorBidi" w:hAnsiTheme="majorBidi" w:cstheme="majorBidi"/>
        </w:rPr>
        <w:t xml:space="preserve">. The Palestinians in </w:t>
      </w:r>
      <w:r w:rsidR="00715890">
        <w:rPr>
          <w:rFonts w:asciiTheme="majorBidi" w:hAnsiTheme="majorBidi" w:cstheme="majorBidi"/>
        </w:rPr>
        <w:t>Jerusalem governorate count 435 thousand</w:t>
      </w:r>
      <w:r w:rsidR="005B2AB4">
        <w:rPr>
          <w:rFonts w:asciiTheme="majorBidi" w:hAnsiTheme="majorBidi" w:cstheme="majorBidi"/>
        </w:rPr>
        <w:t xml:space="preserve"> peo</w:t>
      </w:r>
      <w:r w:rsidR="00715890">
        <w:rPr>
          <w:rFonts w:asciiTheme="majorBidi" w:hAnsiTheme="majorBidi" w:cstheme="majorBidi"/>
        </w:rPr>
        <w:t xml:space="preserve">ple </w:t>
      </w:r>
      <w:r w:rsidR="00694CB8">
        <w:rPr>
          <w:rFonts w:asciiTheme="majorBidi" w:hAnsiTheme="majorBidi" w:cstheme="majorBidi"/>
        </w:rPr>
        <w:t xml:space="preserve">due to census </w:t>
      </w:r>
      <w:r w:rsidR="00715890">
        <w:rPr>
          <w:rFonts w:asciiTheme="majorBidi" w:hAnsiTheme="majorBidi" w:cstheme="majorBidi"/>
        </w:rPr>
        <w:t>2017</w:t>
      </w:r>
      <w:r w:rsidR="00694CB8">
        <w:rPr>
          <w:rFonts w:asciiTheme="majorBidi" w:hAnsiTheme="majorBidi" w:cstheme="majorBidi"/>
        </w:rPr>
        <w:t xml:space="preserve"> results</w:t>
      </w:r>
      <w:r w:rsidR="00715890">
        <w:rPr>
          <w:rFonts w:asciiTheme="majorBidi" w:hAnsiTheme="majorBidi" w:cstheme="majorBidi"/>
        </w:rPr>
        <w:t>, 64.6% of them (281</w:t>
      </w:r>
      <w:r w:rsidR="00715890" w:rsidRPr="00715890">
        <w:rPr>
          <w:rFonts w:asciiTheme="majorBidi" w:hAnsiTheme="majorBidi" w:cstheme="majorBidi"/>
        </w:rPr>
        <w:t xml:space="preserve"> </w:t>
      </w:r>
      <w:r w:rsidR="00715890">
        <w:rPr>
          <w:rFonts w:asciiTheme="majorBidi" w:hAnsiTheme="majorBidi" w:cstheme="majorBidi"/>
        </w:rPr>
        <w:t>thousand</w:t>
      </w:r>
      <w:r w:rsidR="005B2AB4">
        <w:rPr>
          <w:rFonts w:asciiTheme="majorBidi" w:hAnsiTheme="majorBidi" w:cstheme="majorBidi"/>
        </w:rPr>
        <w:t xml:space="preserve"> people) live in </w:t>
      </w:r>
      <w:r w:rsidR="00DC47C5" w:rsidRPr="00062566">
        <w:t>those parts of Jerusalem which were annexed by Israeli Occupation in 1967</w:t>
      </w:r>
      <w:r w:rsidR="005B2AB4">
        <w:rPr>
          <w:rFonts w:asciiTheme="majorBidi" w:hAnsiTheme="majorBidi" w:cstheme="majorBidi"/>
        </w:rPr>
        <w:t>. These data show that the Palestinians represent 49.4% of the population of historical</w:t>
      </w:r>
      <w:r w:rsidR="00694CB8">
        <w:rPr>
          <w:rFonts w:asciiTheme="majorBidi" w:hAnsiTheme="majorBidi" w:cstheme="majorBidi"/>
        </w:rPr>
        <w:t xml:space="preserve"> Palestine.</w:t>
      </w:r>
      <w:r w:rsidR="00535A32">
        <w:rPr>
          <w:rFonts w:asciiTheme="majorBidi" w:hAnsiTheme="majorBidi" w:cstheme="majorBidi"/>
        </w:rPr>
        <w:t xml:space="preserve">  </w:t>
      </w:r>
      <w:r w:rsidR="00535A32" w:rsidRPr="008C7D72">
        <w:rPr>
          <w:rFonts w:asciiTheme="majorBidi" w:hAnsiTheme="majorBidi" w:cstheme="majorBidi"/>
        </w:rPr>
        <w:t xml:space="preserve">It is noteworthy that the number of Palestinians in the world reached </w:t>
      </w:r>
      <w:r w:rsidR="00535A32">
        <w:rPr>
          <w:rFonts w:asciiTheme="majorBidi" w:hAnsiTheme="majorBidi" w:cstheme="majorBidi"/>
        </w:rPr>
        <w:t xml:space="preserve">by </w:t>
      </w:r>
      <w:r w:rsidR="00535A32" w:rsidRPr="008C7D72">
        <w:rPr>
          <w:rFonts w:asciiTheme="majorBidi" w:hAnsiTheme="majorBidi" w:cstheme="majorBidi"/>
        </w:rPr>
        <w:t>the end of 2017 about 13 million people, which means that the number of Palestinians in the world has doubled more than 9 times since the events of the Nakba of 1948.</w:t>
      </w:r>
    </w:p>
    <w:p w:rsidR="000570FE" w:rsidRDefault="000570FE" w:rsidP="000570FE">
      <w:pPr>
        <w:pStyle w:val="NormalWeb"/>
        <w:spacing w:before="0" w:beforeAutospacing="0" w:after="0" w:afterAutospacing="0"/>
        <w:jc w:val="center"/>
        <w:rPr>
          <w:rFonts w:asciiTheme="majorBidi" w:hAnsiTheme="majorBidi" w:cstheme="majorBidi"/>
          <w:b/>
          <w:bCs/>
        </w:rPr>
      </w:pPr>
    </w:p>
    <w:p w:rsidR="00DC47C5" w:rsidRDefault="00DC47C5" w:rsidP="000570FE">
      <w:pPr>
        <w:pStyle w:val="NormalWeb"/>
        <w:spacing w:before="0" w:beforeAutospacing="0" w:after="0" w:afterAutospacing="0"/>
        <w:jc w:val="center"/>
        <w:rPr>
          <w:rFonts w:asciiTheme="majorBidi" w:hAnsiTheme="majorBidi" w:cstheme="majorBidi"/>
          <w:b/>
          <w:bCs/>
        </w:rPr>
      </w:pPr>
    </w:p>
    <w:p w:rsidR="005E7F4C" w:rsidRPr="001E179A" w:rsidRDefault="000570FE" w:rsidP="000570FE">
      <w:pPr>
        <w:pStyle w:val="NormalWeb"/>
        <w:spacing w:before="0" w:beforeAutospacing="0" w:after="0" w:afterAutospacing="0"/>
        <w:jc w:val="center"/>
        <w:rPr>
          <w:rFonts w:asciiTheme="majorBidi" w:hAnsiTheme="majorBidi" w:cstheme="majorBidi"/>
          <w:b/>
          <w:bCs/>
          <w:strike/>
          <w:rtl/>
        </w:rPr>
      </w:pPr>
      <w:r>
        <w:rPr>
          <w:rFonts w:asciiTheme="majorBidi" w:hAnsiTheme="majorBidi" w:cstheme="majorBidi"/>
          <w:b/>
          <w:bCs/>
        </w:rPr>
        <w:t>P</w:t>
      </w:r>
      <w:r w:rsidR="005E7F4C" w:rsidRPr="001E179A">
        <w:rPr>
          <w:rFonts w:asciiTheme="majorBidi" w:hAnsiTheme="majorBidi" w:cstheme="majorBidi"/>
          <w:b/>
          <w:bCs/>
        </w:rPr>
        <w:t xml:space="preserve">ercentage of Palestinians and Jews in </w:t>
      </w:r>
      <w:r>
        <w:rPr>
          <w:rFonts w:asciiTheme="majorBidi" w:hAnsiTheme="majorBidi" w:cstheme="majorBidi"/>
          <w:b/>
          <w:bCs/>
        </w:rPr>
        <w:t>H</w:t>
      </w:r>
      <w:r w:rsidR="005E7F4C" w:rsidRPr="001E179A">
        <w:rPr>
          <w:rFonts w:asciiTheme="majorBidi" w:hAnsiTheme="majorBidi" w:cstheme="majorBidi"/>
          <w:b/>
          <w:bCs/>
        </w:rPr>
        <w:t xml:space="preserve">istoric Palestine, </w:t>
      </w:r>
      <w:r>
        <w:rPr>
          <w:rFonts w:asciiTheme="majorBidi" w:hAnsiTheme="majorBidi" w:cstheme="majorBidi"/>
          <w:b/>
          <w:bCs/>
        </w:rPr>
        <w:t>V</w:t>
      </w:r>
      <w:r w:rsidR="00303E3D">
        <w:rPr>
          <w:rFonts w:asciiTheme="majorBidi" w:hAnsiTheme="majorBidi" w:cstheme="majorBidi"/>
          <w:b/>
          <w:bCs/>
        </w:rPr>
        <w:t xml:space="preserve">arious </w:t>
      </w:r>
      <w:r>
        <w:rPr>
          <w:rFonts w:asciiTheme="majorBidi" w:hAnsiTheme="majorBidi" w:cstheme="majorBidi"/>
          <w:b/>
          <w:bCs/>
        </w:rPr>
        <w:t>Y</w:t>
      </w:r>
      <w:r w:rsidR="005E7F4C" w:rsidRPr="001E179A">
        <w:rPr>
          <w:rFonts w:asciiTheme="majorBidi" w:hAnsiTheme="majorBidi" w:cstheme="majorBidi"/>
          <w:b/>
          <w:bCs/>
        </w:rPr>
        <w:t>ears</w:t>
      </w:r>
    </w:p>
    <w:p w:rsidR="005E7F4C" w:rsidRPr="008C7D72" w:rsidRDefault="005E7F4C" w:rsidP="005E7F4C">
      <w:pPr>
        <w:pStyle w:val="NormalWeb"/>
        <w:bidi/>
        <w:jc w:val="both"/>
        <w:rPr>
          <w:rFonts w:ascii="Simplified Arabic" w:hAnsi="Simplified Arabic" w:cs="Simplified Arabic"/>
          <w:strike/>
          <w:rtl/>
        </w:rPr>
      </w:pPr>
      <w:r w:rsidRPr="008C7D72">
        <w:rPr>
          <w:rFonts w:ascii="Simplified Arabic" w:hAnsi="Simplified Arabic" w:cs="Simplified Arabic" w:hint="cs"/>
          <w:strike/>
          <w:noProof/>
          <w:rtl/>
          <w:lang w:eastAsia="en-US"/>
        </w:rPr>
        <w:drawing>
          <wp:inline distT="0" distB="0" distL="0" distR="0">
            <wp:extent cx="5495677" cy="2083242"/>
            <wp:effectExtent l="19050" t="0" r="9773"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7A18" w:rsidRPr="00D87A18" w:rsidRDefault="00D87A18" w:rsidP="00D87A18">
      <w:pPr>
        <w:jc w:val="center"/>
        <w:rPr>
          <w:rFonts w:asciiTheme="majorBidi" w:hAnsiTheme="majorBidi" w:cstheme="majorBidi"/>
          <w:b/>
          <w:bCs/>
        </w:rPr>
      </w:pPr>
      <w:r w:rsidRPr="00D87A18">
        <w:rPr>
          <w:rFonts w:asciiTheme="majorBidi" w:hAnsiTheme="majorBidi" w:cstheme="majorBidi"/>
          <w:b/>
          <w:bCs/>
        </w:rPr>
        <w:t>Palestinian Refugees Status</w:t>
      </w:r>
    </w:p>
    <w:p w:rsidR="007C51E0" w:rsidRDefault="005B2AB4" w:rsidP="00522248">
      <w:pPr>
        <w:rPr>
          <w:rFonts w:asciiTheme="majorBidi" w:hAnsiTheme="majorBidi" w:cstheme="majorBidi"/>
        </w:rPr>
      </w:pPr>
      <w:r>
        <w:rPr>
          <w:rFonts w:asciiTheme="majorBidi" w:hAnsiTheme="majorBidi" w:cstheme="majorBidi"/>
        </w:rPr>
        <w:t>Records of the United Nations Relief and Work Agency (UNRWA) reported on 1</w:t>
      </w:r>
      <w:r w:rsidRPr="005B2AB4">
        <w:rPr>
          <w:rFonts w:asciiTheme="majorBidi" w:hAnsiTheme="majorBidi" w:cstheme="majorBidi"/>
          <w:vertAlign w:val="superscript"/>
        </w:rPr>
        <w:t>st</w:t>
      </w:r>
      <w:r>
        <w:rPr>
          <w:rFonts w:asciiTheme="majorBidi" w:hAnsiTheme="majorBidi" w:cstheme="majorBidi"/>
        </w:rPr>
        <w:t xml:space="preserve"> January 2017 a total of 5.87 million Palestinian refugees, 28.4% of whom live in 58 camps (10 in Jordan, 9 in Syria, 12 in Lebanon, 19 in the West Bank and 8 in the Gaza Strip. Estimates however indicate that this is the minimum number of refugees since many of them are not registered. This </w:t>
      </w:r>
      <w:r w:rsidR="00522248">
        <w:rPr>
          <w:rFonts w:asciiTheme="majorBidi" w:hAnsiTheme="majorBidi" w:cstheme="majorBidi"/>
        </w:rPr>
        <w:t>number</w:t>
      </w:r>
      <w:r>
        <w:rPr>
          <w:rFonts w:asciiTheme="majorBidi" w:hAnsiTheme="majorBidi" w:cstheme="majorBidi"/>
        </w:rPr>
        <w:t xml:space="preserve"> does not include the Palestinians displaced in the period from 1949 till the six-day war in June 1967. </w:t>
      </w:r>
      <w:r w:rsidR="00460F9C">
        <w:rPr>
          <w:rFonts w:asciiTheme="majorBidi" w:hAnsiTheme="majorBidi" w:cstheme="majorBidi"/>
        </w:rPr>
        <w:t>The UNRWA definition of refugees does not cover the Palestinians who migrated or who were displaced after 1967 because of the war and who were not registered refugees.</w:t>
      </w:r>
    </w:p>
    <w:p w:rsidR="00694CB8" w:rsidRDefault="00694CB8" w:rsidP="00D87A18">
      <w:pPr>
        <w:rPr>
          <w:rFonts w:asciiTheme="majorBidi" w:hAnsiTheme="majorBidi" w:cstheme="majorBidi"/>
        </w:rPr>
      </w:pPr>
    </w:p>
    <w:p w:rsidR="00460F9C" w:rsidRPr="008C7D72" w:rsidRDefault="00460F9C" w:rsidP="00D87A18">
      <w:r>
        <w:rPr>
          <w:rFonts w:asciiTheme="majorBidi" w:hAnsiTheme="majorBidi" w:cstheme="majorBidi"/>
        </w:rPr>
        <w:t>On the other hand, the 2017 Population, Housing and Establishment Census showed that refugees represented 42.5% of the population of the State of Palestine.</w:t>
      </w:r>
    </w:p>
    <w:p w:rsidR="00211914" w:rsidRDefault="00211914">
      <w:pPr>
        <w:pStyle w:val="BodyTextIndent"/>
        <w:ind w:left="0"/>
        <w:jc w:val="center"/>
        <w:rPr>
          <w:b/>
          <w:bCs/>
        </w:rPr>
      </w:pPr>
    </w:p>
    <w:p w:rsidR="00AB3340" w:rsidRDefault="00903262">
      <w:pPr>
        <w:pStyle w:val="BodyTextIndent"/>
        <w:ind w:left="0"/>
        <w:jc w:val="center"/>
        <w:rPr>
          <w:b/>
          <w:bCs/>
        </w:rPr>
      </w:pPr>
      <w:r w:rsidRPr="008C7D72">
        <w:rPr>
          <w:b/>
          <w:bCs/>
        </w:rPr>
        <w:t xml:space="preserve">Population </w:t>
      </w:r>
      <w:r w:rsidR="00240D43" w:rsidRPr="008C7D72">
        <w:rPr>
          <w:b/>
          <w:bCs/>
        </w:rPr>
        <w:t>D</w:t>
      </w:r>
      <w:r w:rsidRPr="008C7D72">
        <w:rPr>
          <w:b/>
          <w:bCs/>
        </w:rPr>
        <w:t xml:space="preserve">ensity: Gaza </w:t>
      </w:r>
      <w:r w:rsidR="00E03348" w:rsidRPr="008C7D72">
        <w:rPr>
          <w:b/>
          <w:bCs/>
        </w:rPr>
        <w:t>Strip</w:t>
      </w:r>
      <w:r w:rsidR="00E03348">
        <w:rPr>
          <w:rFonts w:hint="cs"/>
          <w:b/>
          <w:bCs/>
          <w:rtl/>
        </w:rPr>
        <w:t xml:space="preserve"> </w:t>
      </w:r>
      <w:r w:rsidR="00E03348">
        <w:rPr>
          <w:b/>
          <w:bCs/>
        </w:rPr>
        <w:t>has one of the highest population densities</w:t>
      </w:r>
      <w:r w:rsidR="00CB7B50" w:rsidRPr="008C7D72">
        <w:rPr>
          <w:b/>
          <w:bCs/>
        </w:rPr>
        <w:t xml:space="preserve"> in the </w:t>
      </w:r>
      <w:r w:rsidR="00F8615F" w:rsidRPr="008C7D72">
        <w:rPr>
          <w:b/>
          <w:bCs/>
        </w:rPr>
        <w:t>world</w:t>
      </w:r>
    </w:p>
    <w:p w:rsidR="00AB3340" w:rsidRDefault="00903262" w:rsidP="001465B3">
      <w:pPr>
        <w:pStyle w:val="BodyTextIndent"/>
        <w:ind w:left="0"/>
        <w:jc w:val="both"/>
        <w:rPr>
          <w:rFonts w:asciiTheme="majorBidi" w:hAnsiTheme="majorBidi" w:cstheme="majorBidi"/>
        </w:rPr>
      </w:pPr>
      <w:r w:rsidRPr="008C7D72">
        <w:t xml:space="preserve">The population density in </w:t>
      </w:r>
      <w:r w:rsidR="002A2F22">
        <w:rPr>
          <w:rFonts w:asciiTheme="majorBidi" w:hAnsiTheme="majorBidi" w:cstheme="majorBidi"/>
        </w:rPr>
        <w:t>S</w:t>
      </w:r>
      <w:r w:rsidR="006A06E8">
        <w:rPr>
          <w:rFonts w:asciiTheme="majorBidi" w:hAnsiTheme="majorBidi" w:cstheme="majorBidi"/>
        </w:rPr>
        <w:t xml:space="preserve">tate </w:t>
      </w:r>
      <w:r w:rsidR="006A06E8">
        <w:t xml:space="preserve">of </w:t>
      </w:r>
      <w:r w:rsidR="00497781" w:rsidRPr="008C7D72">
        <w:t>Palestine</w:t>
      </w:r>
      <w:r w:rsidRPr="008C7D72">
        <w:t xml:space="preserve"> at </w:t>
      </w:r>
      <w:r w:rsidR="00CA5C29" w:rsidRPr="008C7D72">
        <w:t xml:space="preserve">the </w:t>
      </w:r>
      <w:r w:rsidRPr="008C7D72">
        <w:t xml:space="preserve">end of </w:t>
      </w:r>
      <w:r w:rsidR="005832AD" w:rsidRPr="008C7D72">
        <w:t>2017</w:t>
      </w:r>
      <w:r w:rsidRPr="008C7D72">
        <w:t xml:space="preserve"> </w:t>
      </w:r>
      <w:r w:rsidR="00CA5C29" w:rsidRPr="008C7D72">
        <w:t>was</w:t>
      </w:r>
      <w:r w:rsidRPr="008C7D72">
        <w:t xml:space="preserve"> </w:t>
      </w:r>
      <w:r w:rsidR="005832AD" w:rsidRPr="008C7D72">
        <w:t>794</w:t>
      </w:r>
      <w:r w:rsidRPr="008C7D72">
        <w:t xml:space="preserve"> individuals</w:t>
      </w:r>
      <w:r w:rsidR="00CA5C29" w:rsidRPr="008C7D72">
        <w:t xml:space="preserve"> per square kilometer</w:t>
      </w:r>
      <w:r w:rsidR="00CA5C29" w:rsidRPr="008C7D72">
        <w:rPr>
          <w:rFonts w:asciiTheme="majorBidi" w:hAnsiTheme="majorBidi" w:cstheme="majorBidi"/>
        </w:rPr>
        <w:t xml:space="preserve"> (</w:t>
      </w:r>
      <w:r w:rsidRPr="008C7D72">
        <w:rPr>
          <w:rFonts w:asciiTheme="majorBidi" w:hAnsiTheme="majorBidi" w:cstheme="majorBidi"/>
        </w:rPr>
        <w:t>km</w:t>
      </w:r>
      <w:r w:rsidRPr="008C7D72">
        <w:rPr>
          <w:rFonts w:asciiTheme="majorBidi" w:hAnsiTheme="majorBidi" w:cstheme="majorBidi"/>
          <w:vertAlign w:val="superscript"/>
        </w:rPr>
        <w:t>2</w:t>
      </w:r>
      <w:r w:rsidR="00CA5C29" w:rsidRPr="008C7D72">
        <w:rPr>
          <w:rFonts w:asciiTheme="majorBidi" w:hAnsiTheme="majorBidi" w:cstheme="majorBidi"/>
        </w:rPr>
        <w:t>):</w:t>
      </w:r>
      <w:r w:rsidRPr="008C7D72">
        <w:rPr>
          <w:rFonts w:asciiTheme="majorBidi" w:hAnsiTheme="majorBidi" w:cstheme="majorBidi"/>
        </w:rPr>
        <w:t xml:space="preserve"> </w:t>
      </w:r>
      <w:r w:rsidR="005832AD" w:rsidRPr="008C7D72">
        <w:rPr>
          <w:rFonts w:asciiTheme="majorBidi" w:hAnsiTheme="majorBidi" w:cstheme="majorBidi"/>
        </w:rPr>
        <w:t>509</w:t>
      </w:r>
      <w:r w:rsidRPr="008C7D72">
        <w:rPr>
          <w:rFonts w:asciiTheme="majorBidi" w:hAnsiTheme="majorBidi" w:cstheme="majorBidi"/>
        </w:rPr>
        <w:t xml:space="preserve"> individuals/km</w:t>
      </w:r>
      <w:r w:rsidRPr="008C7D72">
        <w:rPr>
          <w:rFonts w:asciiTheme="majorBidi" w:hAnsiTheme="majorBidi" w:cstheme="majorBidi"/>
          <w:vertAlign w:val="superscript"/>
        </w:rPr>
        <w:t>2</w:t>
      </w:r>
      <w:r w:rsidRPr="008C7D72">
        <w:rPr>
          <w:rFonts w:asciiTheme="majorBidi" w:hAnsiTheme="majorBidi" w:cstheme="majorBidi"/>
        </w:rPr>
        <w:t xml:space="preserve"> in the West Bank and </w:t>
      </w:r>
      <w:r w:rsidR="00EA1323" w:rsidRPr="008C7D72">
        <w:rPr>
          <w:rFonts w:asciiTheme="majorBidi" w:hAnsiTheme="majorBidi" w:cstheme="majorBidi"/>
        </w:rPr>
        <w:t>5</w:t>
      </w:r>
      <w:r w:rsidRPr="008C7D72">
        <w:rPr>
          <w:rFonts w:asciiTheme="majorBidi" w:hAnsiTheme="majorBidi" w:cstheme="majorBidi"/>
        </w:rPr>
        <w:t>,</w:t>
      </w:r>
      <w:r w:rsidR="005832AD" w:rsidRPr="008C7D72">
        <w:rPr>
          <w:rFonts w:asciiTheme="majorBidi" w:hAnsiTheme="majorBidi" w:cstheme="majorBidi"/>
        </w:rPr>
        <w:t>203</w:t>
      </w:r>
      <w:r w:rsidRPr="008C7D72">
        <w:rPr>
          <w:rFonts w:asciiTheme="majorBidi" w:hAnsiTheme="majorBidi" w:cstheme="majorBidi"/>
        </w:rPr>
        <w:t xml:space="preserve"> individuals/km</w:t>
      </w:r>
      <w:r w:rsidRPr="008C7D72">
        <w:rPr>
          <w:rFonts w:asciiTheme="majorBidi" w:hAnsiTheme="majorBidi" w:cstheme="majorBidi"/>
          <w:vertAlign w:val="superscript"/>
        </w:rPr>
        <w:t>2</w:t>
      </w:r>
      <w:r w:rsidRPr="008C7D72">
        <w:rPr>
          <w:rFonts w:asciiTheme="majorBidi" w:hAnsiTheme="majorBidi" w:cstheme="majorBidi"/>
        </w:rPr>
        <w:t xml:space="preserve"> </w:t>
      </w:r>
      <w:r w:rsidR="00875117" w:rsidRPr="008C7D72">
        <w:rPr>
          <w:rFonts w:asciiTheme="majorBidi" w:hAnsiTheme="majorBidi" w:cstheme="majorBidi"/>
        </w:rPr>
        <w:t>in Gaza</w:t>
      </w:r>
      <w:r w:rsidR="00334530">
        <w:rPr>
          <w:rFonts w:asciiTheme="majorBidi" w:hAnsiTheme="majorBidi" w:cstheme="majorBidi"/>
        </w:rPr>
        <w:t xml:space="preserve"> Strip</w:t>
      </w:r>
      <w:r w:rsidR="001465B3">
        <w:rPr>
          <w:rFonts w:asciiTheme="majorBidi" w:hAnsiTheme="majorBidi" w:cstheme="majorBidi"/>
        </w:rPr>
        <w:t>,</w:t>
      </w:r>
      <w:r w:rsidR="00460F9C">
        <w:rPr>
          <w:rFonts w:asciiTheme="majorBidi" w:hAnsiTheme="majorBidi" w:cstheme="majorBidi"/>
        </w:rPr>
        <w:t xml:space="preserve"> noting that</w:t>
      </w:r>
      <w:r w:rsidR="001465B3">
        <w:rPr>
          <w:rFonts w:asciiTheme="majorBidi" w:hAnsiTheme="majorBidi" w:cstheme="majorBidi"/>
        </w:rPr>
        <w:t xml:space="preserve"> </w:t>
      </w:r>
      <w:r w:rsidR="001465B3" w:rsidRPr="008C7D72">
        <w:rPr>
          <w:rFonts w:asciiTheme="majorBidi" w:hAnsiTheme="majorBidi" w:cstheme="majorBidi"/>
        </w:rPr>
        <w:t>66% of the total population</w:t>
      </w:r>
      <w:r w:rsidR="001465B3">
        <w:rPr>
          <w:rFonts w:asciiTheme="majorBidi" w:hAnsiTheme="majorBidi" w:cstheme="majorBidi"/>
        </w:rPr>
        <w:t xml:space="preserve"> of </w:t>
      </w:r>
      <w:r w:rsidR="001465B3" w:rsidRPr="008C7D72">
        <w:rPr>
          <w:rFonts w:asciiTheme="majorBidi" w:hAnsiTheme="majorBidi" w:cstheme="majorBidi"/>
        </w:rPr>
        <w:t>Gaza Strip</w:t>
      </w:r>
      <w:r w:rsidR="001465B3" w:rsidRPr="001465B3">
        <w:rPr>
          <w:rFonts w:asciiTheme="majorBidi" w:hAnsiTheme="majorBidi" w:cstheme="majorBidi"/>
        </w:rPr>
        <w:t xml:space="preserve"> </w:t>
      </w:r>
      <w:r w:rsidR="001465B3">
        <w:rPr>
          <w:rFonts w:asciiTheme="majorBidi" w:hAnsiTheme="majorBidi" w:cstheme="majorBidi"/>
        </w:rPr>
        <w:t xml:space="preserve">are </w:t>
      </w:r>
      <w:r w:rsidR="001465B3" w:rsidRPr="008C7D72">
        <w:rPr>
          <w:rFonts w:asciiTheme="majorBidi" w:hAnsiTheme="majorBidi" w:cstheme="majorBidi"/>
        </w:rPr>
        <w:t>refugees</w:t>
      </w:r>
      <w:r w:rsidR="00334530">
        <w:rPr>
          <w:rFonts w:asciiTheme="majorBidi" w:hAnsiTheme="majorBidi" w:cstheme="majorBidi"/>
        </w:rPr>
        <w:t>.</w:t>
      </w:r>
      <w:r w:rsidR="00460F9C">
        <w:rPr>
          <w:rFonts w:asciiTheme="majorBidi" w:hAnsiTheme="majorBidi" w:cstheme="majorBidi"/>
        </w:rPr>
        <w:t xml:space="preserve"> The flux of refugees turned the Gaza Strip in one of the highest population densities in the world.</w:t>
      </w:r>
    </w:p>
    <w:p w:rsidR="001E179A" w:rsidRDefault="001E179A" w:rsidP="005832AD">
      <w:pPr>
        <w:pStyle w:val="BodyTextIndent"/>
        <w:ind w:left="0"/>
        <w:jc w:val="center"/>
        <w:rPr>
          <w:b/>
          <w:bCs/>
        </w:rPr>
      </w:pPr>
    </w:p>
    <w:p w:rsidR="004A7C4E" w:rsidRDefault="004A7C4E" w:rsidP="005832AD">
      <w:pPr>
        <w:pStyle w:val="BodyTextIndent"/>
        <w:ind w:left="0"/>
        <w:jc w:val="center"/>
        <w:rPr>
          <w:b/>
          <w:bCs/>
        </w:rPr>
      </w:pPr>
    </w:p>
    <w:p w:rsidR="004A7C4E" w:rsidRDefault="004A7C4E" w:rsidP="005832AD">
      <w:pPr>
        <w:pStyle w:val="BodyTextIndent"/>
        <w:ind w:left="0"/>
        <w:jc w:val="center"/>
        <w:rPr>
          <w:b/>
          <w:bCs/>
        </w:rPr>
      </w:pPr>
    </w:p>
    <w:p w:rsidR="004A7C4E" w:rsidRDefault="004A7C4E" w:rsidP="005832AD">
      <w:pPr>
        <w:pStyle w:val="BodyTextIndent"/>
        <w:ind w:left="0"/>
        <w:jc w:val="center"/>
        <w:rPr>
          <w:b/>
          <w:bCs/>
        </w:rPr>
      </w:pPr>
    </w:p>
    <w:p w:rsidR="005832AD" w:rsidRPr="008C7D72" w:rsidRDefault="005832AD" w:rsidP="005832AD">
      <w:pPr>
        <w:pStyle w:val="BodyTextIndent"/>
        <w:ind w:left="0"/>
        <w:jc w:val="center"/>
        <w:rPr>
          <w:b/>
          <w:bCs/>
        </w:rPr>
      </w:pPr>
      <w:r w:rsidRPr="008C7D72">
        <w:rPr>
          <w:b/>
          <w:bCs/>
        </w:rPr>
        <w:t>Israeli Settlements: Continuous Expansion</w:t>
      </w:r>
    </w:p>
    <w:p w:rsidR="00AB3340" w:rsidRDefault="005832AD" w:rsidP="00682AA8">
      <w:pPr>
        <w:pStyle w:val="BodyTextIndent2"/>
        <w:spacing w:after="0" w:line="240" w:lineRule="auto"/>
        <w:ind w:left="0"/>
      </w:pPr>
      <w:r w:rsidRPr="008C7D72">
        <w:t xml:space="preserve">There were 425 Israeli Occupation settlements and military bases in the West Bank (including 150 settlements and 107 </w:t>
      </w:r>
      <w:r w:rsidRPr="00FB5A15">
        <w:t>outposts</w:t>
      </w:r>
      <w:r w:rsidRPr="008C7D72">
        <w:t xml:space="preserve">) by the end of </w:t>
      </w:r>
      <w:r w:rsidRPr="008C7D72">
        <w:rPr>
          <w:rFonts w:hint="cs"/>
          <w:rtl/>
        </w:rPr>
        <w:t>201</w:t>
      </w:r>
      <w:r w:rsidR="00682AA8">
        <w:t>6</w:t>
      </w:r>
      <w:r w:rsidRPr="008C7D72">
        <w:rPr>
          <w:rFonts w:asciiTheme="majorBidi" w:hAnsiTheme="majorBidi" w:cstheme="majorBidi"/>
        </w:rPr>
        <w:t>.</w:t>
      </w:r>
      <w:r w:rsidRPr="008C7D72">
        <w:rPr>
          <w:rFonts w:asciiTheme="majorBidi" w:hAnsiTheme="majorBidi" w:cstheme="majorBidi"/>
          <w:sz w:val="22"/>
          <w:szCs w:val="22"/>
        </w:rPr>
        <w:t xml:space="preserve"> </w:t>
      </w:r>
      <w:r w:rsidR="009A4880">
        <w:rPr>
          <w:sz w:val="22"/>
          <w:szCs w:val="22"/>
        </w:rPr>
        <w:t xml:space="preserve"> </w:t>
      </w:r>
      <w:r w:rsidRPr="008C7D72">
        <w:rPr>
          <w:sz w:val="22"/>
          <w:szCs w:val="22"/>
        </w:rPr>
        <w:t>Data</w:t>
      </w:r>
      <w:r w:rsidRPr="008C7D72">
        <w:t xml:space="preserve"> indicated that the total number of settlers in the West Bank was </w:t>
      </w:r>
      <w:r w:rsidRPr="008C7D72">
        <w:rPr>
          <w:rFonts w:cs="Simplified Arabic"/>
        </w:rPr>
        <w:t>636,452 by</w:t>
      </w:r>
      <w:r w:rsidRPr="008C7D72">
        <w:t xml:space="preserve"> the end of 2016,</w:t>
      </w:r>
      <w:r w:rsidRPr="008C7D72">
        <w:rPr>
          <w:rFonts w:hint="cs"/>
          <w:rtl/>
        </w:rPr>
        <w:t xml:space="preserve"> </w:t>
      </w:r>
      <w:r w:rsidRPr="008C7D72">
        <w:t xml:space="preserve">302,188 </w:t>
      </w:r>
      <w:r w:rsidR="0055724C">
        <w:t xml:space="preserve">(47.5%), </w:t>
      </w:r>
      <w:r w:rsidRPr="008C7D72">
        <w:t xml:space="preserve">of </w:t>
      </w:r>
      <w:r w:rsidR="00334530">
        <w:t>them</w:t>
      </w:r>
      <w:r w:rsidRPr="008C7D72">
        <w:t xml:space="preserve"> lived in Jerusalem Governorate, </w:t>
      </w:r>
      <w:r w:rsidR="00682AA8">
        <w:t xml:space="preserve">including </w:t>
      </w:r>
      <w:r w:rsidRPr="008C7D72">
        <w:t xml:space="preserve">222,325 of them </w:t>
      </w:r>
      <w:r w:rsidR="00334530">
        <w:t>lived</w:t>
      </w:r>
      <w:r w:rsidRPr="008C7D72">
        <w:t xml:space="preserve"> in </w:t>
      </w:r>
      <w:r w:rsidRPr="008C7D72">
        <w:rPr>
          <w:lang w:val="en-GB"/>
        </w:rPr>
        <w:t>Jerusalem</w:t>
      </w:r>
      <w:r w:rsidRPr="008C7D72">
        <w:t xml:space="preserve"> </w:t>
      </w:r>
      <w:r w:rsidRPr="008C7D72">
        <w:rPr>
          <w:lang w:val="en-GB"/>
        </w:rPr>
        <w:t>J1</w:t>
      </w:r>
      <w:r w:rsidRPr="008C7D72">
        <w:t xml:space="preserve"> (</w:t>
      </w:r>
      <w:r w:rsidR="00062566" w:rsidRPr="00062566">
        <w:t>those parts of Jerusalem which were annexed by Israeli Occupation in 1967</w:t>
      </w:r>
      <w:r w:rsidRPr="008C7D72">
        <w:rPr>
          <w:lang w:val="en-GB"/>
        </w:rPr>
        <w:t>)</w:t>
      </w:r>
      <w:r w:rsidRPr="008C7D72">
        <w:t>.</w:t>
      </w:r>
      <w:r w:rsidRPr="008C7D72">
        <w:rPr>
          <w:sz w:val="40"/>
          <w:szCs w:val="40"/>
        </w:rPr>
        <w:t xml:space="preserve"> </w:t>
      </w:r>
      <w:r w:rsidRPr="008C7D72">
        <w:t>In demographic terms, the proportion of settlers to the Palestinian population in the West Bank is around 21.</w:t>
      </w:r>
      <w:r w:rsidR="001465B3">
        <w:t>8</w:t>
      </w:r>
      <w:r w:rsidRPr="008C7D72">
        <w:t xml:space="preserve"> settlers per 100 Palestinians compared with </w:t>
      </w:r>
      <w:r w:rsidR="001465B3">
        <w:t>68.3</w:t>
      </w:r>
      <w:r w:rsidRPr="008C7D72">
        <w:t xml:space="preserve"> settlers per 100 Palestinians in Jerusalem Governorate.</w:t>
      </w:r>
    </w:p>
    <w:p w:rsidR="009A4880" w:rsidRDefault="009A4880" w:rsidP="001465B3">
      <w:pPr>
        <w:pStyle w:val="BodyTextIndent2"/>
        <w:spacing w:after="0" w:line="240" w:lineRule="auto"/>
        <w:ind w:left="0"/>
      </w:pPr>
    </w:p>
    <w:p w:rsidR="009A4880" w:rsidRPr="009A4880" w:rsidRDefault="009A4880" w:rsidP="009A4880">
      <w:pPr>
        <w:pStyle w:val="BodyTextIndent2"/>
        <w:spacing w:after="0" w:line="240" w:lineRule="auto"/>
        <w:ind w:left="0"/>
      </w:pPr>
      <w:r w:rsidRPr="009A4880">
        <w:t>The data indicate</w:t>
      </w:r>
      <w:r w:rsidR="00682AA8">
        <w:t>d</w:t>
      </w:r>
      <w:r w:rsidRPr="009A4880">
        <w:t xml:space="preserve"> that the Expansion and Annexation Wall isolates more than 12% of the West Bank area, this imposed restrictions on 1.9 million </w:t>
      </w:r>
      <w:r>
        <w:t>inhabitant</w:t>
      </w:r>
      <w:r w:rsidRPr="009A4880">
        <w:t xml:space="preserve"> living in areas close to the wall and / or settlements, around </w:t>
      </w:r>
      <w:r>
        <w:t>400 thousand</w:t>
      </w:r>
      <w:r w:rsidRPr="009A4880">
        <w:t xml:space="preserve"> </w:t>
      </w:r>
      <w:r>
        <w:t>inhabitant</w:t>
      </w:r>
      <w:r w:rsidRPr="009A4880">
        <w:t xml:space="preserve"> live in Area "C"</w:t>
      </w:r>
    </w:p>
    <w:p w:rsidR="009A4880" w:rsidRDefault="009A4880" w:rsidP="009A4880">
      <w:pPr>
        <w:pStyle w:val="BodyTextIndent2"/>
        <w:spacing w:after="0" w:line="240" w:lineRule="auto"/>
        <w:ind w:left="0"/>
      </w:pPr>
    </w:p>
    <w:p w:rsidR="009A4880" w:rsidRDefault="009A4880" w:rsidP="009A48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12121"/>
          <w:sz w:val="20"/>
          <w:szCs w:val="20"/>
        </w:rPr>
      </w:pPr>
    </w:p>
    <w:p w:rsidR="005832AD" w:rsidRPr="008C7D72" w:rsidRDefault="00E942C0" w:rsidP="005832AD">
      <w:pPr>
        <w:pStyle w:val="BodyTextIndent"/>
        <w:ind w:left="0"/>
        <w:jc w:val="center"/>
        <w:rPr>
          <w:b/>
          <w:bCs/>
        </w:rPr>
      </w:pPr>
      <w:r>
        <w:rPr>
          <w:b/>
          <w:bCs/>
        </w:rPr>
        <w:t>Jerusalem: The Occupation Demolishes Over a Hundred Buildings a Year</w:t>
      </w:r>
    </w:p>
    <w:p w:rsidR="005832AD" w:rsidRPr="008C7D72" w:rsidRDefault="00E942C0" w:rsidP="00E942C0">
      <w:pPr>
        <w:pStyle w:val="BodyTextIndent"/>
        <w:ind w:left="0"/>
      </w:pPr>
      <w:r>
        <w:t>In 2017, the</w:t>
      </w:r>
      <w:r w:rsidR="005832AD" w:rsidRPr="008C7D72">
        <w:t xml:space="preserve"> Israeli occupation demolished 433 buildings</w:t>
      </w:r>
      <w:r w:rsidR="0055724C">
        <w:t xml:space="preserve"> </w:t>
      </w:r>
      <w:r w:rsidR="0055724C" w:rsidRPr="008C7D72">
        <w:t>(houses and establishments),</w:t>
      </w:r>
      <w:r w:rsidR="005832AD" w:rsidRPr="008C7D72">
        <w:t xml:space="preserve"> </w:t>
      </w:r>
      <w:r w:rsidR="0055724C">
        <w:t xml:space="preserve">46% of them in Jerusalem </w:t>
      </w:r>
      <w:r w:rsidR="0055724C" w:rsidRPr="008C7D72">
        <w:t>in 2017</w:t>
      </w:r>
      <w:r w:rsidR="0055724C">
        <w:t xml:space="preserve">. Demolished houses include 170 </w:t>
      </w:r>
      <w:r w:rsidR="008B302D">
        <w:t>building</w:t>
      </w:r>
      <w:r w:rsidR="0055724C">
        <w:t xml:space="preserve"> </w:t>
      </w:r>
      <w:r w:rsidR="008B302D">
        <w:t xml:space="preserve">house (148 of them in Jerusalem), </w:t>
      </w:r>
      <w:r w:rsidR="0055724C">
        <w:t>and 263 establishment</w:t>
      </w:r>
      <w:r w:rsidR="00E03348">
        <w:t>s</w:t>
      </w:r>
      <w:r w:rsidR="008B302D">
        <w:t>,</w:t>
      </w:r>
      <w:r w:rsidR="0055724C" w:rsidRPr="008C7D72">
        <w:t xml:space="preserve"> </w:t>
      </w:r>
      <w:r w:rsidR="005832AD" w:rsidRPr="008C7D72">
        <w:t>forcibly displacing</w:t>
      </w:r>
      <w:r w:rsidR="008B302D">
        <w:t xml:space="preserve"> 128 household</w:t>
      </w:r>
      <w:r>
        <w:t>s</w:t>
      </w:r>
      <w:r w:rsidR="008B302D">
        <w:t xml:space="preserve"> (</w:t>
      </w:r>
      <w:r w:rsidR="005832AD" w:rsidRPr="008C7D72">
        <w:t>700 persons</w:t>
      </w:r>
      <w:r w:rsidR="008B302D">
        <w:t>)</w:t>
      </w:r>
      <w:r w:rsidR="005832AD" w:rsidRPr="008C7D72">
        <w:t xml:space="preserve"> in the West Bank and East Jerusalem, half of </w:t>
      </w:r>
      <w:r w:rsidR="00C3574A">
        <w:t>them</w:t>
      </w:r>
      <w:r w:rsidR="005832AD" w:rsidRPr="008C7D72">
        <w:t xml:space="preserve"> are children. They also threatened to demolish 1,030 buildings in 2017, at a time when the needs of housing units for Palestinians increase. In figures, about 61% of households in Palestine need to build new housing units over the next decade according to the data of housing conditions </w:t>
      </w:r>
      <w:r w:rsidR="00C3574A" w:rsidRPr="008C7D72">
        <w:t xml:space="preserve">survey </w:t>
      </w:r>
      <w:r w:rsidR="005832AD" w:rsidRPr="008C7D72">
        <w:t>2015</w:t>
      </w:r>
      <w:r w:rsidR="00B3116F" w:rsidRPr="008C7D72">
        <w:t xml:space="preserve"> (</w:t>
      </w:r>
      <w:r w:rsidR="00B3116F" w:rsidRPr="00C55D30">
        <w:t>one residential unit or more),</w:t>
      </w:r>
      <w:r w:rsidR="00B3116F" w:rsidRPr="008C7D72">
        <w:t xml:space="preserve"> </w:t>
      </w:r>
      <w:r w:rsidR="00B3116F" w:rsidRPr="008C7D72">
        <w:rPr>
          <w:rFonts w:asciiTheme="majorBidi" w:hAnsiTheme="majorBidi" w:cstheme="majorBidi"/>
        </w:rPr>
        <w:t xml:space="preserve">The demolition of the buildings resulted in large economic losses with a value of about 300 </w:t>
      </w:r>
      <w:r w:rsidR="00B93953">
        <w:rPr>
          <w:rFonts w:asciiTheme="majorBidi" w:hAnsiTheme="majorBidi" w:cstheme="majorBidi"/>
        </w:rPr>
        <w:t>US</w:t>
      </w:r>
      <w:r w:rsidR="00B3116F" w:rsidRPr="008C7D72">
        <w:rPr>
          <w:rFonts w:asciiTheme="majorBidi" w:hAnsiTheme="majorBidi" w:cstheme="majorBidi"/>
        </w:rPr>
        <w:t xml:space="preserve"> dollars per square meters, meaning that the losses of Palestinians in Jerusalem amounted to about 51 million </w:t>
      </w:r>
      <w:r w:rsidR="00B93953">
        <w:rPr>
          <w:rFonts w:asciiTheme="majorBidi" w:hAnsiTheme="majorBidi" w:cstheme="majorBidi"/>
        </w:rPr>
        <w:t>US</w:t>
      </w:r>
      <w:r w:rsidR="00B93953" w:rsidRPr="008C7D72">
        <w:rPr>
          <w:rFonts w:asciiTheme="majorBidi" w:hAnsiTheme="majorBidi" w:cstheme="majorBidi"/>
        </w:rPr>
        <w:t xml:space="preserve"> </w:t>
      </w:r>
      <w:r w:rsidR="00B3116F" w:rsidRPr="008C7D72">
        <w:rPr>
          <w:rFonts w:asciiTheme="majorBidi" w:hAnsiTheme="majorBidi" w:cstheme="majorBidi"/>
        </w:rPr>
        <w:t>dollars during the years 2000-2017.</w:t>
      </w:r>
    </w:p>
    <w:p w:rsidR="00522248" w:rsidRDefault="00522248" w:rsidP="005832AD">
      <w:pPr>
        <w:pStyle w:val="BodyTextIndent"/>
        <w:ind w:left="0"/>
        <w:jc w:val="center"/>
        <w:rPr>
          <w:b/>
          <w:bCs/>
        </w:rPr>
      </w:pPr>
    </w:p>
    <w:p w:rsidR="005832AD" w:rsidRPr="008C7D72" w:rsidRDefault="005832AD" w:rsidP="005832AD">
      <w:pPr>
        <w:pStyle w:val="BodyTextIndent"/>
        <w:ind w:left="0"/>
        <w:jc w:val="center"/>
        <w:rPr>
          <w:b/>
          <w:bCs/>
        </w:rPr>
      </w:pPr>
      <w:r w:rsidRPr="008C7D72">
        <w:rPr>
          <w:b/>
          <w:bCs/>
        </w:rPr>
        <w:t>Indicators of Housing Demolished in Jerusalem 2000 - 2017</w:t>
      </w:r>
    </w:p>
    <w:tbl>
      <w:tblPr>
        <w:tblStyle w:val="TableGrid"/>
        <w:tblW w:w="0" w:type="auto"/>
        <w:jc w:val="center"/>
        <w:tblLook w:val="04A0"/>
      </w:tblPr>
      <w:tblGrid>
        <w:gridCol w:w="5406"/>
        <w:gridCol w:w="1141"/>
      </w:tblGrid>
      <w:tr w:rsidR="005832AD" w:rsidRPr="008C7D72" w:rsidTr="001465B3">
        <w:trPr>
          <w:trHeight w:val="504"/>
          <w:jc w:val="center"/>
        </w:trPr>
        <w:tc>
          <w:tcPr>
            <w:tcW w:w="5406" w:type="dxa"/>
          </w:tcPr>
          <w:p w:rsidR="005832AD" w:rsidRPr="008C7D72" w:rsidRDefault="005832AD" w:rsidP="005832AD">
            <w:pPr>
              <w:pStyle w:val="BodyTextIndent"/>
              <w:ind w:left="0"/>
              <w:jc w:val="center"/>
            </w:pPr>
            <w:r w:rsidRPr="008C7D72">
              <w:rPr>
                <w:b/>
                <w:bCs/>
              </w:rPr>
              <w:t>Indicator</w:t>
            </w:r>
          </w:p>
        </w:tc>
        <w:tc>
          <w:tcPr>
            <w:tcW w:w="1141" w:type="dxa"/>
          </w:tcPr>
          <w:p w:rsidR="005832AD" w:rsidRPr="008C7D72" w:rsidRDefault="005832AD" w:rsidP="005832AD">
            <w:pPr>
              <w:pStyle w:val="BodyTextIndent"/>
              <w:ind w:left="0"/>
              <w:jc w:val="center"/>
              <w:rPr>
                <w:b/>
                <w:bCs/>
              </w:rPr>
            </w:pPr>
            <w:r w:rsidRPr="008C7D72">
              <w:rPr>
                <w:b/>
                <w:bCs/>
              </w:rPr>
              <w:t>Value</w:t>
            </w:r>
          </w:p>
        </w:tc>
      </w:tr>
      <w:tr w:rsidR="005832AD" w:rsidRPr="008C7D72" w:rsidTr="001465B3">
        <w:trPr>
          <w:trHeight w:val="345"/>
          <w:jc w:val="center"/>
        </w:trPr>
        <w:tc>
          <w:tcPr>
            <w:tcW w:w="5406" w:type="dxa"/>
            <w:tcMar>
              <w:left w:w="57" w:type="dxa"/>
              <w:right w:w="57" w:type="dxa"/>
            </w:tcMar>
            <w:vAlign w:val="center"/>
          </w:tcPr>
          <w:p w:rsidR="005832AD" w:rsidRPr="008C7D72" w:rsidRDefault="005832AD" w:rsidP="001465B3">
            <w:pPr>
              <w:pStyle w:val="BodyTextIndent"/>
              <w:spacing w:after="0"/>
              <w:ind w:left="0"/>
              <w:jc w:val="left"/>
              <w:rPr>
                <w:sz w:val="22"/>
                <w:szCs w:val="22"/>
              </w:rPr>
            </w:pPr>
            <w:r w:rsidRPr="008C7D72">
              <w:rPr>
                <w:sz w:val="22"/>
                <w:szCs w:val="22"/>
              </w:rPr>
              <w:t>Number of houses Demolished</w:t>
            </w:r>
          </w:p>
        </w:tc>
        <w:tc>
          <w:tcPr>
            <w:tcW w:w="1141" w:type="dxa"/>
            <w:vAlign w:val="center"/>
          </w:tcPr>
          <w:p w:rsidR="005832AD" w:rsidRPr="008C7D72" w:rsidRDefault="005832AD" w:rsidP="001465B3">
            <w:pPr>
              <w:pStyle w:val="BodyTextIndent"/>
              <w:spacing w:after="0"/>
              <w:ind w:left="0"/>
              <w:jc w:val="right"/>
            </w:pPr>
            <w:r w:rsidRPr="008C7D72">
              <w:t>1,706</w:t>
            </w:r>
          </w:p>
        </w:tc>
      </w:tr>
      <w:tr w:rsidR="005832AD" w:rsidRPr="008C7D72" w:rsidTr="001465B3">
        <w:trPr>
          <w:trHeight w:val="345"/>
          <w:jc w:val="center"/>
        </w:trPr>
        <w:tc>
          <w:tcPr>
            <w:tcW w:w="5406" w:type="dxa"/>
            <w:tcMar>
              <w:left w:w="57" w:type="dxa"/>
              <w:right w:w="57" w:type="dxa"/>
            </w:tcMar>
            <w:vAlign w:val="center"/>
          </w:tcPr>
          <w:p w:rsidR="005832AD" w:rsidRPr="008C7D72" w:rsidRDefault="005832AD" w:rsidP="001465B3">
            <w:pPr>
              <w:pStyle w:val="BodyTextIndent"/>
              <w:spacing w:after="0"/>
              <w:ind w:left="0"/>
              <w:jc w:val="left"/>
              <w:rPr>
                <w:sz w:val="22"/>
                <w:szCs w:val="22"/>
              </w:rPr>
            </w:pPr>
            <w:r w:rsidRPr="008C7D72">
              <w:rPr>
                <w:sz w:val="22"/>
                <w:szCs w:val="22"/>
              </w:rPr>
              <w:t>Area of houses Demolished (1,000 m</w:t>
            </w:r>
            <w:r w:rsidRPr="008C7D72">
              <w:rPr>
                <w:sz w:val="22"/>
                <w:szCs w:val="22"/>
                <w:vertAlign w:val="superscript"/>
              </w:rPr>
              <w:t>2</w:t>
            </w:r>
            <w:r w:rsidRPr="008C7D72">
              <w:rPr>
                <w:sz w:val="22"/>
                <w:szCs w:val="22"/>
              </w:rPr>
              <w:t>)</w:t>
            </w:r>
          </w:p>
        </w:tc>
        <w:tc>
          <w:tcPr>
            <w:tcW w:w="1141" w:type="dxa"/>
            <w:vAlign w:val="center"/>
          </w:tcPr>
          <w:p w:rsidR="005832AD" w:rsidRPr="008C7D72" w:rsidRDefault="005832AD" w:rsidP="001465B3">
            <w:pPr>
              <w:pStyle w:val="BodyTextIndent"/>
              <w:spacing w:after="0"/>
              <w:ind w:left="0"/>
              <w:jc w:val="right"/>
            </w:pPr>
            <w:r w:rsidRPr="008C7D72">
              <w:t>171</w:t>
            </w:r>
          </w:p>
        </w:tc>
      </w:tr>
      <w:tr w:rsidR="005832AD" w:rsidRPr="008C7D72" w:rsidTr="001465B3">
        <w:trPr>
          <w:trHeight w:val="345"/>
          <w:jc w:val="center"/>
        </w:trPr>
        <w:tc>
          <w:tcPr>
            <w:tcW w:w="5406" w:type="dxa"/>
            <w:tcMar>
              <w:left w:w="57" w:type="dxa"/>
              <w:right w:w="57" w:type="dxa"/>
            </w:tcMar>
            <w:vAlign w:val="center"/>
          </w:tcPr>
          <w:p w:rsidR="005832AD" w:rsidRPr="008C7D72" w:rsidRDefault="005832AD" w:rsidP="001465B3">
            <w:pPr>
              <w:pStyle w:val="BodyTextIndent"/>
              <w:spacing w:after="0"/>
              <w:ind w:left="0"/>
              <w:jc w:val="left"/>
              <w:rPr>
                <w:sz w:val="22"/>
                <w:szCs w:val="22"/>
              </w:rPr>
            </w:pPr>
            <w:r w:rsidRPr="008C7D72">
              <w:rPr>
                <w:sz w:val="22"/>
                <w:szCs w:val="22"/>
              </w:rPr>
              <w:t xml:space="preserve">Number of persons </w:t>
            </w:r>
            <w:r w:rsidRPr="008C7D72">
              <w:t>displaced</w:t>
            </w:r>
          </w:p>
        </w:tc>
        <w:tc>
          <w:tcPr>
            <w:tcW w:w="1141" w:type="dxa"/>
            <w:vAlign w:val="center"/>
          </w:tcPr>
          <w:p w:rsidR="005832AD" w:rsidRPr="008C7D72" w:rsidRDefault="005832AD" w:rsidP="001465B3">
            <w:pPr>
              <w:pStyle w:val="BodyTextIndent"/>
              <w:spacing w:after="0"/>
              <w:ind w:left="0"/>
              <w:jc w:val="right"/>
            </w:pPr>
            <w:r w:rsidRPr="008C7D72">
              <w:t>9,422</w:t>
            </w:r>
          </w:p>
        </w:tc>
      </w:tr>
      <w:tr w:rsidR="005832AD" w:rsidRPr="008C7D72" w:rsidTr="001465B3">
        <w:trPr>
          <w:trHeight w:val="345"/>
          <w:jc w:val="center"/>
        </w:trPr>
        <w:tc>
          <w:tcPr>
            <w:tcW w:w="5406" w:type="dxa"/>
            <w:tcMar>
              <w:left w:w="57" w:type="dxa"/>
              <w:right w:w="57" w:type="dxa"/>
            </w:tcMar>
            <w:vAlign w:val="center"/>
          </w:tcPr>
          <w:p w:rsidR="005832AD" w:rsidRPr="008C7D72" w:rsidRDefault="005832AD" w:rsidP="001465B3">
            <w:pPr>
              <w:pStyle w:val="BodyTextIndent"/>
              <w:spacing w:after="0"/>
              <w:ind w:left="0"/>
              <w:jc w:val="left"/>
            </w:pPr>
            <w:r w:rsidRPr="008C7D72">
              <w:t>Number of children displaced</w:t>
            </w:r>
          </w:p>
        </w:tc>
        <w:tc>
          <w:tcPr>
            <w:tcW w:w="1141" w:type="dxa"/>
            <w:vAlign w:val="center"/>
          </w:tcPr>
          <w:p w:rsidR="005832AD" w:rsidRPr="008C7D72" w:rsidRDefault="005832AD" w:rsidP="001465B3">
            <w:pPr>
              <w:pStyle w:val="BodyTextIndent"/>
              <w:spacing w:after="0"/>
              <w:ind w:left="0"/>
              <w:jc w:val="right"/>
            </w:pPr>
            <w:r w:rsidRPr="008C7D72">
              <w:t>5,163</w:t>
            </w:r>
          </w:p>
        </w:tc>
      </w:tr>
    </w:tbl>
    <w:p w:rsidR="001465B3" w:rsidRPr="001465B3" w:rsidRDefault="001465B3" w:rsidP="00522248">
      <w:pPr>
        <w:ind w:left="1276" w:right="1273"/>
        <w:jc w:val="both"/>
        <w:rPr>
          <w:rFonts w:ascii="Arial" w:hAnsi="Arial" w:cs="Arial"/>
          <w:color w:val="0D0D0D" w:themeColor="text1" w:themeTint="F2"/>
          <w:sz w:val="22"/>
          <w:szCs w:val="22"/>
        </w:rPr>
      </w:pPr>
      <w:r w:rsidRPr="001465B3">
        <w:rPr>
          <w:rFonts w:asciiTheme="majorBidi" w:hAnsiTheme="majorBidi" w:cstheme="majorBidi"/>
          <w:color w:val="0D0D0D" w:themeColor="text1" w:themeTint="F2"/>
          <w:sz w:val="22"/>
          <w:szCs w:val="22"/>
        </w:rPr>
        <w:t>Abdullah Al-</w:t>
      </w:r>
      <w:proofErr w:type="spellStart"/>
      <w:r w:rsidRPr="001465B3">
        <w:rPr>
          <w:rFonts w:asciiTheme="majorBidi" w:hAnsiTheme="majorBidi" w:cstheme="majorBidi"/>
          <w:color w:val="0D0D0D" w:themeColor="text1" w:themeTint="F2"/>
          <w:sz w:val="22"/>
          <w:szCs w:val="22"/>
        </w:rPr>
        <w:t>Hourani</w:t>
      </w:r>
      <w:proofErr w:type="spellEnd"/>
      <w:r w:rsidRPr="001465B3">
        <w:rPr>
          <w:rFonts w:asciiTheme="majorBidi" w:hAnsiTheme="majorBidi" w:cstheme="majorBidi"/>
          <w:color w:val="0D0D0D" w:themeColor="text1" w:themeTint="F2"/>
          <w:sz w:val="22"/>
          <w:szCs w:val="22"/>
        </w:rPr>
        <w:t xml:space="preserve"> Center for Studies and Documentation</w:t>
      </w:r>
      <w:r w:rsidRPr="001465B3">
        <w:rPr>
          <w:rFonts w:ascii="Arial" w:hAnsi="Arial" w:cs="Arial"/>
          <w:color w:val="0D0D0D" w:themeColor="text1" w:themeTint="F2"/>
          <w:sz w:val="22"/>
          <w:szCs w:val="22"/>
        </w:rPr>
        <w:t xml:space="preserve">, </w:t>
      </w:r>
      <w:r w:rsidR="00522248" w:rsidRPr="001465B3">
        <w:rPr>
          <w:rFonts w:asciiTheme="majorBidi" w:hAnsiTheme="majorBidi" w:cstheme="majorBidi"/>
          <w:color w:val="0D0D0D" w:themeColor="text1" w:themeTint="F2"/>
          <w:sz w:val="22"/>
          <w:szCs w:val="22"/>
        </w:rPr>
        <w:t>2018</w:t>
      </w:r>
      <w:r w:rsidR="00522248" w:rsidRPr="001465B3">
        <w:rPr>
          <w:rFonts w:ascii="Arial" w:hAnsi="Arial" w:cs="Arial"/>
          <w:color w:val="0D0D0D" w:themeColor="text1" w:themeTint="F2"/>
          <w:sz w:val="22"/>
          <w:szCs w:val="22"/>
        </w:rPr>
        <w:t>.</w:t>
      </w:r>
      <w:r w:rsidR="00522248">
        <w:rPr>
          <w:rStyle w:val="shorttext"/>
          <w:color w:val="0D0D0D" w:themeColor="text1" w:themeTint="F2"/>
          <w:sz w:val="22"/>
          <w:szCs w:val="22"/>
        </w:rPr>
        <w:t xml:space="preserve"> </w:t>
      </w:r>
      <w:r w:rsidRPr="001465B3">
        <w:rPr>
          <w:rStyle w:val="shorttext"/>
          <w:color w:val="0D0D0D" w:themeColor="text1" w:themeTint="F2"/>
          <w:sz w:val="22"/>
          <w:szCs w:val="22"/>
        </w:rPr>
        <w:t>Israeli violations 2017</w:t>
      </w:r>
      <w:r w:rsidRPr="001465B3">
        <w:rPr>
          <w:rFonts w:asciiTheme="majorBidi" w:hAnsiTheme="majorBidi" w:cstheme="majorBidi"/>
          <w:color w:val="0D0D0D" w:themeColor="text1" w:themeTint="F2"/>
          <w:sz w:val="22"/>
          <w:szCs w:val="22"/>
        </w:rPr>
        <w:t>,</w:t>
      </w:r>
      <w:r w:rsidRPr="001465B3">
        <w:rPr>
          <w:rFonts w:asciiTheme="majorBidi" w:hAnsiTheme="majorBidi" w:cstheme="majorBidi"/>
          <w:color w:val="0D0D0D" w:themeColor="text1" w:themeTint="F2"/>
          <w:sz w:val="20"/>
          <w:szCs w:val="20"/>
        </w:rPr>
        <w:t xml:space="preserve"> Ramallah</w:t>
      </w:r>
      <w:r w:rsidR="00522248">
        <w:rPr>
          <w:rFonts w:asciiTheme="majorBidi" w:hAnsiTheme="majorBidi" w:cstheme="majorBidi"/>
          <w:color w:val="0D0D0D" w:themeColor="text1" w:themeTint="F2"/>
          <w:sz w:val="20"/>
          <w:szCs w:val="20"/>
        </w:rPr>
        <w:t>.</w:t>
      </w:r>
      <w:r w:rsidRPr="001465B3">
        <w:rPr>
          <w:rFonts w:asciiTheme="majorBidi" w:hAnsiTheme="majorBidi" w:cstheme="majorBidi"/>
          <w:color w:val="0D0D0D" w:themeColor="text1" w:themeTint="F2"/>
          <w:sz w:val="22"/>
          <w:szCs w:val="22"/>
        </w:rPr>
        <w:t xml:space="preserve"> </w:t>
      </w:r>
    </w:p>
    <w:p w:rsidR="005832AD" w:rsidRPr="008C7D72" w:rsidRDefault="005832AD" w:rsidP="005832AD">
      <w:pPr>
        <w:pStyle w:val="BodyTextIndent"/>
        <w:ind w:left="0"/>
      </w:pPr>
    </w:p>
    <w:p w:rsidR="00E73A6F" w:rsidRDefault="00E73A6F" w:rsidP="00E73A6F">
      <w:pPr>
        <w:pStyle w:val="BodyTextIndent"/>
        <w:ind w:left="0"/>
      </w:pPr>
      <w:r w:rsidRPr="008C7D72">
        <w:t>At the time that the Israeli occupation demolish Palestinian buildings, and put obstacles and impediments to the issuance of building permits, they approve licenses to construct thousands of housing units in Israeli sett</w:t>
      </w:r>
      <w:r>
        <w:t>lements on the Palestinian land</w:t>
      </w:r>
      <w:r w:rsidRPr="008C7D72">
        <w:t xml:space="preserve"> of Jerusalem. The Israeli occupation began building 1,600 housing units in the settlements of </w:t>
      </w:r>
      <w:proofErr w:type="spellStart"/>
      <w:r w:rsidRPr="008C7D72">
        <w:t>Gilo</w:t>
      </w:r>
      <w:proofErr w:type="spellEnd"/>
      <w:r w:rsidRPr="008C7D72">
        <w:t xml:space="preserve"> and </w:t>
      </w:r>
      <w:proofErr w:type="spellStart"/>
      <w:r w:rsidRPr="008C7D72">
        <w:t>Harhoma</w:t>
      </w:r>
      <w:proofErr w:type="spellEnd"/>
      <w:r w:rsidRPr="008C7D72">
        <w:t xml:space="preserve"> during the year 2017 within the framework of a plan to separate the city of Jerusalem from the city of Bethlehem, and it accelerated the preparation of plans for the construction of a new settlement on the </w:t>
      </w:r>
      <w:proofErr w:type="spellStart"/>
      <w:r w:rsidRPr="008C7D72">
        <w:t>Qalandia</w:t>
      </w:r>
      <w:proofErr w:type="spellEnd"/>
      <w:r w:rsidRPr="008C7D72">
        <w:t xml:space="preserve"> airport to isolate Jerusalem from its Arab surroundings from the North West side, in addition to the annexation of 250 </w:t>
      </w:r>
      <w:proofErr w:type="spellStart"/>
      <w:r w:rsidRPr="004437B5">
        <w:t>dunams</w:t>
      </w:r>
      <w:proofErr w:type="spellEnd"/>
      <w:r w:rsidRPr="008C7D72">
        <w:t xml:space="preserve"> to the municipality of Jerusalem, which </w:t>
      </w:r>
      <w:r>
        <w:t>located</w:t>
      </w:r>
      <w:r w:rsidRPr="008C7D72">
        <w:t xml:space="preserve"> within the area so-called "no-man's land since 1967 for the establishment of new </w:t>
      </w:r>
      <w:r w:rsidRPr="008C7D72">
        <w:lastRenderedPageBreak/>
        <w:t>settlements projects, as well as announcing a plan to build 6 hotels including 1,300</w:t>
      </w:r>
      <w:r>
        <w:t xml:space="preserve"> hotel rooms on the land</w:t>
      </w:r>
      <w:r w:rsidRPr="008C7D72">
        <w:t xml:space="preserve"> of </w:t>
      </w:r>
      <w:proofErr w:type="spellStart"/>
      <w:r w:rsidRPr="008C7D72">
        <w:t>Jabal</w:t>
      </w:r>
      <w:proofErr w:type="spellEnd"/>
      <w:r w:rsidRPr="008C7D72">
        <w:t xml:space="preserve"> AL-</w:t>
      </w:r>
      <w:proofErr w:type="spellStart"/>
      <w:r w:rsidRPr="008C7D72">
        <w:t>Mukaber</w:t>
      </w:r>
      <w:proofErr w:type="spellEnd"/>
      <w:r w:rsidRPr="008C7D72">
        <w:t>.</w:t>
      </w:r>
      <w:r>
        <w:t xml:space="preserve"> In 2017, the Israeli occupation intensified settlement expansion in the West Bank ratifying the construction of 16,800 new housing units, one third of which in Occupied Jerusalem. Furthermore, the Israeli occupation approved plans for the construction of four new settlements to the south of Nablus Governorate and three other in the Jordan Valley, with the objective of tripling the settlers’ population in the Jordan Valley. In the same time, the occupation authorities hinder any Palestinian construction expansion, especially in the areas in and around Jerusalem and in the so-called “Area C” in the West Bank, which is still under full Israeli control.</w:t>
      </w:r>
    </w:p>
    <w:p w:rsidR="00BC5E0C" w:rsidRDefault="00BC5E0C" w:rsidP="001465B3">
      <w:pPr>
        <w:pStyle w:val="BodyText"/>
        <w:jc w:val="center"/>
        <w:rPr>
          <w:rStyle w:val="shorttext"/>
          <w:rFonts w:asciiTheme="majorBidi" w:hAnsiTheme="majorBidi" w:cstheme="majorBidi"/>
          <w:b/>
          <w:bCs/>
        </w:rPr>
      </w:pPr>
    </w:p>
    <w:p w:rsidR="00E73A6F" w:rsidRDefault="00E73A6F" w:rsidP="001465B3">
      <w:pPr>
        <w:pStyle w:val="BodyText"/>
        <w:jc w:val="center"/>
        <w:rPr>
          <w:rStyle w:val="shorttext"/>
          <w:rFonts w:asciiTheme="majorBidi" w:hAnsiTheme="majorBidi" w:cstheme="majorBidi"/>
          <w:b/>
          <w:bCs/>
        </w:rPr>
      </w:pPr>
    </w:p>
    <w:p w:rsidR="00687A5E" w:rsidRPr="008C7D72" w:rsidRDefault="00E942C0" w:rsidP="001465B3">
      <w:pPr>
        <w:pStyle w:val="BodyText"/>
        <w:jc w:val="center"/>
        <w:rPr>
          <w:rFonts w:asciiTheme="majorBidi" w:hAnsiTheme="majorBidi" w:cstheme="majorBidi"/>
          <w:b/>
          <w:bCs/>
        </w:rPr>
      </w:pPr>
      <w:r>
        <w:rPr>
          <w:rStyle w:val="shorttext"/>
          <w:rFonts w:asciiTheme="majorBidi" w:hAnsiTheme="majorBidi" w:cstheme="majorBidi"/>
          <w:b/>
          <w:bCs/>
        </w:rPr>
        <w:t>More than 10 thousand</w:t>
      </w:r>
      <w:r w:rsidR="001465B3">
        <w:rPr>
          <w:rStyle w:val="shorttext"/>
          <w:rFonts w:asciiTheme="majorBidi" w:hAnsiTheme="majorBidi" w:cstheme="majorBidi"/>
          <w:b/>
          <w:bCs/>
        </w:rPr>
        <w:t xml:space="preserve"> </w:t>
      </w:r>
      <w:r w:rsidR="009C2434" w:rsidRPr="00C55D30">
        <w:rPr>
          <w:rStyle w:val="shorttext"/>
          <w:rFonts w:asciiTheme="majorBidi" w:hAnsiTheme="majorBidi" w:cstheme="majorBidi"/>
          <w:b/>
          <w:bCs/>
        </w:rPr>
        <w:t xml:space="preserve">martyrs since </w:t>
      </w:r>
      <w:r w:rsidR="001465B3">
        <w:rPr>
          <w:rStyle w:val="shorttext"/>
          <w:rFonts w:asciiTheme="majorBidi" w:hAnsiTheme="majorBidi" w:cstheme="majorBidi"/>
          <w:b/>
          <w:bCs/>
        </w:rPr>
        <w:t>Al Aqsa Intifada 2000</w:t>
      </w:r>
    </w:p>
    <w:p w:rsidR="00AB3340" w:rsidRDefault="009C2434" w:rsidP="00BC5E0C">
      <w:pPr>
        <w:pStyle w:val="BodyText"/>
        <w:rPr>
          <w:b/>
          <w:bCs/>
        </w:rPr>
      </w:pPr>
      <w:r w:rsidRPr="008C7D72">
        <w:t>The number of martyrs between September 29</w:t>
      </w:r>
      <w:r w:rsidRPr="008C7D72">
        <w:rPr>
          <w:vertAlign w:val="superscript"/>
        </w:rPr>
        <w:t>th</w:t>
      </w:r>
      <w:r w:rsidRPr="008C7D72">
        <w:t>, 2000 and December 31</w:t>
      </w:r>
      <w:r w:rsidRPr="008C7D72">
        <w:rPr>
          <w:vertAlign w:val="superscript"/>
        </w:rPr>
        <w:t>st</w:t>
      </w:r>
      <w:r w:rsidRPr="008C7D72">
        <w:t xml:space="preserve">, 2017 was 10,463.  The bloodiest year was 2014 with 2,240 Palestinian martyrs, 2,181 of </w:t>
      </w:r>
      <w:r w:rsidR="005668A1">
        <w:t>whom</w:t>
      </w:r>
      <w:r w:rsidR="005668A1" w:rsidRPr="008C7D72">
        <w:t xml:space="preserve"> </w:t>
      </w:r>
      <w:r w:rsidRPr="008C7D72">
        <w:t xml:space="preserve">from Gaza Strip.  The number of Palestinian martyrs reached 94 persons during the year 2017, out of </w:t>
      </w:r>
      <w:r w:rsidR="00C3574A">
        <w:t>them</w:t>
      </w:r>
      <w:r w:rsidRPr="008C7D72">
        <w:t xml:space="preserve"> 16 children and 2 women.</w:t>
      </w:r>
      <w:r w:rsidRPr="008C7D72">
        <w:rPr>
          <w:b/>
          <w:bCs/>
        </w:rPr>
        <w:t xml:space="preserve"> </w:t>
      </w:r>
      <w:r w:rsidRPr="008C7D72">
        <w:t xml:space="preserve">The Israeli occupation also </w:t>
      </w:r>
      <w:r w:rsidRPr="00C55D30">
        <w:t>detained</w:t>
      </w:r>
      <w:r w:rsidRPr="008C7D72">
        <w:t xml:space="preserve"> the bodies of 15 martyrs,</w:t>
      </w:r>
      <w:r w:rsidRPr="008C7D72">
        <w:rPr>
          <w:b/>
          <w:bCs/>
        </w:rPr>
        <w:t xml:space="preserve"> </w:t>
      </w:r>
      <w:r w:rsidRPr="008C7D72">
        <w:t xml:space="preserve">the number of martyrs since marches return start reached </w:t>
      </w:r>
      <w:r w:rsidR="00BC5E0C">
        <w:t>49</w:t>
      </w:r>
      <w:r w:rsidRPr="008C7D72">
        <w:t xml:space="preserve"> martyrs, </w:t>
      </w:r>
      <w:r w:rsidR="00BC5E0C">
        <w:t>6</w:t>
      </w:r>
      <w:r w:rsidR="008B302D" w:rsidRPr="008C7D72">
        <w:t xml:space="preserve"> </w:t>
      </w:r>
      <w:r w:rsidRPr="008C7D72">
        <w:t>of them children and two journalists.</w:t>
      </w:r>
    </w:p>
    <w:p w:rsidR="00687A5E" w:rsidRPr="008C7D72" w:rsidRDefault="00687A5E" w:rsidP="000332E2">
      <w:pPr>
        <w:pStyle w:val="BodyText"/>
        <w:rPr>
          <w:b/>
          <w:bCs/>
        </w:rPr>
      </w:pPr>
    </w:p>
    <w:p w:rsidR="00687A5E" w:rsidRPr="008C7D72" w:rsidRDefault="00665DCC" w:rsidP="00BC5E0C">
      <w:pPr>
        <w:jc w:val="center"/>
        <w:rPr>
          <w:rStyle w:val="shorttext"/>
          <w:rFonts w:asciiTheme="majorBidi" w:hAnsiTheme="majorBidi" w:cstheme="majorBidi"/>
          <w:b/>
          <w:bCs/>
        </w:rPr>
      </w:pPr>
      <w:r>
        <w:rPr>
          <w:rStyle w:val="shorttext"/>
          <w:rFonts w:asciiTheme="majorBidi" w:hAnsiTheme="majorBidi" w:cstheme="majorBidi"/>
          <w:b/>
          <w:bCs/>
        </w:rPr>
        <w:t>More than</w:t>
      </w:r>
      <w:r w:rsidR="00687A5E" w:rsidRPr="008C7D72">
        <w:rPr>
          <w:rStyle w:val="shorttext"/>
          <w:rFonts w:asciiTheme="majorBidi" w:hAnsiTheme="majorBidi" w:cstheme="majorBidi"/>
          <w:b/>
          <w:bCs/>
        </w:rPr>
        <w:t xml:space="preserve"> </w:t>
      </w:r>
      <w:r w:rsidR="00BC5E0C">
        <w:rPr>
          <w:rStyle w:val="shorttext"/>
          <w:rFonts w:asciiTheme="majorBidi" w:hAnsiTheme="majorBidi" w:cstheme="majorBidi"/>
          <w:b/>
          <w:bCs/>
        </w:rPr>
        <w:t>9</w:t>
      </w:r>
      <w:r w:rsidR="00687A5E" w:rsidRPr="008C7D72">
        <w:rPr>
          <w:rStyle w:val="shorttext"/>
          <w:rFonts w:asciiTheme="majorBidi" w:hAnsiTheme="majorBidi" w:cstheme="majorBidi"/>
          <w:b/>
          <w:bCs/>
        </w:rPr>
        <w:t>,</w:t>
      </w:r>
      <w:r>
        <w:rPr>
          <w:rStyle w:val="shorttext"/>
          <w:rFonts w:asciiTheme="majorBidi" w:hAnsiTheme="majorBidi" w:cstheme="majorBidi"/>
          <w:b/>
          <w:bCs/>
        </w:rPr>
        <w:t>500</w:t>
      </w:r>
      <w:r w:rsidR="00687A5E" w:rsidRPr="008C7D72">
        <w:rPr>
          <w:rStyle w:val="shorttext"/>
          <w:rFonts w:asciiTheme="majorBidi" w:hAnsiTheme="majorBidi" w:cstheme="majorBidi"/>
          <w:b/>
          <w:bCs/>
        </w:rPr>
        <w:t xml:space="preserve"> wounded since the start of the </w:t>
      </w:r>
      <w:r w:rsidR="00687A5E" w:rsidRPr="00C55D30">
        <w:rPr>
          <w:rStyle w:val="shorttext"/>
          <w:rFonts w:asciiTheme="majorBidi" w:hAnsiTheme="majorBidi" w:cstheme="majorBidi"/>
          <w:b/>
          <w:bCs/>
        </w:rPr>
        <w:t>marches</w:t>
      </w:r>
      <w:r w:rsidR="00687A5E" w:rsidRPr="008C7D72">
        <w:rPr>
          <w:rStyle w:val="shorttext"/>
          <w:rFonts w:asciiTheme="majorBidi" w:hAnsiTheme="majorBidi" w:cstheme="majorBidi"/>
          <w:b/>
          <w:bCs/>
        </w:rPr>
        <w:t xml:space="preserve"> of return </w:t>
      </w:r>
    </w:p>
    <w:p w:rsidR="004C3E9E" w:rsidRPr="008C7D72" w:rsidRDefault="00687A5E" w:rsidP="00BC5E0C">
      <w:pPr>
        <w:rPr>
          <w:rFonts w:asciiTheme="majorBidi" w:hAnsiTheme="majorBidi" w:cstheme="majorBidi"/>
        </w:rPr>
      </w:pPr>
      <w:r w:rsidRPr="008C7D72">
        <w:rPr>
          <w:rFonts w:asciiTheme="majorBidi" w:hAnsiTheme="majorBidi" w:cstheme="majorBidi"/>
        </w:rPr>
        <w:t xml:space="preserve">During the year 2017, the number of wounded was 8,300, of </w:t>
      </w:r>
      <w:r w:rsidR="00C3574A">
        <w:rPr>
          <w:rFonts w:asciiTheme="majorBidi" w:hAnsiTheme="majorBidi" w:cstheme="majorBidi"/>
        </w:rPr>
        <w:t>them</w:t>
      </w:r>
      <w:r w:rsidRPr="008C7D72">
        <w:rPr>
          <w:rFonts w:asciiTheme="majorBidi" w:hAnsiTheme="majorBidi" w:cstheme="majorBidi"/>
        </w:rPr>
        <w:t xml:space="preserve"> 5,400 were wounded in December 2017, following the announcement by President Trump on Jerusalem, the number of wounded in the Gaza Strip reached </w:t>
      </w:r>
      <w:r w:rsidR="00BC5E0C">
        <w:rPr>
          <w:rFonts w:asciiTheme="majorBidi" w:hAnsiTheme="majorBidi" w:cstheme="majorBidi"/>
        </w:rPr>
        <w:t>9</w:t>
      </w:r>
      <w:r w:rsidRPr="008C7D72">
        <w:rPr>
          <w:rFonts w:asciiTheme="majorBidi" w:hAnsiTheme="majorBidi" w:cstheme="majorBidi"/>
        </w:rPr>
        <w:t>,</w:t>
      </w:r>
      <w:r w:rsidR="00BC5E0C">
        <w:rPr>
          <w:rFonts w:asciiTheme="majorBidi" w:hAnsiTheme="majorBidi" w:cstheme="majorBidi"/>
        </w:rPr>
        <w:t>520</w:t>
      </w:r>
      <w:r w:rsidRPr="008C7D72">
        <w:rPr>
          <w:rFonts w:asciiTheme="majorBidi" w:hAnsiTheme="majorBidi" w:cstheme="majorBidi"/>
        </w:rPr>
        <w:t xml:space="preserve"> since the beginning of the </w:t>
      </w:r>
      <w:r w:rsidRPr="008C7D72">
        <w:rPr>
          <w:rStyle w:val="shorttext"/>
          <w:rFonts w:asciiTheme="majorBidi" w:hAnsiTheme="majorBidi" w:cstheme="majorBidi"/>
        </w:rPr>
        <w:t>marches of return</w:t>
      </w:r>
      <w:r w:rsidRPr="008C7D72">
        <w:rPr>
          <w:rStyle w:val="shorttext"/>
          <w:rFonts w:asciiTheme="majorBidi" w:hAnsiTheme="majorBidi" w:cstheme="majorBidi"/>
          <w:b/>
          <w:bCs/>
        </w:rPr>
        <w:t xml:space="preserve"> </w:t>
      </w:r>
      <w:r w:rsidRPr="008C7D72">
        <w:rPr>
          <w:rFonts w:asciiTheme="majorBidi" w:hAnsiTheme="majorBidi" w:cstheme="majorBidi"/>
        </w:rPr>
        <w:t xml:space="preserve">on the occasion of Land Day on </w:t>
      </w:r>
      <w:r w:rsidRPr="00C55D30">
        <w:rPr>
          <w:rFonts w:asciiTheme="majorBidi" w:hAnsiTheme="majorBidi" w:cstheme="majorBidi"/>
        </w:rPr>
        <w:t>March 30 2018</w:t>
      </w:r>
      <w:r w:rsidRPr="008C7D72">
        <w:rPr>
          <w:rFonts w:asciiTheme="majorBidi" w:hAnsiTheme="majorBidi" w:cstheme="majorBidi"/>
        </w:rPr>
        <w:t xml:space="preserve">, </w:t>
      </w:r>
      <w:r w:rsidR="00BC5E0C">
        <w:rPr>
          <w:rFonts w:asciiTheme="majorBidi" w:hAnsiTheme="majorBidi" w:cstheme="majorBidi"/>
        </w:rPr>
        <w:t>more than 800</w:t>
      </w:r>
      <w:r w:rsidRPr="008C7D72">
        <w:rPr>
          <w:rFonts w:asciiTheme="majorBidi" w:hAnsiTheme="majorBidi" w:cstheme="majorBidi"/>
        </w:rPr>
        <w:t xml:space="preserve"> children, </w:t>
      </w:r>
      <w:r w:rsidR="00665DCC">
        <w:rPr>
          <w:rFonts w:asciiTheme="majorBidi" w:hAnsiTheme="majorBidi" w:cstheme="majorBidi"/>
        </w:rPr>
        <w:t>283</w:t>
      </w:r>
      <w:r w:rsidRPr="008C7D72">
        <w:rPr>
          <w:rFonts w:asciiTheme="majorBidi" w:hAnsiTheme="majorBidi" w:cstheme="majorBidi"/>
        </w:rPr>
        <w:t xml:space="preserve"> women and </w:t>
      </w:r>
      <w:r w:rsidR="00665DCC">
        <w:rPr>
          <w:rFonts w:asciiTheme="majorBidi" w:hAnsiTheme="majorBidi" w:cstheme="majorBidi"/>
        </w:rPr>
        <w:t>163</w:t>
      </w:r>
      <w:r w:rsidRPr="008C7D72">
        <w:rPr>
          <w:rFonts w:asciiTheme="majorBidi" w:hAnsiTheme="majorBidi" w:cstheme="majorBidi"/>
        </w:rPr>
        <w:t xml:space="preserve"> paramedics.</w:t>
      </w:r>
    </w:p>
    <w:p w:rsidR="00687A5E" w:rsidRPr="008C7D72" w:rsidRDefault="00687A5E" w:rsidP="00A8553F">
      <w:pPr>
        <w:pStyle w:val="BodyText"/>
        <w:rPr>
          <w:b/>
          <w:bCs/>
        </w:rPr>
      </w:pPr>
    </w:p>
    <w:p w:rsidR="00BC5E0C" w:rsidRPr="00E4329D" w:rsidRDefault="00BC5E0C" w:rsidP="00BC5E0C">
      <w:pPr>
        <w:pStyle w:val="Title"/>
        <w:rPr>
          <w:rFonts w:cs="Times New Roman"/>
          <w:color w:val="auto"/>
          <w:rtl/>
        </w:rPr>
      </w:pPr>
      <w:r w:rsidRPr="00E4329D">
        <w:rPr>
          <w:rFonts w:cs="Times New Roman"/>
          <w:color w:val="auto"/>
        </w:rPr>
        <w:t xml:space="preserve">About 1 million detentions </w:t>
      </w:r>
      <w:r>
        <w:rPr>
          <w:rFonts w:cs="Times New Roman"/>
          <w:color w:val="auto"/>
        </w:rPr>
        <w:t>since 1967</w:t>
      </w:r>
    </w:p>
    <w:p w:rsidR="00A105D6" w:rsidRPr="008C7D72" w:rsidRDefault="00A105D6" w:rsidP="00BC5E0C">
      <w:pPr>
        <w:rPr>
          <w:rFonts w:asciiTheme="majorBidi" w:hAnsiTheme="majorBidi" w:cstheme="majorBidi"/>
        </w:rPr>
      </w:pPr>
      <w:r w:rsidRPr="00BC5E0C">
        <w:rPr>
          <w:rFonts w:asciiTheme="majorBidi" w:hAnsiTheme="majorBidi" w:cstheme="majorBidi"/>
        </w:rPr>
        <w:t xml:space="preserve">The Israeli occupation arrested </w:t>
      </w:r>
      <w:r w:rsidR="000570FE">
        <w:rPr>
          <w:rFonts w:asciiTheme="majorBidi" w:hAnsiTheme="majorBidi" w:cstheme="majorBidi"/>
        </w:rPr>
        <w:t>around</w:t>
      </w:r>
      <w:r w:rsidRPr="00BC5E0C">
        <w:rPr>
          <w:rFonts w:asciiTheme="majorBidi" w:hAnsiTheme="majorBidi" w:cstheme="majorBidi"/>
        </w:rPr>
        <w:t xml:space="preserve"> 6,500 Palestinians, </w:t>
      </w:r>
      <w:r w:rsidR="008B302D" w:rsidRPr="00BC5E0C">
        <w:rPr>
          <w:rFonts w:asciiTheme="majorBidi" w:hAnsiTheme="majorBidi" w:cstheme="majorBidi"/>
        </w:rPr>
        <w:t xml:space="preserve">350 </w:t>
      </w:r>
      <w:r w:rsidRPr="00BC5E0C">
        <w:rPr>
          <w:rFonts w:asciiTheme="majorBidi" w:hAnsiTheme="majorBidi" w:cstheme="majorBidi"/>
        </w:rPr>
        <w:t xml:space="preserve">of them </w:t>
      </w:r>
      <w:r w:rsidR="008B302D" w:rsidRPr="00BC5E0C">
        <w:rPr>
          <w:rFonts w:asciiTheme="majorBidi" w:hAnsiTheme="majorBidi" w:cstheme="majorBidi"/>
        </w:rPr>
        <w:t xml:space="preserve">are </w:t>
      </w:r>
      <w:r w:rsidRPr="00BC5E0C">
        <w:rPr>
          <w:rFonts w:asciiTheme="majorBidi" w:hAnsiTheme="majorBidi" w:cstheme="majorBidi"/>
        </w:rPr>
        <w:t>children, 62</w:t>
      </w:r>
      <w:r w:rsidR="008B302D" w:rsidRPr="00BC5E0C">
        <w:rPr>
          <w:rFonts w:asciiTheme="majorBidi" w:hAnsiTheme="majorBidi" w:cstheme="majorBidi"/>
        </w:rPr>
        <w:t xml:space="preserve"> are</w:t>
      </w:r>
      <w:r w:rsidRPr="00BC5E0C">
        <w:rPr>
          <w:rFonts w:asciiTheme="majorBidi" w:hAnsiTheme="majorBidi" w:cstheme="majorBidi"/>
        </w:rPr>
        <w:t xml:space="preserve"> women</w:t>
      </w:r>
      <w:r w:rsidR="00A9689E" w:rsidRPr="00BC5E0C">
        <w:rPr>
          <w:rFonts w:asciiTheme="majorBidi" w:hAnsiTheme="majorBidi" w:cstheme="majorBidi"/>
        </w:rPr>
        <w:t>;</w:t>
      </w:r>
      <w:r w:rsidRPr="00BC5E0C">
        <w:rPr>
          <w:rFonts w:asciiTheme="majorBidi" w:hAnsiTheme="majorBidi" w:cstheme="majorBidi"/>
        </w:rPr>
        <w:t xml:space="preserve"> </w:t>
      </w:r>
      <w:r w:rsidR="00A9689E" w:rsidRPr="00BC5E0C">
        <w:rPr>
          <w:rFonts w:asciiTheme="majorBidi" w:hAnsiTheme="majorBidi" w:cstheme="majorBidi"/>
        </w:rPr>
        <w:t>(</w:t>
      </w:r>
      <w:r w:rsidR="008B302D" w:rsidRPr="00BC5E0C">
        <w:rPr>
          <w:rFonts w:asciiTheme="majorBidi" w:hAnsiTheme="majorBidi" w:cstheme="majorBidi"/>
        </w:rPr>
        <w:t xml:space="preserve">21 </w:t>
      </w:r>
      <w:r w:rsidRPr="00BC5E0C">
        <w:rPr>
          <w:rFonts w:asciiTheme="majorBidi" w:hAnsiTheme="majorBidi" w:cstheme="majorBidi"/>
        </w:rPr>
        <w:t xml:space="preserve">of them </w:t>
      </w:r>
      <w:r w:rsidR="008B302D" w:rsidRPr="00BC5E0C">
        <w:rPr>
          <w:rFonts w:asciiTheme="majorBidi" w:hAnsiTheme="majorBidi" w:cstheme="majorBidi"/>
        </w:rPr>
        <w:t xml:space="preserve">are </w:t>
      </w:r>
      <w:r w:rsidRPr="00BC5E0C">
        <w:rPr>
          <w:rFonts w:asciiTheme="majorBidi" w:hAnsiTheme="majorBidi" w:cstheme="majorBidi"/>
        </w:rPr>
        <w:t>mother</w:t>
      </w:r>
      <w:r w:rsidR="008B302D" w:rsidRPr="00BC5E0C">
        <w:rPr>
          <w:rFonts w:asciiTheme="majorBidi" w:hAnsiTheme="majorBidi" w:cstheme="majorBidi"/>
        </w:rPr>
        <w:t>s</w:t>
      </w:r>
      <w:r w:rsidRPr="00BC5E0C">
        <w:rPr>
          <w:rFonts w:asciiTheme="majorBidi" w:hAnsiTheme="majorBidi" w:cstheme="majorBidi"/>
        </w:rPr>
        <w:t xml:space="preserve"> and 8 minors), in addition to 6 deputies in the Palestinian Legislative Council. Since the beginning of 2018 till the end of April 2018</w:t>
      </w:r>
      <w:r w:rsidR="00C3574A" w:rsidRPr="00BC5E0C">
        <w:rPr>
          <w:rFonts w:asciiTheme="majorBidi" w:hAnsiTheme="majorBidi" w:cstheme="majorBidi"/>
        </w:rPr>
        <w:t>, the Israeli occupation has</w:t>
      </w:r>
      <w:r w:rsidRPr="00BC5E0C">
        <w:rPr>
          <w:rFonts w:asciiTheme="majorBidi" w:hAnsiTheme="majorBidi" w:cstheme="majorBidi"/>
        </w:rPr>
        <w:t xml:space="preserve"> arrested 2,378 Palestinians (including 459</w:t>
      </w:r>
      <w:r w:rsidR="00C3574A" w:rsidRPr="00BC5E0C">
        <w:rPr>
          <w:rFonts w:asciiTheme="majorBidi" w:hAnsiTheme="majorBidi" w:cstheme="majorBidi"/>
        </w:rPr>
        <w:t xml:space="preserve"> </w:t>
      </w:r>
      <w:r w:rsidRPr="00BC5E0C">
        <w:rPr>
          <w:rFonts w:asciiTheme="majorBidi" w:hAnsiTheme="majorBidi" w:cstheme="majorBidi"/>
        </w:rPr>
        <w:t xml:space="preserve">Children and 47 women). In addition, the Israeli occupation imposed </w:t>
      </w:r>
      <w:r w:rsidR="008B302D" w:rsidRPr="00BC5E0C">
        <w:rPr>
          <w:rFonts w:asciiTheme="majorBidi" w:hAnsiTheme="majorBidi" w:cstheme="majorBidi"/>
        </w:rPr>
        <w:t xml:space="preserve">home stay </w:t>
      </w:r>
      <w:r w:rsidRPr="00BC5E0C">
        <w:rPr>
          <w:rFonts w:asciiTheme="majorBidi" w:hAnsiTheme="majorBidi" w:cstheme="majorBidi"/>
        </w:rPr>
        <w:t xml:space="preserve">on 300 children in Jerusalem since October 2015. </w:t>
      </w:r>
      <w:r w:rsidR="000570FE">
        <w:rPr>
          <w:rFonts w:asciiTheme="majorBidi" w:hAnsiTheme="majorBidi" w:cstheme="majorBidi"/>
        </w:rPr>
        <w:t>Around</w:t>
      </w:r>
      <w:r w:rsidRPr="00BC5E0C">
        <w:rPr>
          <w:rFonts w:asciiTheme="majorBidi" w:hAnsiTheme="majorBidi" w:cstheme="majorBidi"/>
        </w:rPr>
        <w:t xml:space="preserve"> 20 children</w:t>
      </w:r>
      <w:r w:rsidR="008B302D" w:rsidRPr="00BC5E0C">
        <w:rPr>
          <w:rFonts w:asciiTheme="majorBidi" w:hAnsiTheme="majorBidi" w:cstheme="majorBidi"/>
        </w:rPr>
        <w:t xml:space="preserve"> still imposed home stay</w:t>
      </w:r>
      <w:r w:rsidRPr="00BC5E0C">
        <w:rPr>
          <w:rFonts w:asciiTheme="majorBidi" w:hAnsiTheme="majorBidi" w:cstheme="majorBidi"/>
        </w:rPr>
        <w:t>. Most of the</w:t>
      </w:r>
      <w:r w:rsidR="008B302D" w:rsidRPr="00BC5E0C">
        <w:rPr>
          <w:rFonts w:asciiTheme="majorBidi" w:hAnsiTheme="majorBidi" w:cstheme="majorBidi"/>
        </w:rPr>
        <w:t>se</w:t>
      </w:r>
      <w:r w:rsidRPr="00BC5E0C">
        <w:rPr>
          <w:rFonts w:asciiTheme="majorBidi" w:hAnsiTheme="majorBidi" w:cstheme="majorBidi"/>
        </w:rPr>
        <w:t xml:space="preserve"> children have been arrested after the end of the period of </w:t>
      </w:r>
      <w:r w:rsidR="008B302D" w:rsidRPr="00BC5E0C">
        <w:rPr>
          <w:rFonts w:asciiTheme="majorBidi" w:hAnsiTheme="majorBidi" w:cstheme="majorBidi"/>
        </w:rPr>
        <w:t>a home stay</w:t>
      </w:r>
      <w:r w:rsidRPr="00BC5E0C">
        <w:rPr>
          <w:rFonts w:asciiTheme="majorBidi" w:hAnsiTheme="majorBidi" w:cstheme="majorBidi"/>
        </w:rPr>
        <w:t>, which ranged from six months to one year.</w:t>
      </w:r>
    </w:p>
    <w:p w:rsidR="00ED2EC4" w:rsidRPr="008C7D72" w:rsidRDefault="00ED2EC4" w:rsidP="00A105D6">
      <w:pPr>
        <w:pStyle w:val="BodyText"/>
        <w:rPr>
          <w:rFonts w:asciiTheme="majorBidi" w:hAnsiTheme="majorBidi" w:cstheme="majorBidi"/>
        </w:rPr>
      </w:pPr>
    </w:p>
    <w:p w:rsidR="00ED2EC4" w:rsidRPr="008C7D72" w:rsidRDefault="00ED2EC4" w:rsidP="005E7F4C">
      <w:pPr>
        <w:pStyle w:val="BodyTextIndent2"/>
        <w:spacing w:after="0" w:line="240" w:lineRule="auto"/>
        <w:ind w:left="0"/>
        <w:jc w:val="center"/>
        <w:rPr>
          <w:b/>
          <w:bCs/>
        </w:rPr>
      </w:pPr>
      <w:r w:rsidRPr="008C7D72">
        <w:rPr>
          <w:b/>
          <w:bCs/>
        </w:rPr>
        <w:t>Land Confiscation</w:t>
      </w:r>
    </w:p>
    <w:p w:rsidR="00ED2EC4" w:rsidRPr="008C7D72" w:rsidRDefault="00ED2EC4" w:rsidP="005E7F4C">
      <w:pPr>
        <w:pStyle w:val="BodyTextIndent2"/>
        <w:spacing w:after="0" w:line="240" w:lineRule="auto"/>
        <w:ind w:left="0"/>
        <w:jc w:val="both"/>
      </w:pPr>
      <w:r w:rsidRPr="008C7D72">
        <w:t xml:space="preserve">The Israeli occupation approved the </w:t>
      </w:r>
      <w:r w:rsidR="004437B5">
        <w:t xml:space="preserve">confiscation of about 2,100 </w:t>
      </w:r>
      <w:proofErr w:type="spellStart"/>
      <w:r w:rsidR="004437B5">
        <w:t>dunams</w:t>
      </w:r>
      <w:proofErr w:type="spellEnd"/>
      <w:r w:rsidRPr="008C7D72">
        <w:t xml:space="preserve"> of Palestinian land during the year 2017, as well as the </w:t>
      </w:r>
      <w:r w:rsidR="004437B5">
        <w:t xml:space="preserve">confiscation of hundreds of </w:t>
      </w:r>
      <w:proofErr w:type="spellStart"/>
      <w:r w:rsidR="004437B5">
        <w:t>duna</w:t>
      </w:r>
      <w:r w:rsidRPr="008C7D72">
        <w:t>ms</w:t>
      </w:r>
      <w:proofErr w:type="spellEnd"/>
      <w:r w:rsidRPr="008C7D72">
        <w:t xml:space="preserve"> of Palestinians through the expansion of Israeli roadblocks and the establishment of military checkpoints to protect the settlers, in addition to </w:t>
      </w:r>
      <w:r w:rsidR="004437B5">
        <w:t xml:space="preserve">renewed orders to seize 852 </w:t>
      </w:r>
      <w:proofErr w:type="spellStart"/>
      <w:r w:rsidR="004437B5">
        <w:t>duna</w:t>
      </w:r>
      <w:r w:rsidRPr="008C7D72">
        <w:t>ms</w:t>
      </w:r>
      <w:proofErr w:type="spellEnd"/>
      <w:r w:rsidRPr="008C7D72">
        <w:t xml:space="preserve"> of Palestinian land in the West Bank.</w:t>
      </w:r>
    </w:p>
    <w:p w:rsidR="001465B3" w:rsidRDefault="001465B3" w:rsidP="00ED2EC4">
      <w:pPr>
        <w:autoSpaceDE w:val="0"/>
        <w:autoSpaceDN w:val="0"/>
        <w:adjustRightInd w:val="0"/>
        <w:jc w:val="both"/>
      </w:pPr>
    </w:p>
    <w:p w:rsidR="00ED2EC4" w:rsidRDefault="00ED2EC4" w:rsidP="00ED2EC4">
      <w:pPr>
        <w:autoSpaceDE w:val="0"/>
        <w:autoSpaceDN w:val="0"/>
        <w:adjustRightInd w:val="0"/>
        <w:jc w:val="both"/>
      </w:pPr>
      <w:r w:rsidRPr="008C7D72">
        <w:t xml:space="preserve">The Israeli measures are one of the main reasons for the decline in agricultural land in the West Bank. Area C forms about 60% of the West Bank, which is still under full Israeli control, depriving many farmers from accessing their land and farming it. The Israeli occupation razed and uprooted about 10 thousand trees in 2017, and more than 70 thousand </w:t>
      </w:r>
      <w:proofErr w:type="spellStart"/>
      <w:r w:rsidRPr="008C7D72">
        <w:t>du</w:t>
      </w:r>
      <w:r w:rsidR="004437B5">
        <w:t>na</w:t>
      </w:r>
      <w:r w:rsidRPr="008C7D72">
        <w:t>ms</w:t>
      </w:r>
      <w:proofErr w:type="spellEnd"/>
      <w:r w:rsidRPr="008C7D72">
        <w:t xml:space="preserve">, most of them are cultivated with irrigated crops were transferred to the settlers in the Israeli settlements. </w:t>
      </w:r>
    </w:p>
    <w:p w:rsidR="004A7C4E" w:rsidRDefault="004A7C4E" w:rsidP="00ED2EC4">
      <w:pPr>
        <w:autoSpaceDE w:val="0"/>
        <w:autoSpaceDN w:val="0"/>
        <w:adjustRightInd w:val="0"/>
        <w:jc w:val="both"/>
      </w:pPr>
    </w:p>
    <w:p w:rsidR="004A7C4E" w:rsidRPr="008C7D72" w:rsidRDefault="004A7C4E" w:rsidP="00ED2EC4">
      <w:pPr>
        <w:autoSpaceDE w:val="0"/>
        <w:autoSpaceDN w:val="0"/>
        <w:adjustRightInd w:val="0"/>
        <w:jc w:val="both"/>
      </w:pPr>
    </w:p>
    <w:p w:rsidR="00ED2EC4" w:rsidRPr="008C7D72" w:rsidRDefault="00ED2EC4" w:rsidP="00ED2EC4">
      <w:pPr>
        <w:autoSpaceDE w:val="0"/>
        <w:autoSpaceDN w:val="0"/>
        <w:adjustRightInd w:val="0"/>
        <w:jc w:val="both"/>
      </w:pPr>
    </w:p>
    <w:p w:rsidR="00ED2EC4" w:rsidRPr="008C7D72" w:rsidRDefault="00ED2EC4" w:rsidP="00ED2EC4">
      <w:pPr>
        <w:jc w:val="center"/>
        <w:rPr>
          <w:b/>
          <w:bCs/>
        </w:rPr>
      </w:pPr>
      <w:r w:rsidRPr="008C7D72">
        <w:rPr>
          <w:b/>
          <w:bCs/>
        </w:rPr>
        <w:t>Continuous Siege on Gaza Strip</w:t>
      </w:r>
    </w:p>
    <w:p w:rsidR="001E179A" w:rsidRDefault="00ED2EC4" w:rsidP="005F27F4">
      <w:pPr>
        <w:pStyle w:val="BodyText"/>
        <w:rPr>
          <w:rFonts w:asciiTheme="majorBidi" w:hAnsiTheme="majorBidi" w:cstheme="majorBidi"/>
        </w:rPr>
      </w:pPr>
      <w:r w:rsidRPr="008C7D72">
        <w:t>Despite the small area of Gaza Strip, the Israeli Occupation set up a buffer zone over more than 1,500 m</w:t>
      </w:r>
      <w:r w:rsidR="00B93953">
        <w:t>eter</w:t>
      </w:r>
      <w:r w:rsidRPr="008C7D72">
        <w:t xml:space="preserve"> along the Eastern border of Gaza Strip.  Consequently, the Israeli Occupation </w:t>
      </w:r>
      <w:r w:rsidR="00C55D30">
        <w:t>controls</w:t>
      </w:r>
      <w:r w:rsidRPr="008C7D72">
        <w:t xml:space="preserve"> about 24% of the total area of Gaza Strip (365 km</w:t>
      </w:r>
      <w:r w:rsidRPr="008C7D72">
        <w:rPr>
          <w:vertAlign w:val="superscript"/>
        </w:rPr>
        <w:t>2</w:t>
      </w:r>
      <w:r w:rsidRPr="008C7D72">
        <w:t>), which is considered the most populous area in the world with about 5,203 capita/km</w:t>
      </w:r>
      <w:r w:rsidRPr="008C7D72">
        <w:rPr>
          <w:vertAlign w:val="superscript"/>
        </w:rPr>
        <w:t>2</w:t>
      </w:r>
      <w:r w:rsidRPr="008C7D72">
        <w:rPr>
          <w:rFonts w:asciiTheme="majorBidi" w:hAnsiTheme="majorBidi" w:cstheme="majorBidi"/>
        </w:rPr>
        <w:t>.</w:t>
      </w:r>
      <w:r w:rsidR="005F27F4">
        <w:rPr>
          <w:rFonts w:asciiTheme="majorBidi" w:hAnsiTheme="majorBidi" w:cstheme="majorBidi"/>
        </w:rPr>
        <w:t xml:space="preserve"> This resulted in skyrocketing unemployment rates (43.9%, compared to 17.9% in the West Bank). Data also showed that 64.7% of youth aged 15 – 24 years are unemployed. The siege also shakes the economy of the Gaza Strip and turns over half of its population into poor (53.0%). This is four times the poverty rate in the West Bank (13.9%) according to 2017 data.</w:t>
      </w:r>
      <w:bookmarkStart w:id="0" w:name="_GoBack"/>
      <w:bookmarkEnd w:id="0"/>
    </w:p>
    <w:p w:rsidR="00522248" w:rsidRDefault="00522248" w:rsidP="001E179A">
      <w:pPr>
        <w:jc w:val="both"/>
        <w:rPr>
          <w:b/>
          <w:bCs/>
          <w:color w:val="0D0D0D" w:themeColor="text1" w:themeTint="F2"/>
        </w:rPr>
      </w:pPr>
    </w:p>
    <w:p w:rsidR="004A7C4E" w:rsidRDefault="004A7C4E" w:rsidP="001E179A">
      <w:pPr>
        <w:jc w:val="both"/>
        <w:rPr>
          <w:b/>
          <w:bCs/>
          <w:color w:val="0D0D0D" w:themeColor="text1" w:themeTint="F2"/>
        </w:rPr>
      </w:pPr>
    </w:p>
    <w:p w:rsidR="004A7C4E" w:rsidRDefault="004A7C4E" w:rsidP="001E179A">
      <w:pPr>
        <w:jc w:val="both"/>
        <w:rPr>
          <w:b/>
          <w:bCs/>
          <w:color w:val="0D0D0D" w:themeColor="text1" w:themeTint="F2"/>
        </w:rPr>
      </w:pPr>
    </w:p>
    <w:p w:rsidR="004A7C4E" w:rsidRDefault="004A7C4E" w:rsidP="001E179A">
      <w:pPr>
        <w:jc w:val="both"/>
        <w:rPr>
          <w:b/>
          <w:bCs/>
          <w:color w:val="0D0D0D" w:themeColor="text1" w:themeTint="F2"/>
        </w:rPr>
      </w:pPr>
    </w:p>
    <w:p w:rsidR="001E179A" w:rsidRPr="002D2C4F" w:rsidRDefault="001E179A" w:rsidP="001E179A">
      <w:pPr>
        <w:jc w:val="both"/>
        <w:rPr>
          <w:b/>
          <w:bCs/>
          <w:color w:val="0D0D0D" w:themeColor="text1" w:themeTint="F2"/>
        </w:rPr>
      </w:pPr>
      <w:r w:rsidRPr="002D2C4F">
        <w:rPr>
          <w:b/>
          <w:bCs/>
          <w:color w:val="0D0D0D" w:themeColor="text1" w:themeTint="F2"/>
        </w:rPr>
        <w:t>Sources:</w:t>
      </w:r>
    </w:p>
    <w:p w:rsidR="001E179A" w:rsidRDefault="001E179A" w:rsidP="00D55AA7">
      <w:pPr>
        <w:pStyle w:val="ListParagraph"/>
        <w:numPr>
          <w:ilvl w:val="0"/>
          <w:numId w:val="1"/>
        </w:numPr>
        <w:bidi w:val="0"/>
        <w:ind w:left="284" w:hanging="284"/>
        <w:jc w:val="both"/>
        <w:rPr>
          <w:color w:val="0D0D0D" w:themeColor="text1" w:themeTint="F2"/>
        </w:rPr>
      </w:pPr>
      <w:r w:rsidRPr="005A2DD6">
        <w:rPr>
          <w:color w:val="0D0D0D" w:themeColor="text1" w:themeTint="F2"/>
        </w:rPr>
        <w:t xml:space="preserve">Palestinian Central Bureau of Statistics 2017: </w:t>
      </w:r>
      <w:r w:rsidRPr="005A2DD6">
        <w:rPr>
          <w:rFonts w:asciiTheme="majorBidi" w:hAnsiTheme="majorBidi" w:cstheme="majorBidi"/>
          <w:color w:val="0D0D0D" w:themeColor="text1" w:themeTint="F2"/>
          <w:sz w:val="22"/>
          <w:szCs w:val="22"/>
        </w:rPr>
        <w:t>Israeli settlements in the West Bank, 2016. Ramallah- Palestine</w:t>
      </w:r>
    </w:p>
    <w:p w:rsidR="001E179A" w:rsidRPr="001E179A" w:rsidRDefault="001E179A" w:rsidP="00665DCC">
      <w:pPr>
        <w:pStyle w:val="ListParagraph"/>
        <w:numPr>
          <w:ilvl w:val="0"/>
          <w:numId w:val="1"/>
        </w:numPr>
        <w:bidi w:val="0"/>
        <w:ind w:left="284" w:hanging="284"/>
        <w:jc w:val="both"/>
        <w:rPr>
          <w:color w:val="0D0D0D" w:themeColor="text1" w:themeTint="F2"/>
        </w:rPr>
      </w:pPr>
      <w:r w:rsidRPr="005A2DD6">
        <w:rPr>
          <w:color w:val="0D0D0D" w:themeColor="text1" w:themeTint="F2"/>
        </w:rPr>
        <w:t xml:space="preserve">Palestinian Central Bureau of Statistics </w:t>
      </w:r>
      <w:r>
        <w:rPr>
          <w:color w:val="0D0D0D" w:themeColor="text1" w:themeTint="F2"/>
        </w:rPr>
        <w:t>2018</w:t>
      </w:r>
      <w:r w:rsidRPr="005A2DD6">
        <w:rPr>
          <w:color w:val="0D0D0D" w:themeColor="text1" w:themeTint="F2"/>
        </w:rPr>
        <w:t xml:space="preserve">: </w:t>
      </w:r>
      <w:r w:rsidR="00665DCC">
        <w:rPr>
          <w:rFonts w:asciiTheme="majorBidi" w:hAnsiTheme="majorBidi" w:cstheme="majorBidi"/>
          <w:color w:val="0D0D0D" w:themeColor="text1" w:themeTint="F2"/>
          <w:sz w:val="22"/>
          <w:szCs w:val="22"/>
        </w:rPr>
        <w:t>Final</w:t>
      </w:r>
      <w:r>
        <w:rPr>
          <w:rFonts w:asciiTheme="majorBidi" w:hAnsiTheme="majorBidi" w:cstheme="majorBidi"/>
          <w:color w:val="0D0D0D" w:themeColor="text1" w:themeTint="F2"/>
          <w:sz w:val="22"/>
          <w:szCs w:val="22"/>
        </w:rPr>
        <w:t xml:space="preserve"> Results of the Population, Housing and Establishments Census 2017</w:t>
      </w:r>
      <w:r w:rsidRPr="005A2DD6">
        <w:rPr>
          <w:rFonts w:asciiTheme="majorBidi" w:hAnsiTheme="majorBidi" w:cstheme="majorBidi"/>
          <w:color w:val="0D0D0D" w:themeColor="text1" w:themeTint="F2"/>
          <w:sz w:val="22"/>
          <w:szCs w:val="22"/>
        </w:rPr>
        <w:t xml:space="preserve">. </w:t>
      </w:r>
      <w:r w:rsidR="00D672FA">
        <w:rPr>
          <w:rFonts w:asciiTheme="majorBidi" w:hAnsiTheme="majorBidi" w:cstheme="majorBidi"/>
          <w:color w:val="0D0D0D" w:themeColor="text1" w:themeTint="F2"/>
          <w:sz w:val="22"/>
          <w:szCs w:val="22"/>
        </w:rPr>
        <w:t xml:space="preserve"> </w:t>
      </w:r>
      <w:r w:rsidRPr="005A2DD6">
        <w:rPr>
          <w:rFonts w:asciiTheme="majorBidi" w:hAnsiTheme="majorBidi" w:cstheme="majorBidi"/>
          <w:color w:val="0D0D0D" w:themeColor="text1" w:themeTint="F2"/>
          <w:sz w:val="22"/>
          <w:szCs w:val="22"/>
        </w:rPr>
        <w:t>Ramallah- Palestine</w:t>
      </w:r>
    </w:p>
    <w:p w:rsidR="001E179A" w:rsidRPr="005A2DD6" w:rsidRDefault="001E179A" w:rsidP="00522248">
      <w:pPr>
        <w:pStyle w:val="ListParagraph"/>
        <w:numPr>
          <w:ilvl w:val="0"/>
          <w:numId w:val="1"/>
        </w:numPr>
        <w:bidi w:val="0"/>
        <w:ind w:left="284" w:hanging="284"/>
        <w:jc w:val="both"/>
        <w:rPr>
          <w:rFonts w:ascii="Arial" w:hAnsi="Arial" w:cs="Arial"/>
          <w:color w:val="0D0D0D" w:themeColor="text1" w:themeTint="F2"/>
        </w:rPr>
      </w:pPr>
      <w:r w:rsidRPr="005A2DD6">
        <w:rPr>
          <w:rFonts w:asciiTheme="majorBidi" w:hAnsiTheme="majorBidi" w:cstheme="majorBidi"/>
          <w:color w:val="0D0D0D" w:themeColor="text1" w:themeTint="F2"/>
        </w:rPr>
        <w:t>Abdullah Al-</w:t>
      </w:r>
      <w:proofErr w:type="spellStart"/>
      <w:r w:rsidRPr="005A2DD6">
        <w:rPr>
          <w:rFonts w:asciiTheme="majorBidi" w:hAnsiTheme="majorBidi" w:cstheme="majorBidi"/>
          <w:color w:val="0D0D0D" w:themeColor="text1" w:themeTint="F2"/>
        </w:rPr>
        <w:t>Hourani</w:t>
      </w:r>
      <w:proofErr w:type="spellEnd"/>
      <w:r w:rsidRPr="005A2DD6">
        <w:rPr>
          <w:rFonts w:asciiTheme="majorBidi" w:hAnsiTheme="majorBidi" w:cstheme="majorBidi"/>
          <w:color w:val="0D0D0D" w:themeColor="text1" w:themeTint="F2"/>
        </w:rPr>
        <w:t xml:space="preserve"> Center for Studies and Documentation</w:t>
      </w:r>
      <w:r w:rsidRPr="005A2DD6">
        <w:rPr>
          <w:rFonts w:ascii="Arial" w:hAnsi="Arial" w:cs="Arial"/>
          <w:color w:val="0D0D0D" w:themeColor="text1" w:themeTint="F2"/>
        </w:rPr>
        <w:t xml:space="preserve">, </w:t>
      </w:r>
      <w:r w:rsidR="00522248" w:rsidRPr="005A2DD6">
        <w:rPr>
          <w:rFonts w:asciiTheme="majorBidi" w:hAnsiTheme="majorBidi" w:cstheme="majorBidi"/>
          <w:color w:val="0D0D0D" w:themeColor="text1" w:themeTint="F2"/>
        </w:rPr>
        <w:t>2018</w:t>
      </w:r>
      <w:r w:rsidR="00522248">
        <w:rPr>
          <w:rStyle w:val="shorttext"/>
          <w:color w:val="0D0D0D" w:themeColor="text1" w:themeTint="F2"/>
        </w:rPr>
        <w:t xml:space="preserve">. </w:t>
      </w:r>
      <w:r w:rsidRPr="005A2DD6">
        <w:rPr>
          <w:rStyle w:val="shorttext"/>
          <w:color w:val="0D0D0D" w:themeColor="text1" w:themeTint="F2"/>
        </w:rPr>
        <w:t>Israeli violations 2017</w:t>
      </w:r>
      <w:r w:rsidRPr="005A2DD6">
        <w:rPr>
          <w:rFonts w:asciiTheme="majorBidi" w:hAnsiTheme="majorBidi" w:cstheme="majorBidi"/>
          <w:color w:val="0D0D0D" w:themeColor="text1" w:themeTint="F2"/>
        </w:rPr>
        <w:t>,</w:t>
      </w:r>
      <w:r w:rsidRPr="005A2DD6">
        <w:rPr>
          <w:rFonts w:asciiTheme="majorBidi" w:hAnsiTheme="majorBidi" w:cstheme="majorBidi"/>
          <w:color w:val="0D0D0D" w:themeColor="text1" w:themeTint="F2"/>
          <w:sz w:val="22"/>
          <w:szCs w:val="22"/>
        </w:rPr>
        <w:t xml:space="preserve"> Ramallah</w:t>
      </w:r>
      <w:r w:rsidRPr="005A2DD6">
        <w:rPr>
          <w:rFonts w:ascii="Arial" w:hAnsi="Arial" w:cs="Arial"/>
          <w:color w:val="0D0D0D" w:themeColor="text1" w:themeTint="F2"/>
        </w:rPr>
        <w:t>.</w:t>
      </w:r>
    </w:p>
    <w:p w:rsidR="001E179A" w:rsidRDefault="001E179A" w:rsidP="00D55AA7">
      <w:pPr>
        <w:pStyle w:val="ListParagraph"/>
        <w:numPr>
          <w:ilvl w:val="0"/>
          <w:numId w:val="1"/>
        </w:numPr>
        <w:bidi w:val="0"/>
        <w:ind w:left="284" w:hanging="284"/>
        <w:jc w:val="both"/>
        <w:rPr>
          <w:rFonts w:asciiTheme="majorBidi" w:hAnsiTheme="majorBidi" w:cstheme="majorBidi"/>
          <w:color w:val="0D0D0D" w:themeColor="text1" w:themeTint="F2"/>
        </w:rPr>
      </w:pPr>
      <w:r w:rsidRPr="005A2DD6">
        <w:rPr>
          <w:rFonts w:asciiTheme="majorBidi" w:hAnsiTheme="majorBidi" w:cstheme="majorBidi"/>
          <w:color w:val="0D0D0D" w:themeColor="text1" w:themeTint="F2"/>
        </w:rPr>
        <w:t>Israel Central Bureau of Statistics, Statistical Abstract of Israel.  Jerusalem, 2017.</w:t>
      </w:r>
    </w:p>
    <w:p w:rsidR="001E179A" w:rsidRDefault="001E179A" w:rsidP="00D55AA7">
      <w:pPr>
        <w:pStyle w:val="ListParagraph"/>
        <w:numPr>
          <w:ilvl w:val="0"/>
          <w:numId w:val="1"/>
        </w:numPr>
        <w:bidi w:val="0"/>
        <w:ind w:left="284" w:hanging="284"/>
        <w:jc w:val="both"/>
        <w:rPr>
          <w:rFonts w:asciiTheme="majorBidi" w:hAnsiTheme="majorBidi" w:cstheme="majorBidi"/>
          <w:color w:val="0D0D0D" w:themeColor="text1" w:themeTint="F2"/>
        </w:rPr>
      </w:pPr>
      <w:r w:rsidRPr="005A2DD6">
        <w:rPr>
          <w:rFonts w:asciiTheme="majorBidi" w:hAnsiTheme="majorBidi" w:cstheme="majorBidi"/>
          <w:color w:val="0D0D0D" w:themeColor="text1" w:themeTint="F2"/>
        </w:rPr>
        <w:t>Palestinian Ministry of Detainees and Ex-detainees</w:t>
      </w:r>
      <w:r>
        <w:rPr>
          <w:rFonts w:asciiTheme="majorBidi" w:hAnsiTheme="majorBidi" w:cstheme="majorBidi"/>
          <w:color w:val="0D0D0D" w:themeColor="text1" w:themeTint="F2"/>
        </w:rPr>
        <w:t xml:space="preserve"> database</w:t>
      </w:r>
      <w:r w:rsidRPr="005A2DD6">
        <w:rPr>
          <w:rFonts w:asciiTheme="majorBidi" w:hAnsiTheme="majorBidi" w:cstheme="majorBidi"/>
          <w:color w:val="0D0D0D" w:themeColor="text1" w:themeTint="F2"/>
        </w:rPr>
        <w:t>, unpublished data. 2018</w:t>
      </w:r>
    </w:p>
    <w:p w:rsidR="00D672FA" w:rsidRPr="005A2DD6" w:rsidRDefault="008B302D" w:rsidP="00D55AA7">
      <w:pPr>
        <w:pStyle w:val="ListParagraph"/>
        <w:numPr>
          <w:ilvl w:val="0"/>
          <w:numId w:val="1"/>
        </w:numPr>
        <w:bidi w:val="0"/>
        <w:ind w:left="284" w:hanging="284"/>
        <w:jc w:val="both"/>
        <w:rPr>
          <w:rFonts w:asciiTheme="majorBidi" w:hAnsiTheme="majorBidi" w:cstheme="majorBidi"/>
          <w:color w:val="0D0D0D" w:themeColor="text1" w:themeTint="F2"/>
        </w:rPr>
      </w:pPr>
      <w:r w:rsidRPr="008B302D">
        <w:rPr>
          <w:rFonts w:asciiTheme="majorBidi" w:hAnsiTheme="majorBidi" w:cstheme="majorBidi"/>
          <w:color w:val="0D0D0D" w:themeColor="text1" w:themeTint="F2"/>
        </w:rPr>
        <w:t>The Jerusalem Center for Israeli and Palestinian Studies, a detailed study of Israeli violations following the Trump Declaration on Jerusalem</w:t>
      </w:r>
      <w:r w:rsidR="00D55AA7">
        <w:rPr>
          <w:rFonts w:asciiTheme="majorBidi" w:hAnsiTheme="majorBidi" w:cstheme="majorBidi"/>
          <w:color w:val="0D0D0D" w:themeColor="text1" w:themeTint="F2"/>
        </w:rPr>
        <w:t>.</w:t>
      </w:r>
    </w:p>
    <w:p w:rsidR="001E179A" w:rsidRDefault="001E179A" w:rsidP="001E179A">
      <w:pPr>
        <w:jc w:val="both"/>
        <w:rPr>
          <w:rFonts w:asciiTheme="majorBidi" w:hAnsiTheme="majorBidi" w:cstheme="majorBidi"/>
          <w:color w:val="0D0D0D" w:themeColor="text1" w:themeTint="F2"/>
          <w:rtl/>
        </w:rPr>
      </w:pPr>
    </w:p>
    <w:sectPr w:rsidR="001E179A" w:rsidSect="001E179A">
      <w:footerReference w:type="even" r:id="rId9"/>
      <w:footerReference w:type="default" r:id="rId10"/>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32" w:rsidRDefault="00535A32" w:rsidP="00A8553F">
      <w:r>
        <w:separator/>
      </w:r>
    </w:p>
  </w:endnote>
  <w:endnote w:type="continuationSeparator" w:id="0">
    <w:p w:rsidR="00535A32" w:rsidRDefault="00535A32" w:rsidP="00A85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32" w:rsidRDefault="000A2A57" w:rsidP="00A8553F">
    <w:pPr>
      <w:pStyle w:val="Footer"/>
      <w:rPr>
        <w:rStyle w:val="PageNumber"/>
        <w:rtl/>
      </w:rPr>
    </w:pPr>
    <w:r>
      <w:rPr>
        <w:rStyle w:val="PageNumber"/>
        <w:rtl/>
      </w:rPr>
      <w:fldChar w:fldCharType="begin"/>
    </w:r>
    <w:r w:rsidR="00535A32">
      <w:rPr>
        <w:rStyle w:val="PageNumber"/>
      </w:rPr>
      <w:instrText xml:space="preserve">PAGE  </w:instrText>
    </w:r>
    <w:r>
      <w:rPr>
        <w:rStyle w:val="PageNumber"/>
        <w:rtl/>
      </w:rPr>
      <w:fldChar w:fldCharType="end"/>
    </w:r>
  </w:p>
  <w:p w:rsidR="00535A32" w:rsidRDefault="00535A32" w:rsidP="00A8553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32" w:rsidRDefault="000A2A57" w:rsidP="009813A3">
    <w:pPr>
      <w:pStyle w:val="Footer"/>
      <w:jc w:val="center"/>
      <w:rPr>
        <w:rStyle w:val="PageNumber"/>
        <w:rtl/>
      </w:rPr>
    </w:pPr>
    <w:r>
      <w:rPr>
        <w:rStyle w:val="PageNumber"/>
        <w:rtl/>
      </w:rPr>
      <w:fldChar w:fldCharType="begin"/>
    </w:r>
    <w:r w:rsidR="00535A32">
      <w:rPr>
        <w:rStyle w:val="PageNumber"/>
      </w:rPr>
      <w:instrText xml:space="preserve">PAGE  </w:instrText>
    </w:r>
    <w:r>
      <w:rPr>
        <w:rStyle w:val="PageNumber"/>
        <w:rtl/>
      </w:rPr>
      <w:fldChar w:fldCharType="separate"/>
    </w:r>
    <w:r w:rsidR="0012067E">
      <w:rPr>
        <w:rStyle w:val="PageNumber"/>
        <w:noProof/>
      </w:rPr>
      <w:t>1</w:t>
    </w:r>
    <w:r>
      <w:rPr>
        <w:rStyle w:val="PageNumber"/>
        <w:rtl/>
      </w:rPr>
      <w:fldChar w:fldCharType="end"/>
    </w:r>
  </w:p>
  <w:p w:rsidR="00535A32" w:rsidRDefault="00535A32" w:rsidP="00A8553F">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32" w:rsidRDefault="00535A32" w:rsidP="00A8553F">
      <w:r>
        <w:separator/>
      </w:r>
    </w:p>
  </w:footnote>
  <w:footnote w:type="continuationSeparator" w:id="0">
    <w:p w:rsidR="00535A32" w:rsidRDefault="00535A32" w:rsidP="00A85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6D6"/>
    <w:multiLevelType w:val="hybridMultilevel"/>
    <w:tmpl w:val="DB2490DC"/>
    <w:lvl w:ilvl="0" w:tplc="C5723A06">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20"/>
  <w:characterSpacingControl w:val="doNotCompress"/>
  <w:footnotePr>
    <w:footnote w:id="-1"/>
    <w:footnote w:id="0"/>
  </w:footnotePr>
  <w:endnotePr>
    <w:endnote w:id="-1"/>
    <w:endnote w:id="0"/>
  </w:endnotePr>
  <w:compat/>
  <w:rsids>
    <w:rsidRoot w:val="00FF336E"/>
    <w:rsid w:val="00000113"/>
    <w:rsid w:val="00006E97"/>
    <w:rsid w:val="000140B9"/>
    <w:rsid w:val="00020860"/>
    <w:rsid w:val="00025AD9"/>
    <w:rsid w:val="00027934"/>
    <w:rsid w:val="000332E2"/>
    <w:rsid w:val="000337A5"/>
    <w:rsid w:val="00034965"/>
    <w:rsid w:val="00042D3E"/>
    <w:rsid w:val="000543EC"/>
    <w:rsid w:val="00055C31"/>
    <w:rsid w:val="00055E06"/>
    <w:rsid w:val="00056713"/>
    <w:rsid w:val="000570FE"/>
    <w:rsid w:val="00062566"/>
    <w:rsid w:val="000637A8"/>
    <w:rsid w:val="00065713"/>
    <w:rsid w:val="000747AC"/>
    <w:rsid w:val="00076A48"/>
    <w:rsid w:val="00081F17"/>
    <w:rsid w:val="000843B6"/>
    <w:rsid w:val="00087407"/>
    <w:rsid w:val="0008784A"/>
    <w:rsid w:val="00091E11"/>
    <w:rsid w:val="00092850"/>
    <w:rsid w:val="00096E9B"/>
    <w:rsid w:val="000A2A57"/>
    <w:rsid w:val="000B419B"/>
    <w:rsid w:val="000B60D3"/>
    <w:rsid w:val="000C4551"/>
    <w:rsid w:val="000C77CF"/>
    <w:rsid w:val="000E3C7F"/>
    <w:rsid w:val="000F233E"/>
    <w:rsid w:val="00116557"/>
    <w:rsid w:val="0012067E"/>
    <w:rsid w:val="0012388D"/>
    <w:rsid w:val="00133607"/>
    <w:rsid w:val="0014461D"/>
    <w:rsid w:val="001465B3"/>
    <w:rsid w:val="00151452"/>
    <w:rsid w:val="00165E73"/>
    <w:rsid w:val="00165E91"/>
    <w:rsid w:val="0017126A"/>
    <w:rsid w:val="001727DA"/>
    <w:rsid w:val="00180AC1"/>
    <w:rsid w:val="00182C8A"/>
    <w:rsid w:val="00183BE4"/>
    <w:rsid w:val="001907D6"/>
    <w:rsid w:val="001957FE"/>
    <w:rsid w:val="00196D93"/>
    <w:rsid w:val="001C2A86"/>
    <w:rsid w:val="001C3610"/>
    <w:rsid w:val="001C517C"/>
    <w:rsid w:val="001E070B"/>
    <w:rsid w:val="001E179A"/>
    <w:rsid w:val="001E3DA4"/>
    <w:rsid w:val="001F3056"/>
    <w:rsid w:val="001F58AA"/>
    <w:rsid w:val="001F74E0"/>
    <w:rsid w:val="00201DF9"/>
    <w:rsid w:val="00202E24"/>
    <w:rsid w:val="00210BE0"/>
    <w:rsid w:val="00211914"/>
    <w:rsid w:val="00217F7A"/>
    <w:rsid w:val="00224758"/>
    <w:rsid w:val="0023412C"/>
    <w:rsid w:val="00234FC5"/>
    <w:rsid w:val="002366BB"/>
    <w:rsid w:val="002374A9"/>
    <w:rsid w:val="00240D43"/>
    <w:rsid w:val="0024755D"/>
    <w:rsid w:val="00262391"/>
    <w:rsid w:val="00286500"/>
    <w:rsid w:val="00293F57"/>
    <w:rsid w:val="00294415"/>
    <w:rsid w:val="002A2F22"/>
    <w:rsid w:val="002A66B3"/>
    <w:rsid w:val="002A7B43"/>
    <w:rsid w:val="002B335C"/>
    <w:rsid w:val="002B3624"/>
    <w:rsid w:val="002C08C2"/>
    <w:rsid w:val="002C3B71"/>
    <w:rsid w:val="002C598E"/>
    <w:rsid w:val="002C7488"/>
    <w:rsid w:val="002D1098"/>
    <w:rsid w:val="002F4480"/>
    <w:rsid w:val="002F7319"/>
    <w:rsid w:val="00303E3D"/>
    <w:rsid w:val="00306DEC"/>
    <w:rsid w:val="00324239"/>
    <w:rsid w:val="00334530"/>
    <w:rsid w:val="00342724"/>
    <w:rsid w:val="00343A87"/>
    <w:rsid w:val="00344208"/>
    <w:rsid w:val="00355E2F"/>
    <w:rsid w:val="00361DD4"/>
    <w:rsid w:val="00362FD8"/>
    <w:rsid w:val="00366480"/>
    <w:rsid w:val="00367FCA"/>
    <w:rsid w:val="003725B7"/>
    <w:rsid w:val="00372D20"/>
    <w:rsid w:val="00374847"/>
    <w:rsid w:val="003902D2"/>
    <w:rsid w:val="00395952"/>
    <w:rsid w:val="00397EF8"/>
    <w:rsid w:val="003A6FBC"/>
    <w:rsid w:val="003C3663"/>
    <w:rsid w:val="003C5CE6"/>
    <w:rsid w:val="003D420A"/>
    <w:rsid w:val="003E336F"/>
    <w:rsid w:val="003E6054"/>
    <w:rsid w:val="00406849"/>
    <w:rsid w:val="00426CE4"/>
    <w:rsid w:val="00442C6E"/>
    <w:rsid w:val="004437B5"/>
    <w:rsid w:val="00446468"/>
    <w:rsid w:val="00457032"/>
    <w:rsid w:val="00460F9C"/>
    <w:rsid w:val="004625FA"/>
    <w:rsid w:val="00464DA3"/>
    <w:rsid w:val="004704A7"/>
    <w:rsid w:val="0047092C"/>
    <w:rsid w:val="00473ACB"/>
    <w:rsid w:val="004804AD"/>
    <w:rsid w:val="00482185"/>
    <w:rsid w:val="004851B8"/>
    <w:rsid w:val="004924F9"/>
    <w:rsid w:val="00492F1F"/>
    <w:rsid w:val="00497781"/>
    <w:rsid w:val="004A1917"/>
    <w:rsid w:val="004A5B68"/>
    <w:rsid w:val="004A7C4E"/>
    <w:rsid w:val="004B3AA6"/>
    <w:rsid w:val="004C3E9E"/>
    <w:rsid w:val="004D190C"/>
    <w:rsid w:val="004D3475"/>
    <w:rsid w:val="004D7D1D"/>
    <w:rsid w:val="004E4EA1"/>
    <w:rsid w:val="004E7159"/>
    <w:rsid w:val="004F4149"/>
    <w:rsid w:val="004F430A"/>
    <w:rsid w:val="004F45D2"/>
    <w:rsid w:val="005018E3"/>
    <w:rsid w:val="005033CE"/>
    <w:rsid w:val="005161C0"/>
    <w:rsid w:val="00522248"/>
    <w:rsid w:val="00527F5C"/>
    <w:rsid w:val="00535A32"/>
    <w:rsid w:val="00541A0A"/>
    <w:rsid w:val="00543156"/>
    <w:rsid w:val="00545240"/>
    <w:rsid w:val="005552B0"/>
    <w:rsid w:val="0055724C"/>
    <w:rsid w:val="0056061B"/>
    <w:rsid w:val="005668A1"/>
    <w:rsid w:val="00573B46"/>
    <w:rsid w:val="00577375"/>
    <w:rsid w:val="005832AD"/>
    <w:rsid w:val="005874A2"/>
    <w:rsid w:val="00593E2D"/>
    <w:rsid w:val="005A173E"/>
    <w:rsid w:val="005A1E37"/>
    <w:rsid w:val="005B2AB4"/>
    <w:rsid w:val="005B3FF6"/>
    <w:rsid w:val="005C327B"/>
    <w:rsid w:val="005D0B8B"/>
    <w:rsid w:val="005E11E1"/>
    <w:rsid w:val="005E7F4C"/>
    <w:rsid w:val="005F27F4"/>
    <w:rsid w:val="005F3ADE"/>
    <w:rsid w:val="005F5908"/>
    <w:rsid w:val="00606261"/>
    <w:rsid w:val="0061726B"/>
    <w:rsid w:val="00624810"/>
    <w:rsid w:val="00634007"/>
    <w:rsid w:val="00636863"/>
    <w:rsid w:val="00645BD2"/>
    <w:rsid w:val="00662DAA"/>
    <w:rsid w:val="00664AEB"/>
    <w:rsid w:val="00665DCC"/>
    <w:rsid w:val="00673650"/>
    <w:rsid w:val="00673A21"/>
    <w:rsid w:val="00675000"/>
    <w:rsid w:val="00677612"/>
    <w:rsid w:val="00682AA8"/>
    <w:rsid w:val="00687A5E"/>
    <w:rsid w:val="00690169"/>
    <w:rsid w:val="006931C4"/>
    <w:rsid w:val="00694CB8"/>
    <w:rsid w:val="00695D62"/>
    <w:rsid w:val="006A06E8"/>
    <w:rsid w:val="006B3A6B"/>
    <w:rsid w:val="006B4286"/>
    <w:rsid w:val="006B69DD"/>
    <w:rsid w:val="006C5484"/>
    <w:rsid w:val="006C6C37"/>
    <w:rsid w:val="006E3170"/>
    <w:rsid w:val="006E51CF"/>
    <w:rsid w:val="006E553F"/>
    <w:rsid w:val="006E6963"/>
    <w:rsid w:val="006F1403"/>
    <w:rsid w:val="00706B88"/>
    <w:rsid w:val="00715890"/>
    <w:rsid w:val="00723A8E"/>
    <w:rsid w:val="00736AD9"/>
    <w:rsid w:val="007415DE"/>
    <w:rsid w:val="00744131"/>
    <w:rsid w:val="00744C39"/>
    <w:rsid w:val="00773607"/>
    <w:rsid w:val="00775A80"/>
    <w:rsid w:val="007908C1"/>
    <w:rsid w:val="00793379"/>
    <w:rsid w:val="00794529"/>
    <w:rsid w:val="007B1687"/>
    <w:rsid w:val="007B4157"/>
    <w:rsid w:val="007C2141"/>
    <w:rsid w:val="007C51E0"/>
    <w:rsid w:val="007E423A"/>
    <w:rsid w:val="007E65B4"/>
    <w:rsid w:val="007E6866"/>
    <w:rsid w:val="007F2F2F"/>
    <w:rsid w:val="007F5224"/>
    <w:rsid w:val="007F7C15"/>
    <w:rsid w:val="007F7FAA"/>
    <w:rsid w:val="00817516"/>
    <w:rsid w:val="008235EC"/>
    <w:rsid w:val="00827E79"/>
    <w:rsid w:val="0083033F"/>
    <w:rsid w:val="008515B2"/>
    <w:rsid w:val="00851612"/>
    <w:rsid w:val="00875117"/>
    <w:rsid w:val="00876E07"/>
    <w:rsid w:val="0088176B"/>
    <w:rsid w:val="00891B87"/>
    <w:rsid w:val="00894DC4"/>
    <w:rsid w:val="008A64BA"/>
    <w:rsid w:val="008B1E30"/>
    <w:rsid w:val="008B302D"/>
    <w:rsid w:val="008B3F27"/>
    <w:rsid w:val="008C06F1"/>
    <w:rsid w:val="008C7D72"/>
    <w:rsid w:val="008D07DF"/>
    <w:rsid w:val="008D089E"/>
    <w:rsid w:val="008D264C"/>
    <w:rsid w:val="008E32E0"/>
    <w:rsid w:val="008E4927"/>
    <w:rsid w:val="00903262"/>
    <w:rsid w:val="009037F0"/>
    <w:rsid w:val="009053DA"/>
    <w:rsid w:val="00907FE4"/>
    <w:rsid w:val="00913614"/>
    <w:rsid w:val="00917984"/>
    <w:rsid w:val="009206BA"/>
    <w:rsid w:val="00920D59"/>
    <w:rsid w:val="00922951"/>
    <w:rsid w:val="0094462E"/>
    <w:rsid w:val="00952927"/>
    <w:rsid w:val="009754EB"/>
    <w:rsid w:val="00975813"/>
    <w:rsid w:val="009813A3"/>
    <w:rsid w:val="00983245"/>
    <w:rsid w:val="009A4880"/>
    <w:rsid w:val="009B08D6"/>
    <w:rsid w:val="009B113E"/>
    <w:rsid w:val="009B1AB2"/>
    <w:rsid w:val="009B6C77"/>
    <w:rsid w:val="009C2434"/>
    <w:rsid w:val="009D0539"/>
    <w:rsid w:val="009D1C8E"/>
    <w:rsid w:val="009E0404"/>
    <w:rsid w:val="009F01C8"/>
    <w:rsid w:val="009F0B97"/>
    <w:rsid w:val="009F2034"/>
    <w:rsid w:val="009F73D4"/>
    <w:rsid w:val="009F76EC"/>
    <w:rsid w:val="00A105D6"/>
    <w:rsid w:val="00A111DA"/>
    <w:rsid w:val="00A16E22"/>
    <w:rsid w:val="00A22846"/>
    <w:rsid w:val="00A23003"/>
    <w:rsid w:val="00A33EE5"/>
    <w:rsid w:val="00A34428"/>
    <w:rsid w:val="00A4415F"/>
    <w:rsid w:val="00A51571"/>
    <w:rsid w:val="00A57D3B"/>
    <w:rsid w:val="00A63B9B"/>
    <w:rsid w:val="00A70E42"/>
    <w:rsid w:val="00A73822"/>
    <w:rsid w:val="00A73BC8"/>
    <w:rsid w:val="00A77A78"/>
    <w:rsid w:val="00A8094B"/>
    <w:rsid w:val="00A8553F"/>
    <w:rsid w:val="00A877EA"/>
    <w:rsid w:val="00A9117C"/>
    <w:rsid w:val="00A92F0E"/>
    <w:rsid w:val="00A94980"/>
    <w:rsid w:val="00A9689E"/>
    <w:rsid w:val="00A97A1E"/>
    <w:rsid w:val="00AA4069"/>
    <w:rsid w:val="00AB3340"/>
    <w:rsid w:val="00AB3C8C"/>
    <w:rsid w:val="00AB4934"/>
    <w:rsid w:val="00AC011D"/>
    <w:rsid w:val="00AE15CD"/>
    <w:rsid w:val="00AE1CCC"/>
    <w:rsid w:val="00AE4737"/>
    <w:rsid w:val="00B16C3B"/>
    <w:rsid w:val="00B175EB"/>
    <w:rsid w:val="00B1768C"/>
    <w:rsid w:val="00B22185"/>
    <w:rsid w:val="00B22BDA"/>
    <w:rsid w:val="00B26168"/>
    <w:rsid w:val="00B3116F"/>
    <w:rsid w:val="00B32CFD"/>
    <w:rsid w:val="00B37D19"/>
    <w:rsid w:val="00B54CAE"/>
    <w:rsid w:val="00B738D1"/>
    <w:rsid w:val="00B80133"/>
    <w:rsid w:val="00B87BBC"/>
    <w:rsid w:val="00B93953"/>
    <w:rsid w:val="00BA05B9"/>
    <w:rsid w:val="00BA4806"/>
    <w:rsid w:val="00BB0C54"/>
    <w:rsid w:val="00BB697B"/>
    <w:rsid w:val="00BC5E0C"/>
    <w:rsid w:val="00BD0EEE"/>
    <w:rsid w:val="00BD10B5"/>
    <w:rsid w:val="00BD10E6"/>
    <w:rsid w:val="00BD3646"/>
    <w:rsid w:val="00BE13C5"/>
    <w:rsid w:val="00BE3C91"/>
    <w:rsid w:val="00BF6BF8"/>
    <w:rsid w:val="00C00AB2"/>
    <w:rsid w:val="00C02E08"/>
    <w:rsid w:val="00C23662"/>
    <w:rsid w:val="00C26507"/>
    <w:rsid w:val="00C31B12"/>
    <w:rsid w:val="00C32415"/>
    <w:rsid w:val="00C356F3"/>
    <w:rsid w:val="00C3574A"/>
    <w:rsid w:val="00C517E4"/>
    <w:rsid w:val="00C55D30"/>
    <w:rsid w:val="00C666AD"/>
    <w:rsid w:val="00C67780"/>
    <w:rsid w:val="00C71DA7"/>
    <w:rsid w:val="00C80750"/>
    <w:rsid w:val="00C809C3"/>
    <w:rsid w:val="00C81275"/>
    <w:rsid w:val="00C834F5"/>
    <w:rsid w:val="00C84D2B"/>
    <w:rsid w:val="00C867E1"/>
    <w:rsid w:val="00C90FC4"/>
    <w:rsid w:val="00CA1E02"/>
    <w:rsid w:val="00CA26C3"/>
    <w:rsid w:val="00CA5C29"/>
    <w:rsid w:val="00CB1265"/>
    <w:rsid w:val="00CB7B50"/>
    <w:rsid w:val="00CC27D9"/>
    <w:rsid w:val="00CC35C9"/>
    <w:rsid w:val="00CC4B5F"/>
    <w:rsid w:val="00CD511E"/>
    <w:rsid w:val="00CE215F"/>
    <w:rsid w:val="00CF1564"/>
    <w:rsid w:val="00CF785F"/>
    <w:rsid w:val="00D03588"/>
    <w:rsid w:val="00D06A88"/>
    <w:rsid w:val="00D10CFA"/>
    <w:rsid w:val="00D10EF0"/>
    <w:rsid w:val="00D16331"/>
    <w:rsid w:val="00D23641"/>
    <w:rsid w:val="00D341A2"/>
    <w:rsid w:val="00D37058"/>
    <w:rsid w:val="00D372D2"/>
    <w:rsid w:val="00D47846"/>
    <w:rsid w:val="00D51DDC"/>
    <w:rsid w:val="00D535A5"/>
    <w:rsid w:val="00D55AA7"/>
    <w:rsid w:val="00D62D65"/>
    <w:rsid w:val="00D672FA"/>
    <w:rsid w:val="00D673B9"/>
    <w:rsid w:val="00D7275F"/>
    <w:rsid w:val="00D73DA1"/>
    <w:rsid w:val="00D75AF4"/>
    <w:rsid w:val="00D77881"/>
    <w:rsid w:val="00D77D3B"/>
    <w:rsid w:val="00D823CE"/>
    <w:rsid w:val="00D87A18"/>
    <w:rsid w:val="00DA0088"/>
    <w:rsid w:val="00DA18C2"/>
    <w:rsid w:val="00DB6B85"/>
    <w:rsid w:val="00DC47C5"/>
    <w:rsid w:val="00DC7C9D"/>
    <w:rsid w:val="00DD4D04"/>
    <w:rsid w:val="00DE1B49"/>
    <w:rsid w:val="00DF3AFF"/>
    <w:rsid w:val="00DF42BC"/>
    <w:rsid w:val="00E03348"/>
    <w:rsid w:val="00E271CC"/>
    <w:rsid w:val="00E27B80"/>
    <w:rsid w:val="00E36682"/>
    <w:rsid w:val="00E53F55"/>
    <w:rsid w:val="00E64DC5"/>
    <w:rsid w:val="00E666A4"/>
    <w:rsid w:val="00E701C9"/>
    <w:rsid w:val="00E73A6F"/>
    <w:rsid w:val="00E86D25"/>
    <w:rsid w:val="00E9049A"/>
    <w:rsid w:val="00E920BD"/>
    <w:rsid w:val="00E9232D"/>
    <w:rsid w:val="00E942C0"/>
    <w:rsid w:val="00E957C9"/>
    <w:rsid w:val="00EA1323"/>
    <w:rsid w:val="00EA6984"/>
    <w:rsid w:val="00EB6093"/>
    <w:rsid w:val="00EB649D"/>
    <w:rsid w:val="00EC154C"/>
    <w:rsid w:val="00ED2E9A"/>
    <w:rsid w:val="00ED2EC4"/>
    <w:rsid w:val="00ED344E"/>
    <w:rsid w:val="00ED7817"/>
    <w:rsid w:val="00EE2B36"/>
    <w:rsid w:val="00EE47FD"/>
    <w:rsid w:val="00EE5A6D"/>
    <w:rsid w:val="00EF0FCF"/>
    <w:rsid w:val="00EF1629"/>
    <w:rsid w:val="00EF19FB"/>
    <w:rsid w:val="00EF70B2"/>
    <w:rsid w:val="00EF7D61"/>
    <w:rsid w:val="00F0378C"/>
    <w:rsid w:val="00F10BE4"/>
    <w:rsid w:val="00F207BD"/>
    <w:rsid w:val="00F30958"/>
    <w:rsid w:val="00F30F86"/>
    <w:rsid w:val="00F3143F"/>
    <w:rsid w:val="00F32A87"/>
    <w:rsid w:val="00F33F73"/>
    <w:rsid w:val="00F3573B"/>
    <w:rsid w:val="00F36199"/>
    <w:rsid w:val="00F47F4C"/>
    <w:rsid w:val="00F50738"/>
    <w:rsid w:val="00F61347"/>
    <w:rsid w:val="00F6493D"/>
    <w:rsid w:val="00F715C2"/>
    <w:rsid w:val="00F85A1D"/>
    <w:rsid w:val="00F8615F"/>
    <w:rsid w:val="00F909E6"/>
    <w:rsid w:val="00FA113E"/>
    <w:rsid w:val="00FA1A38"/>
    <w:rsid w:val="00FA51EE"/>
    <w:rsid w:val="00FA6153"/>
    <w:rsid w:val="00FB5A15"/>
    <w:rsid w:val="00FC240B"/>
    <w:rsid w:val="00FC34FF"/>
    <w:rsid w:val="00FC4BCD"/>
    <w:rsid w:val="00FC54A3"/>
    <w:rsid w:val="00FC5B36"/>
    <w:rsid w:val="00FE4611"/>
    <w:rsid w:val="00FF16D1"/>
    <w:rsid w:val="00FF33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3F"/>
    <w:pPr>
      <w:jc w:val="lowKashida"/>
    </w:pPr>
    <w:rPr>
      <w:rFonts w:ascii="Times New Roman" w:hAnsi="Times New Roman" w:cs="Times New Roman"/>
      <w:sz w:val="24"/>
      <w:szCs w:val="24"/>
    </w:rPr>
  </w:style>
  <w:style w:type="paragraph" w:styleId="Heading1">
    <w:name w:val="heading 1"/>
    <w:basedOn w:val="Normal"/>
    <w:next w:val="Normal"/>
    <w:qFormat/>
    <w:rsid w:val="00D77881"/>
    <w:pPr>
      <w:keepNext/>
      <w:autoSpaceDE w:val="0"/>
      <w:autoSpaceDN w:val="0"/>
      <w:adjustRightInd w:val="0"/>
      <w:jc w:val="left"/>
      <w:outlineLvl w:val="0"/>
    </w:pPr>
    <w:rPr>
      <w:b/>
      <w:bCs/>
      <w:sz w:val="26"/>
      <w:szCs w:val="26"/>
    </w:rPr>
  </w:style>
  <w:style w:type="paragraph" w:styleId="Heading2">
    <w:name w:val="heading 2"/>
    <w:basedOn w:val="Normal"/>
    <w:next w:val="Normal"/>
    <w:qFormat/>
    <w:rsid w:val="00D77881"/>
    <w:pPr>
      <w:keepNext/>
      <w:autoSpaceDE w:val="0"/>
      <w:autoSpaceDN w:val="0"/>
      <w:adjustRightInd w:val="0"/>
      <w:jc w:val="left"/>
      <w:outlineLvl w:val="1"/>
    </w:pPr>
    <w:rPr>
      <w:rFonts w:eastAsia="Times New Roman"/>
      <w:b/>
      <w:bCs/>
    </w:rPr>
  </w:style>
  <w:style w:type="paragraph" w:styleId="Heading3">
    <w:name w:val="heading 3"/>
    <w:basedOn w:val="Normal"/>
    <w:next w:val="Normal"/>
    <w:qFormat/>
    <w:rsid w:val="00D77881"/>
    <w:pPr>
      <w:keepNext/>
      <w:autoSpaceDE w:val="0"/>
      <w:autoSpaceDN w:val="0"/>
      <w:adjustRightInd w:val="0"/>
      <w:jc w:val="both"/>
      <w:outlineLvl w:val="2"/>
    </w:pPr>
    <w:rPr>
      <w:b/>
      <w:bCs/>
    </w:rPr>
  </w:style>
  <w:style w:type="paragraph" w:styleId="Heading4">
    <w:name w:val="heading 4"/>
    <w:basedOn w:val="Normal"/>
    <w:next w:val="Normal"/>
    <w:qFormat/>
    <w:rsid w:val="00D77881"/>
    <w:pPr>
      <w:keepNext/>
      <w:jc w:val="center"/>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D77881"/>
    <w:pPr>
      <w:jc w:val="left"/>
    </w:pPr>
    <w:rPr>
      <w:rFonts w:ascii="Tahoma" w:hAnsi="Tahoma" w:cs="Tahoma"/>
      <w:sz w:val="16"/>
      <w:szCs w:val="16"/>
    </w:rPr>
  </w:style>
  <w:style w:type="character" w:customStyle="1" w:styleId="BalloonTextChar">
    <w:name w:val="Balloon Text Char"/>
    <w:basedOn w:val="DefaultParagraphFont"/>
    <w:semiHidden/>
    <w:rsid w:val="00D77881"/>
    <w:rPr>
      <w:rFonts w:ascii="Tahoma" w:hAnsi="Tahoma" w:cs="Tahoma"/>
      <w:sz w:val="16"/>
      <w:szCs w:val="16"/>
    </w:rPr>
  </w:style>
  <w:style w:type="character" w:customStyle="1" w:styleId="longtext1">
    <w:name w:val="long_text1"/>
    <w:basedOn w:val="DefaultParagraphFont"/>
    <w:rsid w:val="00D77881"/>
    <w:rPr>
      <w:sz w:val="20"/>
      <w:szCs w:val="20"/>
    </w:rPr>
  </w:style>
  <w:style w:type="character" w:customStyle="1" w:styleId="mediumtext1">
    <w:name w:val="medium_text1"/>
    <w:basedOn w:val="DefaultParagraphFont"/>
    <w:rsid w:val="00D77881"/>
    <w:rPr>
      <w:sz w:val="24"/>
      <w:szCs w:val="24"/>
    </w:rPr>
  </w:style>
  <w:style w:type="character" w:customStyle="1" w:styleId="shorttext1">
    <w:name w:val="short_text1"/>
    <w:basedOn w:val="DefaultParagraphFont"/>
    <w:rsid w:val="00D77881"/>
    <w:rPr>
      <w:sz w:val="29"/>
      <w:szCs w:val="29"/>
    </w:rPr>
  </w:style>
  <w:style w:type="paragraph" w:styleId="Header">
    <w:name w:val="header"/>
    <w:basedOn w:val="Normal"/>
    <w:uiPriority w:val="99"/>
    <w:unhideWhenUsed/>
    <w:rsid w:val="00D77881"/>
    <w:pPr>
      <w:tabs>
        <w:tab w:val="center" w:pos="4153"/>
        <w:tab w:val="right" w:pos="8306"/>
      </w:tabs>
      <w:jc w:val="left"/>
    </w:pPr>
  </w:style>
  <w:style w:type="character" w:customStyle="1" w:styleId="HeaderChar">
    <w:name w:val="Header Char"/>
    <w:basedOn w:val="DefaultParagraphFont"/>
    <w:uiPriority w:val="99"/>
    <w:rsid w:val="00D77881"/>
    <w:rPr>
      <w:sz w:val="22"/>
      <w:szCs w:val="22"/>
    </w:rPr>
  </w:style>
  <w:style w:type="paragraph" w:styleId="Footer">
    <w:name w:val="footer"/>
    <w:basedOn w:val="Normal"/>
    <w:unhideWhenUsed/>
    <w:rsid w:val="00D77881"/>
    <w:pPr>
      <w:tabs>
        <w:tab w:val="center" w:pos="4153"/>
        <w:tab w:val="right" w:pos="8306"/>
      </w:tabs>
      <w:jc w:val="left"/>
    </w:pPr>
  </w:style>
  <w:style w:type="character" w:customStyle="1" w:styleId="FooterChar">
    <w:name w:val="Footer Char"/>
    <w:basedOn w:val="DefaultParagraphFont"/>
    <w:semiHidden/>
    <w:rsid w:val="00D77881"/>
    <w:rPr>
      <w:sz w:val="22"/>
      <w:szCs w:val="22"/>
    </w:rPr>
  </w:style>
  <w:style w:type="paragraph" w:styleId="BodyText">
    <w:name w:val="Body Text"/>
    <w:basedOn w:val="Normal"/>
    <w:link w:val="BodyTextChar"/>
    <w:semiHidden/>
    <w:rsid w:val="00D77881"/>
    <w:pPr>
      <w:jc w:val="both"/>
    </w:pPr>
  </w:style>
  <w:style w:type="paragraph" w:styleId="BodyText2">
    <w:name w:val="Body Text 2"/>
    <w:basedOn w:val="Normal"/>
    <w:semiHidden/>
    <w:rsid w:val="00D77881"/>
  </w:style>
  <w:style w:type="paragraph" w:styleId="BodyText3">
    <w:name w:val="Body Text 3"/>
    <w:basedOn w:val="Normal"/>
    <w:semiHidden/>
    <w:rsid w:val="00D77881"/>
    <w:pPr>
      <w:autoSpaceDE w:val="0"/>
      <w:autoSpaceDN w:val="0"/>
      <w:adjustRightInd w:val="0"/>
      <w:jc w:val="left"/>
    </w:pPr>
    <w:rPr>
      <w:rFonts w:eastAsia="Times New Roman"/>
      <w:sz w:val="20"/>
      <w:szCs w:val="20"/>
    </w:rPr>
  </w:style>
  <w:style w:type="character" w:styleId="PageNumber">
    <w:name w:val="page number"/>
    <w:basedOn w:val="DefaultParagraphFont"/>
    <w:semiHidden/>
    <w:rsid w:val="00D77881"/>
  </w:style>
  <w:style w:type="paragraph" w:styleId="BodyTextIndent">
    <w:name w:val="Body Text Indent"/>
    <w:basedOn w:val="Normal"/>
    <w:link w:val="BodyTextIndentChar"/>
    <w:uiPriority w:val="99"/>
    <w:unhideWhenUsed/>
    <w:rsid w:val="00C67780"/>
    <w:pPr>
      <w:spacing w:after="120"/>
      <w:ind w:left="283"/>
    </w:pPr>
  </w:style>
  <w:style w:type="character" w:customStyle="1" w:styleId="BodyTextIndentChar">
    <w:name w:val="Body Text Indent Char"/>
    <w:basedOn w:val="DefaultParagraphFont"/>
    <w:link w:val="BodyTextIndent"/>
    <w:uiPriority w:val="99"/>
    <w:rsid w:val="00C67780"/>
    <w:rPr>
      <w:sz w:val="22"/>
      <w:szCs w:val="22"/>
    </w:rPr>
  </w:style>
  <w:style w:type="character" w:customStyle="1" w:styleId="hps">
    <w:name w:val="hps"/>
    <w:basedOn w:val="DefaultParagraphFont"/>
    <w:rsid w:val="00B22185"/>
  </w:style>
  <w:style w:type="character" w:customStyle="1" w:styleId="BodyTextChar">
    <w:name w:val="Body Text Char"/>
    <w:basedOn w:val="DefaultParagraphFont"/>
    <w:link w:val="BodyText"/>
    <w:semiHidden/>
    <w:rsid w:val="00CC4B5F"/>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975813"/>
    <w:pPr>
      <w:spacing w:after="120" w:line="480" w:lineRule="auto"/>
      <w:ind w:left="283"/>
    </w:pPr>
  </w:style>
  <w:style w:type="character" w:customStyle="1" w:styleId="BodyTextIndent2Char">
    <w:name w:val="Body Text Indent 2 Char"/>
    <w:basedOn w:val="DefaultParagraphFont"/>
    <w:link w:val="BodyTextIndent2"/>
    <w:uiPriority w:val="99"/>
    <w:semiHidden/>
    <w:rsid w:val="0097581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480"/>
    <w:rPr>
      <w:sz w:val="16"/>
      <w:szCs w:val="16"/>
    </w:rPr>
  </w:style>
  <w:style w:type="paragraph" w:styleId="CommentText">
    <w:name w:val="annotation text"/>
    <w:basedOn w:val="Normal"/>
    <w:link w:val="CommentTextChar"/>
    <w:uiPriority w:val="99"/>
    <w:semiHidden/>
    <w:unhideWhenUsed/>
    <w:rsid w:val="00366480"/>
    <w:rPr>
      <w:sz w:val="20"/>
      <w:szCs w:val="20"/>
    </w:rPr>
  </w:style>
  <w:style w:type="character" w:customStyle="1" w:styleId="CommentTextChar">
    <w:name w:val="Comment Text Char"/>
    <w:basedOn w:val="DefaultParagraphFont"/>
    <w:link w:val="CommentText"/>
    <w:uiPriority w:val="99"/>
    <w:semiHidden/>
    <w:rsid w:val="0036648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66480"/>
    <w:rPr>
      <w:b/>
      <w:bCs/>
    </w:rPr>
  </w:style>
  <w:style w:type="character" w:customStyle="1" w:styleId="CommentSubjectChar">
    <w:name w:val="Comment Subject Char"/>
    <w:basedOn w:val="CommentTextChar"/>
    <w:link w:val="CommentSubject"/>
    <w:uiPriority w:val="99"/>
    <w:semiHidden/>
    <w:rsid w:val="00366480"/>
    <w:rPr>
      <w:rFonts w:ascii="Times New Roman" w:hAnsi="Times New Roman" w:cs="Times New Roman"/>
      <w:b/>
      <w:bCs/>
    </w:rPr>
  </w:style>
  <w:style w:type="character" w:customStyle="1" w:styleId="shorttext">
    <w:name w:val="short_text"/>
    <w:basedOn w:val="DefaultParagraphFont"/>
    <w:rsid w:val="005832AD"/>
  </w:style>
  <w:style w:type="table" w:styleId="TableGrid">
    <w:name w:val="Table Grid"/>
    <w:basedOn w:val="TableNormal"/>
    <w:uiPriority w:val="59"/>
    <w:rsid w:val="005832A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E7F4C"/>
    <w:pPr>
      <w:spacing w:before="100" w:beforeAutospacing="1" w:after="100" w:afterAutospacing="1"/>
      <w:jc w:val="left"/>
    </w:pPr>
    <w:rPr>
      <w:rFonts w:ascii="Arial Unicode MS" w:eastAsia="Arial Unicode MS" w:hAnsi="Arial Unicode MS" w:cs="Arial Unicode MS"/>
      <w:lang w:eastAsia="ar-SA"/>
    </w:rPr>
  </w:style>
  <w:style w:type="paragraph" w:styleId="ListParagraph">
    <w:name w:val="List Paragraph"/>
    <w:basedOn w:val="Normal"/>
    <w:uiPriority w:val="34"/>
    <w:qFormat/>
    <w:rsid w:val="001E179A"/>
    <w:pPr>
      <w:bidi/>
      <w:ind w:left="720"/>
      <w:contextualSpacing/>
      <w:jc w:val="left"/>
    </w:pPr>
    <w:rPr>
      <w:rFonts w:eastAsia="Times New Roman"/>
      <w:lang w:eastAsia="ar-SA"/>
    </w:rPr>
  </w:style>
  <w:style w:type="paragraph" w:styleId="NoSpacing">
    <w:name w:val="No Spacing"/>
    <w:basedOn w:val="Normal"/>
    <w:uiPriority w:val="1"/>
    <w:qFormat/>
    <w:rsid w:val="00062566"/>
    <w:pPr>
      <w:bidi/>
      <w:jc w:val="left"/>
    </w:pPr>
    <w:rPr>
      <w:rFonts w:ascii="Calibri" w:eastAsiaTheme="minorHAnsi" w:hAnsi="Calibri"/>
      <w:sz w:val="22"/>
      <w:szCs w:val="22"/>
    </w:rPr>
  </w:style>
  <w:style w:type="paragraph" w:styleId="HTMLPreformatted">
    <w:name w:val="HTML Preformatted"/>
    <w:basedOn w:val="Normal"/>
    <w:link w:val="HTMLPreformattedChar"/>
    <w:uiPriority w:val="99"/>
    <w:semiHidden/>
    <w:unhideWhenUsed/>
    <w:rsid w:val="009A4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4880"/>
    <w:rPr>
      <w:rFonts w:ascii="Courier New" w:eastAsia="Times New Roman" w:hAnsi="Courier New" w:cs="Courier New"/>
    </w:rPr>
  </w:style>
  <w:style w:type="paragraph" w:styleId="Title">
    <w:name w:val="Title"/>
    <w:basedOn w:val="Normal"/>
    <w:link w:val="TitleChar"/>
    <w:qFormat/>
    <w:rsid w:val="00BC5E0C"/>
    <w:pPr>
      <w:bidi/>
      <w:jc w:val="center"/>
    </w:pPr>
    <w:rPr>
      <w:rFonts w:eastAsia="Times New Roman" w:cs="Simplified Arabic"/>
      <w:b/>
      <w:bCs/>
      <w:color w:val="000000"/>
      <w:lang w:eastAsia="ar-SA"/>
    </w:rPr>
  </w:style>
  <w:style w:type="character" w:customStyle="1" w:styleId="TitleChar">
    <w:name w:val="Title Char"/>
    <w:basedOn w:val="DefaultParagraphFont"/>
    <w:link w:val="Title"/>
    <w:rsid w:val="00BC5E0C"/>
    <w:rPr>
      <w:rFonts w:ascii="Times New Roman" w:eastAsia="Times New Roman" w:hAnsi="Times New Roman" w:cs="Simplified Arabic"/>
      <w:b/>
      <w:bCs/>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66652165">
      <w:bodyDiv w:val="1"/>
      <w:marLeft w:val="0"/>
      <w:marRight w:val="0"/>
      <w:marTop w:val="0"/>
      <w:marBottom w:val="0"/>
      <w:divBdr>
        <w:top w:val="none" w:sz="0" w:space="0" w:color="auto"/>
        <w:left w:val="none" w:sz="0" w:space="0" w:color="auto"/>
        <w:bottom w:val="none" w:sz="0" w:space="0" w:color="auto"/>
        <w:right w:val="none" w:sz="0" w:space="0" w:color="auto"/>
      </w:divBdr>
    </w:div>
    <w:div w:id="338235115">
      <w:bodyDiv w:val="1"/>
      <w:marLeft w:val="0"/>
      <w:marRight w:val="0"/>
      <w:marTop w:val="0"/>
      <w:marBottom w:val="0"/>
      <w:divBdr>
        <w:top w:val="none" w:sz="0" w:space="0" w:color="auto"/>
        <w:left w:val="none" w:sz="0" w:space="0" w:color="auto"/>
        <w:bottom w:val="none" w:sz="0" w:space="0" w:color="auto"/>
        <w:right w:val="none" w:sz="0" w:space="0" w:color="auto"/>
      </w:divBdr>
      <w:divsChild>
        <w:div w:id="2069376320">
          <w:marLeft w:val="0"/>
          <w:marRight w:val="0"/>
          <w:marTop w:val="0"/>
          <w:marBottom w:val="0"/>
          <w:divBdr>
            <w:top w:val="none" w:sz="0" w:space="0" w:color="auto"/>
            <w:left w:val="none" w:sz="0" w:space="0" w:color="auto"/>
            <w:bottom w:val="none" w:sz="0" w:space="0" w:color="auto"/>
            <w:right w:val="none" w:sz="0" w:space="0" w:color="auto"/>
          </w:divBdr>
          <w:divsChild>
            <w:div w:id="447432368">
              <w:marLeft w:val="0"/>
              <w:marRight w:val="0"/>
              <w:marTop w:val="0"/>
              <w:marBottom w:val="0"/>
              <w:divBdr>
                <w:top w:val="none" w:sz="0" w:space="0" w:color="auto"/>
                <w:left w:val="none" w:sz="0" w:space="0" w:color="auto"/>
                <w:bottom w:val="none" w:sz="0" w:space="0" w:color="auto"/>
                <w:right w:val="none" w:sz="0" w:space="0" w:color="auto"/>
              </w:divBdr>
              <w:divsChild>
                <w:div w:id="204222208">
                  <w:marLeft w:val="0"/>
                  <w:marRight w:val="0"/>
                  <w:marTop w:val="0"/>
                  <w:marBottom w:val="0"/>
                  <w:divBdr>
                    <w:top w:val="none" w:sz="0" w:space="0" w:color="auto"/>
                    <w:left w:val="none" w:sz="0" w:space="0" w:color="auto"/>
                    <w:bottom w:val="none" w:sz="0" w:space="0" w:color="auto"/>
                    <w:right w:val="none" w:sz="0" w:space="0" w:color="auto"/>
                  </w:divBdr>
                  <w:divsChild>
                    <w:div w:id="1087966186">
                      <w:marLeft w:val="0"/>
                      <w:marRight w:val="0"/>
                      <w:marTop w:val="0"/>
                      <w:marBottom w:val="0"/>
                      <w:divBdr>
                        <w:top w:val="none" w:sz="0" w:space="0" w:color="auto"/>
                        <w:left w:val="none" w:sz="0" w:space="0" w:color="auto"/>
                        <w:bottom w:val="none" w:sz="0" w:space="0" w:color="auto"/>
                        <w:right w:val="none" w:sz="0" w:space="0" w:color="auto"/>
                      </w:divBdr>
                      <w:divsChild>
                        <w:div w:id="131749382">
                          <w:marLeft w:val="0"/>
                          <w:marRight w:val="0"/>
                          <w:marTop w:val="0"/>
                          <w:marBottom w:val="0"/>
                          <w:divBdr>
                            <w:top w:val="none" w:sz="0" w:space="0" w:color="auto"/>
                            <w:left w:val="none" w:sz="0" w:space="0" w:color="auto"/>
                            <w:bottom w:val="none" w:sz="0" w:space="0" w:color="auto"/>
                            <w:right w:val="none" w:sz="0" w:space="0" w:color="auto"/>
                          </w:divBdr>
                          <w:divsChild>
                            <w:div w:id="581987075">
                              <w:marLeft w:val="0"/>
                              <w:marRight w:val="0"/>
                              <w:marTop w:val="0"/>
                              <w:marBottom w:val="0"/>
                              <w:divBdr>
                                <w:top w:val="none" w:sz="0" w:space="0" w:color="auto"/>
                                <w:left w:val="none" w:sz="0" w:space="0" w:color="auto"/>
                                <w:bottom w:val="none" w:sz="0" w:space="0" w:color="auto"/>
                                <w:right w:val="none" w:sz="0" w:space="0" w:color="auto"/>
                              </w:divBdr>
                              <w:divsChild>
                                <w:div w:id="5558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685593">
      <w:bodyDiv w:val="1"/>
      <w:marLeft w:val="0"/>
      <w:marRight w:val="0"/>
      <w:marTop w:val="0"/>
      <w:marBottom w:val="0"/>
      <w:divBdr>
        <w:top w:val="none" w:sz="0" w:space="0" w:color="auto"/>
        <w:left w:val="none" w:sz="0" w:space="0" w:color="auto"/>
        <w:bottom w:val="none" w:sz="0" w:space="0" w:color="auto"/>
        <w:right w:val="none" w:sz="0" w:space="0" w:color="auto"/>
      </w:divBdr>
    </w:div>
    <w:div w:id="1185093031">
      <w:bodyDiv w:val="1"/>
      <w:marLeft w:val="0"/>
      <w:marRight w:val="0"/>
      <w:marTop w:val="0"/>
      <w:marBottom w:val="0"/>
      <w:divBdr>
        <w:top w:val="none" w:sz="0" w:space="0" w:color="auto"/>
        <w:left w:val="none" w:sz="0" w:space="0" w:color="auto"/>
        <w:bottom w:val="none" w:sz="0" w:space="0" w:color="auto"/>
        <w:right w:val="none" w:sz="0" w:space="0" w:color="auto"/>
      </w:divBdr>
    </w:div>
    <w:div w:id="1221013071">
      <w:bodyDiv w:val="1"/>
      <w:marLeft w:val="0"/>
      <w:marRight w:val="0"/>
      <w:marTop w:val="0"/>
      <w:marBottom w:val="0"/>
      <w:divBdr>
        <w:top w:val="none" w:sz="0" w:space="0" w:color="auto"/>
        <w:left w:val="none" w:sz="0" w:space="0" w:color="auto"/>
        <w:bottom w:val="none" w:sz="0" w:space="0" w:color="auto"/>
        <w:right w:val="none" w:sz="0" w:space="0" w:color="auto"/>
      </w:divBdr>
    </w:div>
    <w:div w:id="1911964217">
      <w:bodyDiv w:val="1"/>
      <w:marLeft w:val="0"/>
      <w:marRight w:val="0"/>
      <w:marTop w:val="0"/>
      <w:marBottom w:val="0"/>
      <w:divBdr>
        <w:top w:val="none" w:sz="0" w:space="0" w:color="auto"/>
        <w:left w:val="none" w:sz="0" w:space="0" w:color="auto"/>
        <w:bottom w:val="none" w:sz="0" w:space="0" w:color="auto"/>
        <w:right w:val="none" w:sz="0" w:space="0" w:color="auto"/>
      </w:divBdr>
    </w:div>
    <w:div w:id="2039355744">
      <w:bodyDiv w:val="1"/>
      <w:marLeft w:val="0"/>
      <w:marRight w:val="0"/>
      <w:marTop w:val="0"/>
      <w:marBottom w:val="0"/>
      <w:divBdr>
        <w:top w:val="none" w:sz="0" w:space="0" w:color="auto"/>
        <w:left w:val="none" w:sz="0" w:space="0" w:color="auto"/>
        <w:bottom w:val="none" w:sz="0" w:space="0" w:color="auto"/>
        <w:right w:val="none" w:sz="0" w:space="0" w:color="auto"/>
      </w:divBdr>
      <w:divsChild>
        <w:div w:id="444345420">
          <w:marLeft w:val="0"/>
          <w:marRight w:val="0"/>
          <w:marTop w:val="0"/>
          <w:marBottom w:val="0"/>
          <w:divBdr>
            <w:top w:val="none" w:sz="0" w:space="0" w:color="auto"/>
            <w:left w:val="none" w:sz="0" w:space="0" w:color="auto"/>
            <w:bottom w:val="none" w:sz="0" w:space="0" w:color="auto"/>
            <w:right w:val="none" w:sz="0" w:space="0" w:color="auto"/>
          </w:divBdr>
          <w:divsChild>
            <w:div w:id="2117019715">
              <w:marLeft w:val="0"/>
              <w:marRight w:val="0"/>
              <w:marTop w:val="0"/>
              <w:marBottom w:val="0"/>
              <w:divBdr>
                <w:top w:val="none" w:sz="0" w:space="0" w:color="auto"/>
                <w:left w:val="none" w:sz="0" w:space="0" w:color="auto"/>
                <w:bottom w:val="none" w:sz="0" w:space="0" w:color="auto"/>
                <w:right w:val="none" w:sz="0" w:space="0" w:color="auto"/>
              </w:divBdr>
              <w:divsChild>
                <w:div w:id="334502794">
                  <w:marLeft w:val="0"/>
                  <w:marRight w:val="0"/>
                  <w:marTop w:val="0"/>
                  <w:marBottom w:val="0"/>
                  <w:divBdr>
                    <w:top w:val="none" w:sz="0" w:space="0" w:color="auto"/>
                    <w:left w:val="none" w:sz="0" w:space="0" w:color="auto"/>
                    <w:bottom w:val="none" w:sz="0" w:space="0" w:color="auto"/>
                    <w:right w:val="none" w:sz="0" w:space="0" w:color="auto"/>
                  </w:divBdr>
                  <w:divsChild>
                    <w:div w:id="750547876">
                      <w:marLeft w:val="0"/>
                      <w:marRight w:val="0"/>
                      <w:marTop w:val="0"/>
                      <w:marBottom w:val="0"/>
                      <w:divBdr>
                        <w:top w:val="none" w:sz="0" w:space="0" w:color="auto"/>
                        <w:left w:val="none" w:sz="0" w:space="0" w:color="auto"/>
                        <w:bottom w:val="none" w:sz="0" w:space="0" w:color="auto"/>
                        <w:right w:val="none" w:sz="0" w:space="0" w:color="auto"/>
                      </w:divBdr>
                      <w:divsChild>
                        <w:div w:id="1910656253">
                          <w:marLeft w:val="0"/>
                          <w:marRight w:val="0"/>
                          <w:marTop w:val="0"/>
                          <w:marBottom w:val="0"/>
                          <w:divBdr>
                            <w:top w:val="none" w:sz="0" w:space="0" w:color="auto"/>
                            <w:left w:val="none" w:sz="0" w:space="0" w:color="auto"/>
                            <w:bottom w:val="none" w:sz="0" w:space="0" w:color="auto"/>
                            <w:right w:val="none" w:sz="0" w:space="0" w:color="auto"/>
                          </w:divBdr>
                          <w:divsChild>
                            <w:div w:id="1785660479">
                              <w:marLeft w:val="0"/>
                              <w:marRight w:val="0"/>
                              <w:marTop w:val="0"/>
                              <w:marBottom w:val="0"/>
                              <w:divBdr>
                                <w:top w:val="none" w:sz="0" w:space="0" w:color="auto"/>
                                <w:left w:val="none" w:sz="0" w:space="0" w:color="auto"/>
                                <w:bottom w:val="none" w:sz="0" w:space="0" w:color="auto"/>
                                <w:right w:val="none" w:sz="0" w:space="0" w:color="auto"/>
                              </w:divBdr>
                              <w:divsChild>
                                <w:div w:id="1984846553">
                                  <w:marLeft w:val="0"/>
                                  <w:marRight w:val="0"/>
                                  <w:marTop w:val="0"/>
                                  <w:marBottom w:val="0"/>
                                  <w:divBdr>
                                    <w:top w:val="none" w:sz="0" w:space="0" w:color="auto"/>
                                    <w:left w:val="none" w:sz="0" w:space="0" w:color="auto"/>
                                    <w:bottom w:val="none" w:sz="0" w:space="0" w:color="auto"/>
                                    <w:right w:val="none" w:sz="0" w:space="0" w:color="auto"/>
                                  </w:divBdr>
                                  <w:divsChild>
                                    <w:div w:id="1601110569">
                                      <w:marLeft w:val="0"/>
                                      <w:marRight w:val="54"/>
                                      <w:marTop w:val="0"/>
                                      <w:marBottom w:val="0"/>
                                      <w:divBdr>
                                        <w:top w:val="none" w:sz="0" w:space="0" w:color="auto"/>
                                        <w:left w:val="none" w:sz="0" w:space="0" w:color="auto"/>
                                        <w:bottom w:val="none" w:sz="0" w:space="0" w:color="auto"/>
                                        <w:right w:val="none" w:sz="0" w:space="0" w:color="auto"/>
                                      </w:divBdr>
                                      <w:divsChild>
                                        <w:div w:id="922177497">
                                          <w:marLeft w:val="0"/>
                                          <w:marRight w:val="0"/>
                                          <w:marTop w:val="0"/>
                                          <w:marBottom w:val="0"/>
                                          <w:divBdr>
                                            <w:top w:val="none" w:sz="0" w:space="0" w:color="auto"/>
                                            <w:left w:val="none" w:sz="0" w:space="0" w:color="auto"/>
                                            <w:bottom w:val="none" w:sz="0" w:space="0" w:color="auto"/>
                                            <w:right w:val="none" w:sz="0" w:space="0" w:color="auto"/>
                                          </w:divBdr>
                                          <w:divsChild>
                                            <w:div w:id="1699893999">
                                              <w:marLeft w:val="0"/>
                                              <w:marRight w:val="0"/>
                                              <w:marTop w:val="0"/>
                                              <w:marBottom w:val="109"/>
                                              <w:divBdr>
                                                <w:top w:val="single" w:sz="6" w:space="0" w:color="F5F5F5"/>
                                                <w:left w:val="single" w:sz="6" w:space="0" w:color="F5F5F5"/>
                                                <w:bottom w:val="single" w:sz="6" w:space="0" w:color="F5F5F5"/>
                                                <w:right w:val="single" w:sz="6" w:space="0" w:color="F5F5F5"/>
                                              </w:divBdr>
                                              <w:divsChild>
                                                <w:div w:id="2041739909">
                                                  <w:marLeft w:val="0"/>
                                                  <w:marRight w:val="0"/>
                                                  <w:marTop w:val="0"/>
                                                  <w:marBottom w:val="0"/>
                                                  <w:divBdr>
                                                    <w:top w:val="none" w:sz="0" w:space="0" w:color="auto"/>
                                                    <w:left w:val="none" w:sz="0" w:space="0" w:color="auto"/>
                                                    <w:bottom w:val="none" w:sz="0" w:space="0" w:color="auto"/>
                                                    <w:right w:val="none" w:sz="0" w:space="0" w:color="auto"/>
                                                  </w:divBdr>
                                                  <w:divsChild>
                                                    <w:div w:id="1521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1671727853236001"/>
          <c:y val="0.16676610528285721"/>
          <c:w val="0.81681143971963888"/>
          <c:h val="0.61625462331244463"/>
        </c:manualLayout>
      </c:layout>
      <c:lineChart>
        <c:grouping val="standard"/>
        <c:ser>
          <c:idx val="0"/>
          <c:order val="0"/>
          <c:tx>
            <c:strRef>
              <c:f>Sheet1!$B$1</c:f>
              <c:strCache>
                <c:ptCount val="1"/>
                <c:pt idx="0">
                  <c:v>% Palestinian</c:v>
                </c:pt>
              </c:strCache>
            </c:strRef>
          </c:tx>
          <c:spPr>
            <a:ln>
              <a:prstDash val="sysDot"/>
            </a:ln>
          </c:spPr>
          <c:marker>
            <c:symbol val="diamond"/>
            <c:size val="7"/>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marker>
          <c:cat>
            <c:numRef>
              <c:f>Sheet1!$A$2:$A$11</c:f>
              <c:numCache>
                <c:formatCode>General</c:formatCode>
                <c:ptCount val="10"/>
                <c:pt idx="0">
                  <c:v>1914</c:v>
                </c:pt>
                <c:pt idx="1">
                  <c:v>1918</c:v>
                </c:pt>
                <c:pt idx="2">
                  <c:v>1922</c:v>
                </c:pt>
                <c:pt idx="3">
                  <c:v>1931</c:v>
                </c:pt>
                <c:pt idx="4">
                  <c:v>1944</c:v>
                </c:pt>
                <c:pt idx="5">
                  <c:v>1948</c:v>
                </c:pt>
                <c:pt idx="6">
                  <c:v>1966</c:v>
                </c:pt>
                <c:pt idx="7">
                  <c:v>1978</c:v>
                </c:pt>
                <c:pt idx="8">
                  <c:v>1997</c:v>
                </c:pt>
                <c:pt idx="9">
                  <c:v>2017</c:v>
                </c:pt>
              </c:numCache>
            </c:numRef>
          </c:cat>
          <c:val>
            <c:numRef>
              <c:f>Sheet1!$B$2:$B$11</c:f>
              <c:numCache>
                <c:formatCode>General</c:formatCode>
                <c:ptCount val="10"/>
                <c:pt idx="0">
                  <c:v>92</c:v>
                </c:pt>
                <c:pt idx="1">
                  <c:v>92.800000000000011</c:v>
                </c:pt>
                <c:pt idx="2">
                  <c:v>88.9</c:v>
                </c:pt>
                <c:pt idx="3">
                  <c:v>83.14</c:v>
                </c:pt>
                <c:pt idx="4">
                  <c:v>69.599999999999994</c:v>
                </c:pt>
                <c:pt idx="5">
                  <c:v>68.5</c:v>
                </c:pt>
                <c:pt idx="6">
                  <c:v>40.4</c:v>
                </c:pt>
                <c:pt idx="7">
                  <c:v>47.5</c:v>
                </c:pt>
                <c:pt idx="8">
                  <c:v>45.6</c:v>
                </c:pt>
                <c:pt idx="9">
                  <c:v>49.4</c:v>
                </c:pt>
              </c:numCache>
            </c:numRef>
          </c:val>
          <c:extLst xmlns:c16r2="http://schemas.microsoft.com/office/drawing/2015/06/chart">
            <c:ext xmlns:c16="http://schemas.microsoft.com/office/drawing/2014/chart" uri="{C3380CC4-5D6E-409C-BE32-E72D297353CC}">
              <c16:uniqueId val="{00000000-E734-4679-AE2C-B149FF5AA454}"/>
            </c:ext>
          </c:extLst>
        </c:ser>
        <c:ser>
          <c:idx val="1"/>
          <c:order val="1"/>
          <c:tx>
            <c:strRef>
              <c:f>Sheet1!$C$1</c:f>
              <c:strCache>
                <c:ptCount val="1"/>
                <c:pt idx="0">
                  <c:v>% Jewish</c:v>
                </c:pt>
              </c:strCache>
            </c:strRef>
          </c:tx>
          <c:cat>
            <c:numRef>
              <c:f>Sheet1!$A$2:$A$11</c:f>
              <c:numCache>
                <c:formatCode>General</c:formatCode>
                <c:ptCount val="10"/>
                <c:pt idx="0">
                  <c:v>1914</c:v>
                </c:pt>
                <c:pt idx="1">
                  <c:v>1918</c:v>
                </c:pt>
                <c:pt idx="2">
                  <c:v>1922</c:v>
                </c:pt>
                <c:pt idx="3">
                  <c:v>1931</c:v>
                </c:pt>
                <c:pt idx="4">
                  <c:v>1944</c:v>
                </c:pt>
                <c:pt idx="5">
                  <c:v>1948</c:v>
                </c:pt>
                <c:pt idx="6">
                  <c:v>1966</c:v>
                </c:pt>
                <c:pt idx="7">
                  <c:v>1978</c:v>
                </c:pt>
                <c:pt idx="8">
                  <c:v>1997</c:v>
                </c:pt>
                <c:pt idx="9">
                  <c:v>2017</c:v>
                </c:pt>
              </c:numCache>
            </c:numRef>
          </c:cat>
          <c:val>
            <c:numRef>
              <c:f>Sheet1!$C$2:$C$11</c:f>
              <c:numCache>
                <c:formatCode>General</c:formatCode>
                <c:ptCount val="10"/>
                <c:pt idx="0">
                  <c:v>8</c:v>
                </c:pt>
                <c:pt idx="1">
                  <c:v>7.1999999999999975</c:v>
                </c:pt>
                <c:pt idx="2">
                  <c:v>11.1</c:v>
                </c:pt>
                <c:pt idx="3">
                  <c:v>16.86</c:v>
                </c:pt>
                <c:pt idx="4">
                  <c:v>30.4</c:v>
                </c:pt>
                <c:pt idx="5">
                  <c:v>31.5</c:v>
                </c:pt>
                <c:pt idx="6">
                  <c:v>59.6</c:v>
                </c:pt>
                <c:pt idx="7">
                  <c:v>52.5</c:v>
                </c:pt>
                <c:pt idx="8">
                  <c:v>54.4</c:v>
                </c:pt>
                <c:pt idx="9">
                  <c:v>50.6</c:v>
                </c:pt>
              </c:numCache>
            </c:numRef>
          </c:val>
          <c:extLst xmlns:c16r2="http://schemas.microsoft.com/office/drawing/2015/06/chart">
            <c:ext xmlns:c16="http://schemas.microsoft.com/office/drawing/2014/chart" uri="{C3380CC4-5D6E-409C-BE32-E72D297353CC}">
              <c16:uniqueId val="{00000001-E734-4679-AE2C-B149FF5AA454}"/>
            </c:ext>
          </c:extLst>
        </c:ser>
        <c:marker val="1"/>
        <c:axId val="147753984"/>
        <c:axId val="171905408"/>
      </c:lineChart>
      <c:catAx>
        <c:axId val="147753984"/>
        <c:scaling>
          <c:orientation val="minMax"/>
        </c:scaling>
        <c:axPos val="b"/>
        <c:title>
          <c:tx>
            <c:rich>
              <a:bodyPr/>
              <a:lstStyle/>
              <a:p>
                <a:pPr>
                  <a:defRPr/>
                </a:pPr>
                <a:r>
                  <a:rPr lang="en-US"/>
                  <a:t>Year</a:t>
                </a:r>
              </a:p>
            </c:rich>
          </c:tx>
        </c:title>
        <c:numFmt formatCode="General" sourceLinked="1"/>
        <c:tickLblPos val="nextTo"/>
        <c:crossAx val="171905408"/>
        <c:crosses val="autoZero"/>
        <c:auto val="1"/>
        <c:lblAlgn val="ctr"/>
        <c:lblOffset val="100"/>
      </c:catAx>
      <c:valAx>
        <c:axId val="171905408"/>
        <c:scaling>
          <c:orientation val="minMax"/>
        </c:scaling>
        <c:axPos val="l"/>
        <c:title>
          <c:tx>
            <c:rich>
              <a:bodyPr rot="0" vert="wordArtVert"/>
              <a:lstStyle/>
              <a:p>
                <a:pPr>
                  <a:defRPr/>
                </a:pPr>
                <a:r>
                  <a:rPr lang="en-US"/>
                  <a:t>%</a:t>
                </a:r>
              </a:p>
            </c:rich>
          </c:tx>
        </c:title>
        <c:numFmt formatCode="General" sourceLinked="1"/>
        <c:tickLblPos val="nextTo"/>
        <c:crossAx val="147753984"/>
        <c:crosses val="autoZero"/>
        <c:crossBetween val="between"/>
        <c:minorUnit val="5"/>
      </c:valAx>
    </c:plotArea>
    <c:legend>
      <c:legendPos val="r"/>
      <c:layout>
        <c:manualLayout>
          <c:xMode val="edge"/>
          <c:yMode val="edge"/>
          <c:x val="0.338856965016397"/>
          <c:y val="4.2351321359582743E-2"/>
          <c:w val="0.36493614496645088"/>
          <c:h val="8.8875508610414766E-2"/>
        </c:manualLayout>
      </c:layout>
    </c:legend>
    <c:plotVisOnly val="1"/>
    <c:dispBlanksAs val="gap"/>
  </c:chart>
  <c:txPr>
    <a:bodyPr/>
    <a:lstStyle/>
    <a:p>
      <a:pPr>
        <a:defRPr sz="900"/>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D5DFB-7DA1-48CA-8886-6C9EE456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1900</Words>
  <Characters>10830</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sufian</dc:creator>
  <cp:lastModifiedBy>loays</cp:lastModifiedBy>
  <cp:revision>10</cp:revision>
  <cp:lastPrinted>2018-05-13T09:41:00Z</cp:lastPrinted>
  <dcterms:created xsi:type="dcterms:W3CDTF">2018-05-13T06:13:00Z</dcterms:created>
  <dcterms:modified xsi:type="dcterms:W3CDTF">2018-05-13T09:43:00Z</dcterms:modified>
</cp:coreProperties>
</file>