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8C" w:rsidRPr="004655C0" w:rsidRDefault="001E188C" w:rsidP="001E188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655C0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:rsidR="001E188C" w:rsidRPr="001B4EE6" w:rsidRDefault="001E188C" w:rsidP="00126F9F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126F9F" w:rsidRPr="004655C0" w:rsidRDefault="00564F6A" w:rsidP="00564F6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55C0">
        <w:rPr>
          <w:rFonts w:asciiTheme="majorBidi" w:hAnsiTheme="majorBidi" w:cstheme="majorBidi"/>
          <w:b/>
          <w:bCs/>
          <w:sz w:val="28"/>
          <w:szCs w:val="28"/>
        </w:rPr>
        <w:t>Presents t</w:t>
      </w:r>
      <w:r w:rsidR="00126F9F" w:rsidRPr="004655C0">
        <w:rPr>
          <w:rFonts w:asciiTheme="majorBidi" w:hAnsiTheme="majorBidi" w:cstheme="majorBidi"/>
          <w:b/>
          <w:bCs/>
          <w:sz w:val="28"/>
          <w:szCs w:val="28"/>
        </w:rPr>
        <w:t>he Main Findings of Labour Force Survey in 2022</w:t>
      </w:r>
    </w:p>
    <w:p w:rsidR="004655C0" w:rsidRPr="004655C0" w:rsidRDefault="004655C0" w:rsidP="00126F9F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  <w:sectPr w:rsidR="004655C0" w:rsidRPr="004655C0" w:rsidSect="001B4EE6">
          <w:headerReference w:type="default" r:id="rId8"/>
          <w:footerReference w:type="even" r:id="rId9"/>
          <w:footerReference w:type="default" r:id="rId10"/>
          <w:pgSz w:w="11906" w:h="16838"/>
          <w:pgMar w:top="567" w:right="849" w:bottom="1134" w:left="851" w:header="0" w:footer="124" w:gutter="0"/>
          <w:pgNumType w:start="1"/>
          <w:cols w:space="991"/>
          <w:rtlGutter/>
          <w:docGrid w:linePitch="360"/>
        </w:sectPr>
      </w:pPr>
    </w:p>
    <w:p w:rsidR="001E188C" w:rsidRPr="004655C0" w:rsidRDefault="001E188C" w:rsidP="00126F9F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</w:p>
    <w:p w:rsidR="004655C0" w:rsidRPr="004655C0" w:rsidRDefault="004655C0" w:rsidP="001E188C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  <w:sectPr w:rsidR="004655C0" w:rsidRPr="004655C0" w:rsidSect="004655C0">
          <w:type w:val="continuous"/>
          <w:pgSz w:w="11906" w:h="16838"/>
          <w:pgMar w:top="1134" w:right="849" w:bottom="1134" w:left="851" w:header="142" w:footer="124" w:gutter="0"/>
          <w:pgNumType w:start="1"/>
          <w:cols w:space="991"/>
          <w:rtlGutter/>
          <w:docGrid w:linePitch="360"/>
        </w:sectPr>
      </w:pPr>
    </w:p>
    <w:p w:rsidR="004655C0" w:rsidRPr="004655C0" w:rsidRDefault="004655C0" w:rsidP="004655C0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5F4FDE" w:rsidRPr="004655C0" w:rsidRDefault="00A95333" w:rsidP="004655C0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U</w:t>
      </w:r>
      <w:r w:rsidR="005F4FDE" w:rsidRPr="004655C0">
        <w:rPr>
          <w:rFonts w:asciiTheme="majorBidi" w:hAnsiTheme="majorBidi" w:cstheme="majorBidi"/>
          <w:sz w:val="26"/>
          <w:szCs w:val="26"/>
        </w:rPr>
        <w:t>nemployment</w:t>
      </w:r>
      <w:r w:rsidRPr="004655C0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5F4FDE" w:rsidRPr="004655C0">
        <w:rPr>
          <w:rFonts w:asciiTheme="majorBidi" w:hAnsiTheme="majorBidi" w:cstheme="majorBidi"/>
          <w:sz w:val="26"/>
          <w:szCs w:val="26"/>
        </w:rPr>
        <w:t xml:space="preserve">rate among </w:t>
      </w:r>
      <w:proofErr w:type="spellStart"/>
      <w:r w:rsidR="005F4FDE" w:rsidRPr="004655C0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="005F4FDE" w:rsidRPr="004655C0">
        <w:rPr>
          <w:rFonts w:asciiTheme="majorBidi" w:hAnsiTheme="majorBidi" w:cstheme="majorBidi"/>
          <w:sz w:val="26"/>
          <w:szCs w:val="26"/>
        </w:rPr>
        <w:t xml:space="preserve"> force participants in Palestine </w:t>
      </w:r>
      <w:r w:rsidR="00235524" w:rsidRPr="004655C0">
        <w:rPr>
          <w:rFonts w:asciiTheme="majorBidi" w:hAnsiTheme="majorBidi" w:cstheme="majorBidi"/>
          <w:sz w:val="26"/>
          <w:szCs w:val="26"/>
        </w:rPr>
        <w:t xml:space="preserve">reached </w:t>
      </w:r>
      <w:r w:rsidR="00DE407A" w:rsidRPr="004655C0">
        <w:rPr>
          <w:rFonts w:asciiTheme="majorBidi" w:hAnsiTheme="majorBidi" w:cstheme="majorBidi"/>
          <w:sz w:val="26"/>
          <w:szCs w:val="26"/>
          <w:lang w:val="en-GB"/>
        </w:rPr>
        <w:t>24</w:t>
      </w:r>
      <w:r w:rsidR="00235524" w:rsidRPr="004655C0">
        <w:rPr>
          <w:rFonts w:asciiTheme="majorBidi" w:hAnsiTheme="majorBidi" w:cstheme="majorBidi"/>
          <w:sz w:val="26"/>
          <w:szCs w:val="26"/>
          <w:lang w:val="en-GB"/>
        </w:rPr>
        <w:t>%</w:t>
      </w:r>
      <w:r w:rsidR="00235524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5F4FDE" w:rsidRPr="004655C0">
        <w:rPr>
          <w:rFonts w:asciiTheme="majorBidi" w:hAnsiTheme="majorBidi" w:cstheme="majorBidi"/>
          <w:sz w:val="26"/>
          <w:szCs w:val="26"/>
        </w:rPr>
        <w:t xml:space="preserve">in </w:t>
      </w:r>
      <w:r w:rsidR="00996A56" w:rsidRPr="004655C0">
        <w:rPr>
          <w:rFonts w:asciiTheme="majorBidi" w:hAnsiTheme="majorBidi" w:cstheme="majorBidi"/>
          <w:sz w:val="26"/>
          <w:szCs w:val="26"/>
        </w:rPr>
        <w:t>202</w:t>
      </w:r>
      <w:r w:rsidR="00DE407A" w:rsidRPr="004655C0">
        <w:rPr>
          <w:rFonts w:asciiTheme="majorBidi" w:hAnsiTheme="majorBidi" w:cstheme="majorBidi"/>
          <w:sz w:val="26"/>
          <w:szCs w:val="26"/>
        </w:rPr>
        <w:t>2</w:t>
      </w:r>
      <w:r w:rsidR="005F4FDE" w:rsidRPr="004655C0">
        <w:rPr>
          <w:rFonts w:asciiTheme="majorBidi" w:hAnsiTheme="majorBidi" w:cstheme="majorBidi"/>
          <w:sz w:val="26"/>
          <w:szCs w:val="26"/>
        </w:rPr>
        <w:t xml:space="preserve">, </w:t>
      </w:r>
      <w:r w:rsidR="00235524" w:rsidRPr="004655C0">
        <w:rPr>
          <w:rFonts w:asciiTheme="majorBidi" w:hAnsiTheme="majorBidi" w:cstheme="majorBidi"/>
          <w:sz w:val="26"/>
          <w:szCs w:val="26"/>
        </w:rPr>
        <w:t xml:space="preserve">and the </w:t>
      </w:r>
      <w:r w:rsidR="005F4FDE" w:rsidRPr="004655C0">
        <w:rPr>
          <w:rFonts w:asciiTheme="majorBidi" w:hAnsiTheme="majorBidi" w:cstheme="majorBidi"/>
          <w:sz w:val="26"/>
          <w:szCs w:val="26"/>
        </w:rPr>
        <w:t xml:space="preserve">total </w:t>
      </w:r>
      <w:proofErr w:type="spellStart"/>
      <w:r w:rsidR="005F4FDE" w:rsidRPr="004655C0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="005F4FDE" w:rsidRPr="004655C0">
        <w:rPr>
          <w:rFonts w:asciiTheme="majorBidi" w:hAnsiTheme="majorBidi" w:cstheme="majorBidi"/>
          <w:sz w:val="26"/>
          <w:szCs w:val="26"/>
        </w:rPr>
        <w:t xml:space="preserve"> underutilization </w:t>
      </w:r>
      <w:r w:rsidR="00235524" w:rsidRPr="004655C0">
        <w:rPr>
          <w:rFonts w:asciiTheme="majorBidi" w:hAnsiTheme="majorBidi" w:cstheme="majorBidi"/>
          <w:sz w:val="26"/>
          <w:szCs w:val="26"/>
        </w:rPr>
        <w:t xml:space="preserve">reached </w:t>
      </w:r>
      <w:r w:rsidR="00DE407A" w:rsidRPr="004655C0">
        <w:rPr>
          <w:rFonts w:asciiTheme="majorBidi" w:hAnsiTheme="majorBidi" w:cstheme="majorBidi"/>
          <w:sz w:val="26"/>
          <w:szCs w:val="26"/>
        </w:rPr>
        <w:t>31</w:t>
      </w:r>
      <w:r w:rsidR="005F4FDE" w:rsidRPr="004655C0">
        <w:rPr>
          <w:rFonts w:asciiTheme="majorBidi" w:hAnsiTheme="majorBidi" w:cstheme="majorBidi"/>
          <w:sz w:val="26"/>
          <w:szCs w:val="26"/>
        </w:rPr>
        <w:t>%.</w:t>
      </w:r>
    </w:p>
    <w:p w:rsidR="00DE6DE2" w:rsidRPr="004655C0" w:rsidRDefault="00DE6DE2" w:rsidP="00DE6DE2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DE6DE2" w:rsidRPr="004655C0" w:rsidRDefault="00DE6DE2" w:rsidP="00A9533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655C0">
        <w:rPr>
          <w:rFonts w:asciiTheme="majorBidi" w:hAnsiTheme="majorBidi" w:cstheme="majorBidi"/>
          <w:sz w:val="26"/>
          <w:szCs w:val="26"/>
          <w:lang w:val="en-GB"/>
        </w:rPr>
        <w:t xml:space="preserve">There is still </w:t>
      </w:r>
      <w:r w:rsidR="00A95333" w:rsidRPr="004655C0">
        <w:rPr>
          <w:rFonts w:asciiTheme="majorBidi" w:hAnsiTheme="majorBidi" w:cstheme="majorBidi"/>
          <w:sz w:val="26"/>
          <w:szCs w:val="26"/>
        </w:rPr>
        <w:t xml:space="preserve">a wide gap </w:t>
      </w:r>
      <w:r w:rsidRPr="004655C0">
        <w:rPr>
          <w:rFonts w:asciiTheme="majorBidi" w:hAnsiTheme="majorBidi" w:cstheme="majorBidi"/>
          <w:sz w:val="26"/>
          <w:szCs w:val="26"/>
          <w:lang w:val="en-GB"/>
        </w:rPr>
        <w:t xml:space="preserve">in unemployment rate between the West Bank and Gaza Strip, as this rate reached </w:t>
      </w:r>
      <w:r w:rsidR="003A6DA8" w:rsidRPr="004655C0">
        <w:rPr>
          <w:rFonts w:asciiTheme="majorBidi" w:hAnsiTheme="majorBidi" w:cstheme="majorBidi"/>
          <w:sz w:val="26"/>
          <w:szCs w:val="26"/>
          <w:lang w:val="en-GB"/>
        </w:rPr>
        <w:t>45</w:t>
      </w:r>
      <w:r w:rsidRPr="004655C0">
        <w:rPr>
          <w:rFonts w:asciiTheme="majorBidi" w:hAnsiTheme="majorBidi" w:cstheme="majorBidi"/>
          <w:sz w:val="26"/>
          <w:szCs w:val="26"/>
          <w:lang w:val="en-GB"/>
        </w:rPr>
        <w:t>% in Gaza Strip compared to 1</w:t>
      </w:r>
      <w:r w:rsidR="003A6DA8" w:rsidRPr="004655C0">
        <w:rPr>
          <w:rFonts w:asciiTheme="majorBidi" w:hAnsiTheme="majorBidi" w:cstheme="majorBidi"/>
          <w:sz w:val="26"/>
          <w:szCs w:val="26"/>
          <w:lang w:val="en-GB"/>
        </w:rPr>
        <w:t>3</w:t>
      </w:r>
      <w:r w:rsidRPr="004655C0">
        <w:rPr>
          <w:rFonts w:asciiTheme="majorBidi" w:hAnsiTheme="majorBidi" w:cstheme="majorBidi"/>
          <w:sz w:val="26"/>
          <w:szCs w:val="26"/>
          <w:lang w:val="en-GB"/>
        </w:rPr>
        <w:t xml:space="preserve">% in the West Bank. On gender level, unemployment rate for females reached </w:t>
      </w:r>
      <w:r w:rsidR="003A6DA8" w:rsidRPr="004655C0">
        <w:rPr>
          <w:rFonts w:asciiTheme="majorBidi" w:hAnsiTheme="majorBidi" w:cstheme="majorBidi"/>
          <w:sz w:val="26"/>
          <w:szCs w:val="26"/>
          <w:lang w:val="en-GB"/>
        </w:rPr>
        <w:t>40</w:t>
      </w:r>
      <w:r w:rsidRPr="004655C0">
        <w:rPr>
          <w:rFonts w:asciiTheme="majorBidi" w:hAnsiTheme="majorBidi" w:cstheme="majorBidi"/>
          <w:sz w:val="26"/>
          <w:szCs w:val="26"/>
          <w:lang w:val="en-GB"/>
        </w:rPr>
        <w:t xml:space="preserve">% compared to </w:t>
      </w:r>
      <w:r w:rsidR="003A6DA8" w:rsidRPr="004655C0">
        <w:rPr>
          <w:rFonts w:asciiTheme="majorBidi" w:hAnsiTheme="majorBidi" w:cstheme="majorBidi"/>
          <w:sz w:val="26"/>
          <w:szCs w:val="26"/>
          <w:lang w:val="en-GB"/>
        </w:rPr>
        <w:t>20</w:t>
      </w:r>
      <w:r w:rsidRPr="004655C0">
        <w:rPr>
          <w:rFonts w:asciiTheme="majorBidi" w:hAnsiTheme="majorBidi" w:cstheme="majorBidi"/>
          <w:sz w:val="26"/>
          <w:szCs w:val="26"/>
          <w:lang w:val="en-GB"/>
        </w:rPr>
        <w:t>% for males in Palestine.</w:t>
      </w:r>
    </w:p>
    <w:p w:rsidR="00DE6DE2" w:rsidRPr="004655C0" w:rsidRDefault="00DE6DE2" w:rsidP="00DE6DE2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DE6DE2" w:rsidRDefault="00DE6DE2" w:rsidP="003A6DA8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Unemployment Rate in Palestine by Region, 2015-202</w:t>
      </w:r>
      <w:r w:rsidR="003A6DA8" w:rsidRPr="004655C0">
        <w:rPr>
          <w:rFonts w:asciiTheme="majorBidi" w:hAnsiTheme="majorBidi" w:cstheme="majorBidi"/>
          <w:sz w:val="26"/>
          <w:szCs w:val="26"/>
        </w:rPr>
        <w:t>2</w:t>
      </w:r>
    </w:p>
    <w:p w:rsidR="004655C0" w:rsidRPr="004655C0" w:rsidRDefault="004655C0" w:rsidP="004655C0">
      <w:pPr>
        <w:pStyle w:val="xl74"/>
        <w:pBdr>
          <w:left w:val="none" w:sz="0" w:space="0" w:color="auto"/>
        </w:pBdr>
        <w:tabs>
          <w:tab w:val="left" w:pos="4185"/>
        </w:tabs>
        <w:autoSpaceDE w:val="0"/>
        <w:autoSpaceDN w:val="0"/>
        <w:spacing w:before="0" w:beforeAutospacing="0" w:after="0" w:afterAutospacing="0"/>
        <w:ind w:right="-1"/>
        <w:jc w:val="left"/>
        <w:textAlignment w:val="auto"/>
        <w:rPr>
          <w:rFonts w:asciiTheme="majorBidi" w:hAnsiTheme="majorBidi" w:cstheme="majorBidi"/>
          <w:sz w:val="6"/>
          <w:szCs w:val="6"/>
        </w:rPr>
      </w:pPr>
      <w:r>
        <w:rPr>
          <w:rFonts w:asciiTheme="majorBidi" w:hAnsiTheme="majorBidi" w:cstheme="majorBidi"/>
          <w:sz w:val="26"/>
          <w:szCs w:val="26"/>
        </w:rPr>
        <w:tab/>
      </w:r>
    </w:p>
    <w:tbl>
      <w:tblPr>
        <w:tblW w:w="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DE6DE2" w:rsidRPr="004655C0" w:rsidTr="004655C0">
        <w:trPr>
          <w:jc w:val="center"/>
        </w:trPr>
        <w:tc>
          <w:tcPr>
            <w:tcW w:w="4678" w:type="dxa"/>
          </w:tcPr>
          <w:p w:rsidR="00DE6DE2" w:rsidRPr="004655C0" w:rsidRDefault="004655C0" w:rsidP="00BD46C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en-US"/>
              </w:rPr>
            </w:pPr>
            <w:r w:rsidRPr="004655C0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2828925" cy="1476375"/>
                  <wp:effectExtent l="0" t="0" r="0" b="0"/>
                  <wp:docPr id="23" name="Objec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DE6DE2" w:rsidRPr="004655C0" w:rsidRDefault="00DE6DE2" w:rsidP="00BD46CE">
            <w:pPr>
              <w:pStyle w:val="xl74"/>
              <w:pBdr>
                <w:left w:val="none" w:sz="0" w:space="0" w:color="auto"/>
              </w:pBdr>
              <w:autoSpaceDE w:val="0"/>
              <w:autoSpaceDN w:val="0"/>
              <w:spacing w:before="0" w:beforeAutospacing="0" w:after="0" w:afterAutospacing="0"/>
              <w:ind w:right="-1"/>
              <w:jc w:val="both"/>
              <w:textAlignment w:val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DE6DE2" w:rsidRPr="004655C0" w:rsidRDefault="00DE6DE2" w:rsidP="00DE6DE2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5F4FDE" w:rsidRPr="004655C0" w:rsidRDefault="000A30C3" w:rsidP="000A30C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T</w:t>
      </w:r>
      <w:r w:rsidR="005F4FDE" w:rsidRPr="004655C0">
        <w:rPr>
          <w:rFonts w:asciiTheme="majorBidi" w:hAnsiTheme="majorBidi" w:cstheme="majorBidi"/>
          <w:sz w:val="26"/>
          <w:szCs w:val="26"/>
        </w:rPr>
        <w:t>he</w:t>
      </w:r>
      <w:r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5F4FDE" w:rsidRPr="004655C0">
        <w:rPr>
          <w:rFonts w:asciiTheme="majorBidi" w:hAnsiTheme="majorBidi" w:cstheme="majorBidi"/>
          <w:sz w:val="26"/>
          <w:szCs w:val="26"/>
        </w:rPr>
        <w:t xml:space="preserve">number of unemployed was </w:t>
      </w:r>
      <w:r w:rsidR="00FE6C3D" w:rsidRPr="004655C0">
        <w:rPr>
          <w:rFonts w:asciiTheme="majorBidi" w:hAnsiTheme="majorBidi" w:cstheme="majorBidi"/>
          <w:sz w:val="26"/>
          <w:szCs w:val="26"/>
        </w:rPr>
        <w:t>367 thousand</w:t>
      </w:r>
      <w:r w:rsidR="005F4FDE" w:rsidRPr="004655C0">
        <w:rPr>
          <w:rFonts w:asciiTheme="majorBidi" w:hAnsiTheme="majorBidi" w:cstheme="majorBidi"/>
          <w:sz w:val="26"/>
          <w:szCs w:val="26"/>
        </w:rPr>
        <w:t xml:space="preserve"> in </w:t>
      </w:r>
      <w:r w:rsidR="00996A56" w:rsidRPr="004655C0">
        <w:rPr>
          <w:rFonts w:asciiTheme="majorBidi" w:hAnsiTheme="majorBidi" w:cstheme="majorBidi"/>
          <w:sz w:val="26"/>
          <w:szCs w:val="26"/>
        </w:rPr>
        <w:t>202</w:t>
      </w:r>
      <w:r w:rsidR="00FE6C3D" w:rsidRPr="004655C0">
        <w:rPr>
          <w:rFonts w:asciiTheme="majorBidi" w:hAnsiTheme="majorBidi" w:cstheme="majorBidi"/>
          <w:sz w:val="26"/>
          <w:szCs w:val="26"/>
        </w:rPr>
        <w:t>2</w:t>
      </w:r>
      <w:r w:rsidR="005F4FDE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235524" w:rsidRPr="004655C0">
        <w:rPr>
          <w:rFonts w:asciiTheme="majorBidi" w:hAnsiTheme="majorBidi" w:cstheme="majorBidi"/>
          <w:sz w:val="26"/>
          <w:szCs w:val="26"/>
        </w:rPr>
        <w:t>(</w:t>
      </w:r>
      <w:r w:rsidR="00FE6C3D" w:rsidRPr="004655C0">
        <w:rPr>
          <w:rFonts w:asciiTheme="majorBidi" w:hAnsiTheme="majorBidi" w:cstheme="majorBidi"/>
          <w:sz w:val="26"/>
          <w:szCs w:val="26"/>
        </w:rPr>
        <w:t>239 thousand</w:t>
      </w:r>
      <w:r w:rsidR="005F4FDE" w:rsidRPr="004655C0">
        <w:rPr>
          <w:rFonts w:asciiTheme="majorBidi" w:hAnsiTheme="majorBidi" w:cstheme="majorBidi"/>
          <w:sz w:val="26"/>
          <w:szCs w:val="26"/>
        </w:rPr>
        <w:t xml:space="preserve"> in Gaza Strip and </w:t>
      </w:r>
      <w:r w:rsidR="00FE6C3D" w:rsidRPr="004655C0">
        <w:rPr>
          <w:rFonts w:asciiTheme="majorBidi" w:hAnsiTheme="majorBidi" w:cstheme="majorBidi"/>
          <w:sz w:val="26"/>
          <w:szCs w:val="26"/>
        </w:rPr>
        <w:t>128 thousand</w:t>
      </w:r>
      <w:r w:rsidR="005F4FDE" w:rsidRPr="004655C0">
        <w:rPr>
          <w:rFonts w:asciiTheme="majorBidi" w:hAnsiTheme="majorBidi" w:cstheme="majorBidi"/>
          <w:sz w:val="26"/>
          <w:szCs w:val="26"/>
        </w:rPr>
        <w:t xml:space="preserve"> in the West Bank</w:t>
      </w:r>
      <w:r w:rsidR="00235524" w:rsidRPr="004655C0">
        <w:rPr>
          <w:rFonts w:asciiTheme="majorBidi" w:hAnsiTheme="majorBidi" w:cstheme="majorBidi"/>
          <w:sz w:val="26"/>
          <w:szCs w:val="26"/>
        </w:rPr>
        <w:t>)</w:t>
      </w:r>
      <w:r w:rsidR="005F4FDE" w:rsidRPr="004655C0">
        <w:rPr>
          <w:rFonts w:asciiTheme="majorBidi" w:hAnsiTheme="majorBidi" w:cstheme="majorBidi"/>
          <w:sz w:val="26"/>
          <w:szCs w:val="26"/>
        </w:rPr>
        <w:t xml:space="preserve">. </w:t>
      </w:r>
    </w:p>
    <w:p w:rsidR="005F4FDE" w:rsidRPr="004655C0" w:rsidRDefault="005F4FDE" w:rsidP="005F4FDE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5F4FDE" w:rsidRPr="004655C0" w:rsidRDefault="005F4FDE" w:rsidP="00065B76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 xml:space="preserve">Total </w:t>
      </w:r>
      <w:proofErr w:type="spellStart"/>
      <w:r w:rsidRPr="004655C0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Pr="004655C0">
        <w:rPr>
          <w:rFonts w:asciiTheme="majorBidi" w:hAnsiTheme="majorBidi" w:cstheme="majorBidi"/>
          <w:sz w:val="26"/>
          <w:szCs w:val="26"/>
        </w:rPr>
        <w:t xml:space="preserve"> underutilization was </w:t>
      </w:r>
      <w:r w:rsidR="00065B76" w:rsidRPr="004655C0">
        <w:rPr>
          <w:rFonts w:asciiTheme="majorBidi" w:hAnsiTheme="majorBidi" w:cstheme="majorBidi"/>
          <w:sz w:val="26"/>
          <w:szCs w:val="26"/>
        </w:rPr>
        <w:t>500 thousand</w:t>
      </w:r>
      <w:r w:rsidRPr="004655C0">
        <w:rPr>
          <w:rFonts w:asciiTheme="majorBidi" w:hAnsiTheme="majorBidi" w:cstheme="majorBidi"/>
          <w:sz w:val="26"/>
          <w:szCs w:val="26"/>
        </w:rPr>
        <w:t xml:space="preserve"> person</w:t>
      </w:r>
      <w:r w:rsidR="00235524" w:rsidRPr="004655C0">
        <w:rPr>
          <w:rFonts w:asciiTheme="majorBidi" w:hAnsiTheme="majorBidi" w:cstheme="majorBidi"/>
          <w:sz w:val="26"/>
          <w:szCs w:val="26"/>
        </w:rPr>
        <w:t>s</w:t>
      </w:r>
      <w:r w:rsidRPr="004655C0">
        <w:rPr>
          <w:rFonts w:asciiTheme="majorBidi" w:hAnsiTheme="majorBidi" w:cstheme="majorBidi"/>
          <w:sz w:val="26"/>
          <w:szCs w:val="26"/>
        </w:rPr>
        <w:t xml:space="preserve"> including </w:t>
      </w:r>
      <w:r w:rsidR="00065B76" w:rsidRPr="004655C0">
        <w:rPr>
          <w:rFonts w:asciiTheme="majorBidi" w:hAnsiTheme="majorBidi" w:cstheme="majorBidi"/>
          <w:sz w:val="26"/>
          <w:szCs w:val="26"/>
        </w:rPr>
        <w:t>56 thousand</w:t>
      </w:r>
      <w:r w:rsidRPr="004655C0">
        <w:rPr>
          <w:rFonts w:asciiTheme="majorBidi" w:hAnsiTheme="majorBidi" w:cstheme="majorBidi"/>
          <w:sz w:val="26"/>
          <w:szCs w:val="26"/>
        </w:rPr>
        <w:t xml:space="preserve"> discouraged jobseekers and </w:t>
      </w:r>
      <w:r w:rsidR="00065B76" w:rsidRPr="004655C0">
        <w:rPr>
          <w:rFonts w:asciiTheme="majorBidi" w:hAnsiTheme="majorBidi" w:cstheme="majorBidi"/>
          <w:sz w:val="26"/>
          <w:szCs w:val="26"/>
        </w:rPr>
        <w:t>22 thousand</w:t>
      </w:r>
      <w:r w:rsidRPr="004655C0">
        <w:rPr>
          <w:rFonts w:asciiTheme="majorBidi" w:hAnsiTheme="majorBidi" w:cstheme="majorBidi"/>
          <w:sz w:val="26"/>
          <w:szCs w:val="26"/>
        </w:rPr>
        <w:t xml:space="preserve"> in time-related underemployment.</w:t>
      </w:r>
    </w:p>
    <w:p w:rsidR="00AA3435" w:rsidRPr="004655C0" w:rsidRDefault="00AA3435" w:rsidP="0067794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161BDE" w:rsidRPr="004655C0" w:rsidRDefault="009B7304" w:rsidP="004655C0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655C0">
        <w:rPr>
          <w:rFonts w:asciiTheme="majorBidi" w:hAnsiTheme="majorBidi" w:cstheme="majorBidi"/>
          <w:b/>
          <w:bCs/>
          <w:sz w:val="26"/>
          <w:szCs w:val="26"/>
        </w:rPr>
        <w:t>Hebron</w:t>
      </w:r>
      <w:r w:rsidR="00D35BD2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344A6" w:rsidRPr="004655C0">
        <w:rPr>
          <w:rFonts w:asciiTheme="majorBidi" w:hAnsiTheme="majorBidi" w:cstheme="majorBidi"/>
          <w:b/>
          <w:bCs/>
          <w:sz w:val="26"/>
          <w:szCs w:val="26"/>
        </w:rPr>
        <w:t>g</w:t>
      </w:r>
      <w:r w:rsidR="00D35BD2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overnorate in the West Bank and </w:t>
      </w:r>
      <w:proofErr w:type="spellStart"/>
      <w:r w:rsidR="00161BDE" w:rsidRPr="004655C0">
        <w:rPr>
          <w:rFonts w:asciiTheme="majorBidi" w:hAnsiTheme="majorBidi" w:cstheme="majorBidi"/>
          <w:b/>
          <w:bCs/>
          <w:sz w:val="26"/>
          <w:szCs w:val="26"/>
        </w:rPr>
        <w:t>Dier</w:t>
      </w:r>
      <w:proofErr w:type="spellEnd"/>
      <w:r w:rsidR="00161BDE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51C55" w:rsidRPr="004655C0"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161BDE" w:rsidRPr="004655C0">
        <w:rPr>
          <w:rFonts w:asciiTheme="majorBidi" w:hAnsiTheme="majorBidi" w:cstheme="majorBidi"/>
          <w:b/>
          <w:bCs/>
          <w:sz w:val="26"/>
          <w:szCs w:val="26"/>
        </w:rPr>
        <w:t>l-</w:t>
      </w:r>
      <w:proofErr w:type="spellStart"/>
      <w:r w:rsidR="00161BDE" w:rsidRPr="004655C0">
        <w:rPr>
          <w:rFonts w:asciiTheme="majorBidi" w:hAnsiTheme="majorBidi" w:cstheme="majorBidi"/>
          <w:b/>
          <w:bCs/>
          <w:sz w:val="26"/>
          <w:szCs w:val="26"/>
        </w:rPr>
        <w:t>Balah</w:t>
      </w:r>
      <w:proofErr w:type="spellEnd"/>
      <w:r w:rsidR="00161BDE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344A6" w:rsidRPr="004655C0">
        <w:rPr>
          <w:rFonts w:asciiTheme="majorBidi" w:hAnsiTheme="majorBidi" w:cstheme="majorBidi"/>
          <w:b/>
          <w:bCs/>
          <w:sz w:val="26"/>
          <w:szCs w:val="26"/>
        </w:rPr>
        <w:t>g</w:t>
      </w:r>
      <w:r w:rsidR="00161BDE" w:rsidRPr="004655C0">
        <w:rPr>
          <w:rFonts w:asciiTheme="majorBidi" w:hAnsiTheme="majorBidi" w:cstheme="majorBidi"/>
          <w:b/>
          <w:bCs/>
          <w:sz w:val="26"/>
          <w:szCs w:val="26"/>
        </w:rPr>
        <w:t>overnorate</w:t>
      </w:r>
      <w:r w:rsidR="00D35BD2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in Gaza Strip </w:t>
      </w:r>
      <w:r w:rsidR="001C3AE2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recorded </w:t>
      </w:r>
      <w:r w:rsidR="00D35BD2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677948" w:rsidRPr="004655C0">
        <w:rPr>
          <w:rFonts w:asciiTheme="majorBidi" w:hAnsiTheme="majorBidi" w:cstheme="majorBidi"/>
          <w:b/>
          <w:bCs/>
          <w:sz w:val="26"/>
          <w:szCs w:val="26"/>
        </w:rPr>
        <w:t>highest Unemployment</w:t>
      </w:r>
      <w:r w:rsidR="00D35BD2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rate</w:t>
      </w:r>
      <w:r w:rsidR="00587957" w:rsidRPr="004655C0">
        <w:rPr>
          <w:rFonts w:asciiTheme="majorBidi" w:hAnsiTheme="majorBidi" w:cstheme="majorBidi"/>
          <w:b/>
          <w:bCs/>
          <w:sz w:val="26"/>
          <w:szCs w:val="26"/>
        </w:rPr>
        <w:t>s</w:t>
      </w:r>
      <w:r w:rsidR="00D35BD2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in </w:t>
      </w:r>
      <w:r w:rsidR="00996A56" w:rsidRPr="004655C0">
        <w:rPr>
          <w:rFonts w:asciiTheme="majorBidi" w:hAnsiTheme="majorBidi" w:cstheme="majorBidi"/>
          <w:b/>
          <w:bCs/>
          <w:sz w:val="26"/>
          <w:szCs w:val="26"/>
        </w:rPr>
        <w:t>202</w:t>
      </w:r>
      <w:r w:rsidRPr="004655C0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D35BD2" w:rsidRPr="004655C0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4655C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161BDE" w:rsidRPr="004655C0" w:rsidRDefault="004C481C" w:rsidP="000A30C3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Hebron</w:t>
      </w:r>
      <w:r w:rsidR="00E721A2" w:rsidRPr="004655C0">
        <w:rPr>
          <w:rFonts w:asciiTheme="majorBidi" w:hAnsiTheme="majorBidi" w:cstheme="majorBidi"/>
          <w:sz w:val="26"/>
          <w:szCs w:val="26"/>
        </w:rPr>
        <w:t xml:space="preserve"> Governorate recorded the highest unemployment rate in</w:t>
      </w:r>
      <w:r w:rsidR="00EC6D9B" w:rsidRPr="004655C0">
        <w:rPr>
          <w:rFonts w:asciiTheme="majorBidi" w:hAnsiTheme="majorBidi" w:cstheme="majorBidi"/>
          <w:sz w:val="26"/>
          <w:szCs w:val="26"/>
        </w:rPr>
        <w:t xml:space="preserve"> the</w:t>
      </w:r>
      <w:r w:rsidR="00E721A2" w:rsidRPr="004655C0">
        <w:rPr>
          <w:rFonts w:asciiTheme="majorBidi" w:hAnsiTheme="majorBidi" w:cstheme="majorBidi"/>
          <w:sz w:val="26"/>
          <w:szCs w:val="26"/>
        </w:rPr>
        <w:t xml:space="preserve"> West Bank </w:t>
      </w:r>
      <w:r w:rsidR="00587957" w:rsidRPr="004655C0">
        <w:rPr>
          <w:rFonts w:asciiTheme="majorBidi" w:hAnsiTheme="majorBidi" w:cstheme="majorBidi"/>
          <w:sz w:val="26"/>
          <w:szCs w:val="26"/>
        </w:rPr>
        <w:t xml:space="preserve">with </w:t>
      </w:r>
      <w:r w:rsidRPr="004655C0">
        <w:rPr>
          <w:rFonts w:asciiTheme="majorBidi" w:hAnsiTheme="majorBidi" w:cstheme="majorBidi"/>
          <w:sz w:val="26"/>
          <w:szCs w:val="26"/>
        </w:rPr>
        <w:t>16.9</w:t>
      </w:r>
      <w:r w:rsidR="00E721A2" w:rsidRPr="004655C0">
        <w:rPr>
          <w:rFonts w:asciiTheme="majorBidi" w:hAnsiTheme="majorBidi" w:cstheme="majorBidi"/>
          <w:sz w:val="26"/>
          <w:szCs w:val="26"/>
        </w:rPr>
        <w:t xml:space="preserve">% followed by </w:t>
      </w:r>
      <w:r w:rsidRPr="004655C0">
        <w:rPr>
          <w:rFonts w:asciiTheme="majorBidi" w:hAnsiTheme="majorBidi" w:cstheme="majorBidi"/>
          <w:sz w:val="26"/>
          <w:szCs w:val="26"/>
        </w:rPr>
        <w:t xml:space="preserve">16.8% in </w:t>
      </w:r>
      <w:r w:rsidR="00EC6D9B" w:rsidRPr="004655C0">
        <w:rPr>
          <w:rFonts w:asciiTheme="majorBidi" w:hAnsiTheme="majorBidi" w:cstheme="majorBidi"/>
          <w:sz w:val="26"/>
          <w:szCs w:val="26"/>
        </w:rPr>
        <w:t xml:space="preserve">Jenin </w:t>
      </w:r>
      <w:r w:rsidR="00E721A2" w:rsidRPr="004655C0">
        <w:rPr>
          <w:rFonts w:asciiTheme="majorBidi" w:hAnsiTheme="majorBidi" w:cstheme="majorBidi"/>
          <w:sz w:val="26"/>
          <w:szCs w:val="26"/>
        </w:rPr>
        <w:t>governorate</w:t>
      </w:r>
      <w:r w:rsidR="00EC6D9B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E721A2" w:rsidRPr="004655C0">
        <w:rPr>
          <w:rFonts w:asciiTheme="majorBidi" w:hAnsiTheme="majorBidi" w:cstheme="majorBidi"/>
          <w:sz w:val="26"/>
          <w:szCs w:val="26"/>
        </w:rPr>
        <w:t xml:space="preserve">while Jerusalem </w:t>
      </w:r>
      <w:r w:rsidR="00C07BE9" w:rsidRPr="004655C0">
        <w:rPr>
          <w:rFonts w:asciiTheme="majorBidi" w:hAnsiTheme="majorBidi" w:cstheme="majorBidi"/>
          <w:sz w:val="26"/>
          <w:szCs w:val="26"/>
        </w:rPr>
        <w:t xml:space="preserve">governorate </w:t>
      </w:r>
      <w:r w:rsidR="00F175CD" w:rsidRPr="004655C0">
        <w:rPr>
          <w:rFonts w:asciiTheme="majorBidi" w:hAnsiTheme="majorBidi" w:cstheme="majorBidi"/>
          <w:sz w:val="26"/>
          <w:szCs w:val="26"/>
        </w:rPr>
        <w:t xml:space="preserve">recorded </w:t>
      </w:r>
      <w:r w:rsidRPr="004655C0">
        <w:rPr>
          <w:rFonts w:asciiTheme="majorBidi" w:hAnsiTheme="majorBidi" w:cstheme="majorBidi"/>
          <w:sz w:val="26"/>
          <w:szCs w:val="26"/>
        </w:rPr>
        <w:t>3.2</w:t>
      </w:r>
      <w:r w:rsidR="00EC6D9B" w:rsidRPr="004655C0">
        <w:rPr>
          <w:rFonts w:asciiTheme="majorBidi" w:hAnsiTheme="majorBidi" w:cstheme="majorBidi"/>
          <w:sz w:val="26"/>
          <w:szCs w:val="26"/>
        </w:rPr>
        <w:t xml:space="preserve">% </w:t>
      </w:r>
      <w:r w:rsidR="00587957" w:rsidRPr="004655C0">
        <w:rPr>
          <w:rFonts w:asciiTheme="majorBidi" w:hAnsiTheme="majorBidi" w:cstheme="majorBidi"/>
          <w:sz w:val="26"/>
          <w:szCs w:val="26"/>
        </w:rPr>
        <w:t xml:space="preserve">which is </w:t>
      </w:r>
      <w:r w:rsidR="00E721A2" w:rsidRPr="004655C0">
        <w:rPr>
          <w:rFonts w:asciiTheme="majorBidi" w:hAnsiTheme="majorBidi" w:cstheme="majorBidi"/>
          <w:sz w:val="26"/>
          <w:szCs w:val="26"/>
        </w:rPr>
        <w:t xml:space="preserve">the lowest </w:t>
      </w:r>
      <w:r w:rsidR="00587957" w:rsidRPr="004655C0">
        <w:rPr>
          <w:rFonts w:asciiTheme="majorBidi" w:hAnsiTheme="majorBidi" w:cstheme="majorBidi"/>
          <w:sz w:val="26"/>
          <w:szCs w:val="26"/>
        </w:rPr>
        <w:t xml:space="preserve">among </w:t>
      </w:r>
      <w:r w:rsidR="00E721A2" w:rsidRPr="004655C0">
        <w:rPr>
          <w:rFonts w:asciiTheme="majorBidi" w:hAnsiTheme="majorBidi" w:cstheme="majorBidi"/>
          <w:sz w:val="26"/>
          <w:szCs w:val="26"/>
        </w:rPr>
        <w:t>the West Bank Governorates</w:t>
      </w:r>
      <w:r w:rsidR="00587957" w:rsidRPr="004655C0">
        <w:rPr>
          <w:rFonts w:asciiTheme="majorBidi" w:hAnsiTheme="majorBidi" w:cstheme="majorBidi"/>
          <w:sz w:val="26"/>
          <w:szCs w:val="26"/>
        </w:rPr>
        <w:t xml:space="preserve">. In </w:t>
      </w:r>
      <w:r w:rsidR="00600E13" w:rsidRPr="004655C0">
        <w:rPr>
          <w:rFonts w:asciiTheme="majorBidi" w:hAnsiTheme="majorBidi" w:cstheme="majorBidi"/>
          <w:sz w:val="26"/>
          <w:szCs w:val="26"/>
        </w:rPr>
        <w:t>Gaza Strip</w:t>
      </w:r>
      <w:r w:rsidR="00587957" w:rsidRPr="004655C0">
        <w:rPr>
          <w:rFonts w:asciiTheme="majorBidi" w:hAnsiTheme="majorBidi" w:cstheme="majorBidi"/>
          <w:sz w:val="26"/>
          <w:szCs w:val="26"/>
        </w:rPr>
        <w:t>,</w:t>
      </w:r>
      <w:r w:rsidR="00600E13" w:rsidRPr="004655C0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951C55" w:rsidRPr="004655C0">
        <w:rPr>
          <w:rFonts w:asciiTheme="majorBidi" w:hAnsiTheme="majorBidi" w:cstheme="majorBidi"/>
          <w:sz w:val="26"/>
          <w:szCs w:val="26"/>
        </w:rPr>
        <w:t>Dier</w:t>
      </w:r>
      <w:proofErr w:type="spellEnd"/>
      <w:r w:rsidR="00951C55" w:rsidRPr="004655C0">
        <w:rPr>
          <w:rFonts w:asciiTheme="majorBidi" w:hAnsiTheme="majorBidi" w:cstheme="majorBidi"/>
          <w:sz w:val="26"/>
          <w:szCs w:val="26"/>
        </w:rPr>
        <w:t xml:space="preserve"> Al-</w:t>
      </w:r>
      <w:proofErr w:type="spellStart"/>
      <w:r w:rsidR="00951C55" w:rsidRPr="004655C0">
        <w:rPr>
          <w:rFonts w:asciiTheme="majorBidi" w:hAnsiTheme="majorBidi" w:cstheme="majorBidi"/>
          <w:sz w:val="26"/>
          <w:szCs w:val="26"/>
        </w:rPr>
        <w:t>Balah</w:t>
      </w:r>
      <w:proofErr w:type="spellEnd"/>
      <w:r w:rsidR="00951C55" w:rsidRPr="004655C0">
        <w:rPr>
          <w:rFonts w:asciiTheme="majorBidi" w:hAnsiTheme="majorBidi" w:cstheme="majorBidi"/>
          <w:sz w:val="26"/>
          <w:szCs w:val="26"/>
        </w:rPr>
        <w:t xml:space="preserve"> Governorate </w:t>
      </w:r>
      <w:r w:rsidR="001C3AE2" w:rsidRPr="004655C0">
        <w:rPr>
          <w:rFonts w:asciiTheme="majorBidi" w:hAnsiTheme="majorBidi" w:cstheme="majorBidi"/>
          <w:sz w:val="26"/>
          <w:szCs w:val="26"/>
        </w:rPr>
        <w:t xml:space="preserve">recorded </w:t>
      </w:r>
      <w:r w:rsidR="00951C55" w:rsidRPr="004655C0">
        <w:rPr>
          <w:rFonts w:asciiTheme="majorBidi" w:hAnsiTheme="majorBidi" w:cstheme="majorBidi"/>
          <w:sz w:val="26"/>
          <w:szCs w:val="26"/>
        </w:rPr>
        <w:t xml:space="preserve">the highest </w:t>
      </w:r>
      <w:r w:rsidR="00E721A2" w:rsidRPr="004655C0">
        <w:rPr>
          <w:rFonts w:asciiTheme="majorBidi" w:hAnsiTheme="majorBidi" w:cstheme="majorBidi"/>
          <w:sz w:val="26"/>
          <w:szCs w:val="26"/>
        </w:rPr>
        <w:t>u</w:t>
      </w:r>
      <w:r w:rsidR="00951C55" w:rsidRPr="004655C0">
        <w:rPr>
          <w:rFonts w:asciiTheme="majorBidi" w:hAnsiTheme="majorBidi" w:cstheme="majorBidi"/>
          <w:sz w:val="26"/>
          <w:szCs w:val="26"/>
        </w:rPr>
        <w:t xml:space="preserve">nemployment rate </w:t>
      </w:r>
      <w:r w:rsidR="001C3AE2" w:rsidRPr="004655C0">
        <w:rPr>
          <w:rFonts w:asciiTheme="majorBidi" w:hAnsiTheme="majorBidi" w:cstheme="majorBidi"/>
          <w:sz w:val="26"/>
          <w:szCs w:val="26"/>
        </w:rPr>
        <w:t xml:space="preserve">with </w:t>
      </w:r>
      <w:r w:rsidRPr="004655C0">
        <w:rPr>
          <w:rFonts w:asciiTheme="majorBidi" w:hAnsiTheme="majorBidi" w:cstheme="majorBidi"/>
          <w:sz w:val="26"/>
          <w:szCs w:val="26"/>
        </w:rPr>
        <w:t>54.8</w:t>
      </w:r>
      <w:r w:rsidR="00951C55" w:rsidRPr="004655C0">
        <w:rPr>
          <w:rFonts w:asciiTheme="majorBidi" w:hAnsiTheme="majorBidi" w:cstheme="majorBidi"/>
          <w:sz w:val="26"/>
          <w:szCs w:val="26"/>
        </w:rPr>
        <w:t>%</w:t>
      </w:r>
      <w:r w:rsidR="00E721A2" w:rsidRPr="004655C0">
        <w:rPr>
          <w:rFonts w:asciiTheme="majorBidi" w:hAnsiTheme="majorBidi" w:cstheme="majorBidi"/>
          <w:sz w:val="26"/>
          <w:szCs w:val="26"/>
        </w:rPr>
        <w:t xml:space="preserve"> followed by Khan </w:t>
      </w:r>
      <w:proofErr w:type="spellStart"/>
      <w:r w:rsidR="00E721A2" w:rsidRPr="004655C0">
        <w:rPr>
          <w:rFonts w:asciiTheme="majorBidi" w:hAnsiTheme="majorBidi" w:cstheme="majorBidi"/>
          <w:sz w:val="26"/>
          <w:szCs w:val="26"/>
        </w:rPr>
        <w:t>Yunis</w:t>
      </w:r>
      <w:proofErr w:type="spellEnd"/>
      <w:r w:rsidR="00E721A2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Pr="004655C0">
        <w:rPr>
          <w:rFonts w:asciiTheme="majorBidi" w:hAnsiTheme="majorBidi" w:cstheme="majorBidi"/>
          <w:sz w:val="26"/>
          <w:szCs w:val="26"/>
        </w:rPr>
        <w:t>49.4</w:t>
      </w:r>
      <w:r w:rsidR="00E721A2" w:rsidRPr="004655C0">
        <w:rPr>
          <w:rFonts w:asciiTheme="majorBidi" w:hAnsiTheme="majorBidi" w:cstheme="majorBidi"/>
          <w:sz w:val="26"/>
          <w:szCs w:val="26"/>
        </w:rPr>
        <w:t xml:space="preserve">% while </w:t>
      </w:r>
      <w:r w:rsidR="001C3AE2" w:rsidRPr="004655C0">
        <w:rPr>
          <w:rFonts w:asciiTheme="majorBidi" w:hAnsiTheme="majorBidi" w:cstheme="majorBidi"/>
          <w:sz w:val="26"/>
          <w:szCs w:val="26"/>
        </w:rPr>
        <w:t xml:space="preserve">North Gaza governorate reached </w:t>
      </w:r>
      <w:r w:rsidRPr="004655C0">
        <w:rPr>
          <w:rFonts w:asciiTheme="majorBidi" w:hAnsiTheme="majorBidi" w:cstheme="majorBidi"/>
          <w:sz w:val="26"/>
          <w:szCs w:val="26"/>
        </w:rPr>
        <w:t>38.4</w:t>
      </w:r>
      <w:r w:rsidR="001C3AE2" w:rsidRPr="004655C0">
        <w:rPr>
          <w:rFonts w:asciiTheme="majorBidi" w:hAnsiTheme="majorBidi" w:cstheme="majorBidi"/>
          <w:sz w:val="26"/>
          <w:szCs w:val="26"/>
        </w:rPr>
        <w:t xml:space="preserve">% which is </w:t>
      </w:r>
      <w:r w:rsidR="00E721A2" w:rsidRPr="004655C0">
        <w:rPr>
          <w:rFonts w:asciiTheme="majorBidi" w:hAnsiTheme="majorBidi" w:cstheme="majorBidi"/>
          <w:sz w:val="26"/>
          <w:szCs w:val="26"/>
        </w:rPr>
        <w:t xml:space="preserve">the lowest </w:t>
      </w:r>
      <w:r w:rsidR="001C3AE2" w:rsidRPr="004655C0">
        <w:rPr>
          <w:rFonts w:asciiTheme="majorBidi" w:hAnsiTheme="majorBidi" w:cstheme="majorBidi"/>
          <w:sz w:val="26"/>
          <w:szCs w:val="26"/>
        </w:rPr>
        <w:t>among Gaza Strip governorates</w:t>
      </w:r>
      <w:r w:rsidR="00E721A2" w:rsidRPr="004655C0">
        <w:rPr>
          <w:rFonts w:asciiTheme="majorBidi" w:hAnsiTheme="majorBidi" w:cstheme="majorBidi"/>
          <w:sz w:val="26"/>
          <w:szCs w:val="26"/>
        </w:rPr>
        <w:t>.</w:t>
      </w:r>
      <w:r w:rsidR="00951C55" w:rsidRPr="004655C0">
        <w:rPr>
          <w:rFonts w:asciiTheme="majorBidi" w:hAnsiTheme="majorBidi" w:cstheme="majorBidi"/>
          <w:sz w:val="26"/>
          <w:szCs w:val="26"/>
        </w:rPr>
        <w:t xml:space="preserve"> </w:t>
      </w:r>
    </w:p>
    <w:p w:rsidR="00C07BE9" w:rsidRPr="004655C0" w:rsidRDefault="00C07BE9" w:rsidP="0067794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E53FC9" w:rsidRPr="004655C0" w:rsidRDefault="00E721A2" w:rsidP="00C07BE9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Unemployment rate </w:t>
      </w:r>
      <w:r w:rsidR="00D344A6" w:rsidRPr="004655C0">
        <w:rPr>
          <w:rFonts w:asciiTheme="majorBidi" w:hAnsiTheme="majorBidi" w:cstheme="majorBidi"/>
          <w:b/>
          <w:bCs/>
          <w:sz w:val="26"/>
          <w:szCs w:val="26"/>
        </w:rPr>
        <w:t>was the highest among y</w:t>
      </w:r>
      <w:r w:rsidR="00E53FC9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outh </w:t>
      </w:r>
      <w:r w:rsidR="00D344A6" w:rsidRPr="004655C0">
        <w:rPr>
          <w:rFonts w:asciiTheme="majorBidi" w:hAnsiTheme="majorBidi" w:cstheme="majorBidi"/>
          <w:b/>
          <w:bCs/>
          <w:sz w:val="26"/>
          <w:szCs w:val="26"/>
        </w:rPr>
        <w:t>g</w:t>
      </w:r>
      <w:r w:rsidR="00E53FC9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raduates </w:t>
      </w:r>
    </w:p>
    <w:p w:rsidR="00DE6DE2" w:rsidRPr="004655C0" w:rsidRDefault="00A95333" w:rsidP="00A9533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U</w:t>
      </w:r>
      <w:r w:rsidR="00DE6DE2" w:rsidRPr="004655C0">
        <w:rPr>
          <w:rFonts w:asciiTheme="majorBidi" w:hAnsiTheme="majorBidi" w:cstheme="majorBidi"/>
          <w:sz w:val="26"/>
          <w:szCs w:val="26"/>
        </w:rPr>
        <w:t>nemployment</w:t>
      </w:r>
      <w:r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DE6DE2" w:rsidRPr="004655C0">
        <w:rPr>
          <w:rFonts w:asciiTheme="majorBidi" w:hAnsiTheme="majorBidi" w:cstheme="majorBidi"/>
          <w:sz w:val="26"/>
          <w:szCs w:val="26"/>
        </w:rPr>
        <w:t xml:space="preserve">rate among </w:t>
      </w:r>
      <w:r w:rsidR="000E782E" w:rsidRPr="004655C0">
        <w:rPr>
          <w:rFonts w:asciiTheme="majorBidi" w:hAnsiTheme="majorBidi" w:cstheme="majorBidi"/>
          <w:sz w:val="26"/>
          <w:szCs w:val="26"/>
        </w:rPr>
        <w:t xml:space="preserve">youth </w:t>
      </w:r>
      <w:r w:rsidR="00DE6DE2" w:rsidRPr="004655C0">
        <w:rPr>
          <w:rFonts w:asciiTheme="majorBidi" w:hAnsiTheme="majorBidi" w:cstheme="majorBidi"/>
          <w:sz w:val="26"/>
          <w:szCs w:val="26"/>
        </w:rPr>
        <w:t xml:space="preserve">people (19-29) years of graduates holding an intermediate diploma or higher reached </w:t>
      </w:r>
      <w:r w:rsidR="004C481C" w:rsidRPr="004655C0">
        <w:rPr>
          <w:rFonts w:asciiTheme="majorBidi" w:hAnsiTheme="majorBidi" w:cstheme="majorBidi"/>
          <w:sz w:val="26"/>
          <w:szCs w:val="26"/>
        </w:rPr>
        <w:t>48.3</w:t>
      </w:r>
      <w:r w:rsidR="00DE6DE2" w:rsidRPr="004655C0">
        <w:rPr>
          <w:rFonts w:asciiTheme="majorBidi" w:hAnsiTheme="majorBidi" w:cstheme="majorBidi"/>
          <w:sz w:val="26"/>
          <w:szCs w:val="26"/>
        </w:rPr>
        <w:t xml:space="preserve">% </w:t>
      </w:r>
      <w:r w:rsidR="00863340" w:rsidRPr="004655C0">
        <w:rPr>
          <w:rFonts w:asciiTheme="majorBidi" w:hAnsiTheme="majorBidi" w:cstheme="majorBidi"/>
          <w:sz w:val="26"/>
          <w:szCs w:val="26"/>
        </w:rPr>
        <w:t xml:space="preserve">representing </w:t>
      </w:r>
      <w:r w:rsidR="00F84112" w:rsidRPr="004655C0">
        <w:rPr>
          <w:rFonts w:asciiTheme="majorBidi" w:hAnsiTheme="majorBidi" w:cstheme="majorBidi"/>
          <w:sz w:val="26"/>
          <w:szCs w:val="26"/>
        </w:rPr>
        <w:t>(</w:t>
      </w:r>
      <w:r w:rsidR="00C41DF8" w:rsidRPr="004655C0">
        <w:rPr>
          <w:rFonts w:asciiTheme="majorBidi" w:hAnsiTheme="majorBidi" w:cstheme="majorBidi"/>
          <w:sz w:val="26"/>
          <w:szCs w:val="26"/>
        </w:rPr>
        <w:t>25.6</w:t>
      </w:r>
      <w:r w:rsidR="000E782E" w:rsidRPr="004655C0">
        <w:rPr>
          <w:rFonts w:asciiTheme="majorBidi" w:hAnsiTheme="majorBidi" w:cstheme="majorBidi"/>
          <w:sz w:val="26"/>
          <w:szCs w:val="26"/>
        </w:rPr>
        <w:t xml:space="preserve">% of total </w:t>
      </w:r>
      <w:r w:rsidR="00EC6D9B" w:rsidRPr="004655C0">
        <w:rPr>
          <w:rFonts w:asciiTheme="majorBidi" w:hAnsiTheme="majorBidi" w:cstheme="majorBidi"/>
          <w:sz w:val="26"/>
          <w:szCs w:val="26"/>
        </w:rPr>
        <w:t>un</w:t>
      </w:r>
      <w:r w:rsidR="000E782E" w:rsidRPr="004655C0">
        <w:rPr>
          <w:rFonts w:asciiTheme="majorBidi" w:hAnsiTheme="majorBidi" w:cstheme="majorBidi"/>
          <w:sz w:val="26"/>
          <w:szCs w:val="26"/>
        </w:rPr>
        <w:t>employed</w:t>
      </w:r>
      <w:r w:rsidR="00F84112" w:rsidRPr="004655C0">
        <w:rPr>
          <w:rFonts w:asciiTheme="majorBidi" w:hAnsiTheme="majorBidi" w:cstheme="majorBidi"/>
          <w:sz w:val="26"/>
          <w:szCs w:val="26"/>
        </w:rPr>
        <w:t>)</w:t>
      </w:r>
      <w:r w:rsidR="00863340" w:rsidRPr="004655C0">
        <w:rPr>
          <w:rFonts w:asciiTheme="majorBidi" w:hAnsiTheme="majorBidi" w:cstheme="majorBidi"/>
          <w:sz w:val="26"/>
          <w:szCs w:val="26"/>
        </w:rPr>
        <w:t>;</w:t>
      </w:r>
      <w:r w:rsidR="00DE6DE2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4C481C" w:rsidRPr="004655C0">
        <w:rPr>
          <w:rFonts w:asciiTheme="majorBidi" w:hAnsiTheme="majorBidi" w:cstheme="majorBidi"/>
          <w:sz w:val="26"/>
          <w:szCs w:val="26"/>
        </w:rPr>
        <w:t>61.3</w:t>
      </w:r>
      <w:r w:rsidR="00DE6DE2" w:rsidRPr="004655C0">
        <w:rPr>
          <w:rFonts w:asciiTheme="majorBidi" w:hAnsiTheme="majorBidi" w:cstheme="majorBidi"/>
          <w:sz w:val="26"/>
          <w:szCs w:val="26"/>
        </w:rPr>
        <w:t xml:space="preserve">% for females compared to </w:t>
      </w:r>
      <w:r w:rsidR="004C481C" w:rsidRPr="004655C0">
        <w:rPr>
          <w:rFonts w:asciiTheme="majorBidi" w:hAnsiTheme="majorBidi" w:cstheme="majorBidi"/>
          <w:sz w:val="26"/>
          <w:szCs w:val="26"/>
        </w:rPr>
        <w:t>34.3</w:t>
      </w:r>
      <w:r w:rsidR="00DE6DE2" w:rsidRPr="004655C0">
        <w:rPr>
          <w:rFonts w:asciiTheme="majorBidi" w:hAnsiTheme="majorBidi" w:cstheme="majorBidi"/>
          <w:sz w:val="26"/>
          <w:szCs w:val="26"/>
        </w:rPr>
        <w:t xml:space="preserve">% for males. At the regional level, the unemployment rate for </w:t>
      </w:r>
      <w:r w:rsidR="000E782E" w:rsidRPr="004655C0">
        <w:rPr>
          <w:rFonts w:asciiTheme="majorBidi" w:hAnsiTheme="majorBidi" w:cstheme="majorBidi"/>
          <w:sz w:val="26"/>
          <w:szCs w:val="26"/>
        </w:rPr>
        <w:t>youth</w:t>
      </w:r>
      <w:r w:rsidR="00DE6DE2" w:rsidRPr="004655C0">
        <w:rPr>
          <w:rFonts w:asciiTheme="majorBidi" w:hAnsiTheme="majorBidi" w:cstheme="majorBidi"/>
          <w:sz w:val="26"/>
          <w:szCs w:val="26"/>
        </w:rPr>
        <w:t xml:space="preserve"> graduates in the West Bank reached </w:t>
      </w:r>
      <w:r w:rsidR="004C481C" w:rsidRPr="004655C0">
        <w:rPr>
          <w:rFonts w:asciiTheme="majorBidi" w:hAnsiTheme="majorBidi" w:cstheme="majorBidi"/>
          <w:sz w:val="26"/>
          <w:szCs w:val="26"/>
        </w:rPr>
        <w:t>28.6</w:t>
      </w:r>
      <w:r w:rsidR="00DE6DE2" w:rsidRPr="004655C0">
        <w:rPr>
          <w:rFonts w:asciiTheme="majorBidi" w:hAnsiTheme="majorBidi" w:cstheme="majorBidi"/>
          <w:sz w:val="26"/>
          <w:szCs w:val="26"/>
        </w:rPr>
        <w:t xml:space="preserve"> % compared to </w:t>
      </w:r>
      <w:r w:rsidR="004C481C" w:rsidRPr="004655C0">
        <w:rPr>
          <w:rFonts w:asciiTheme="majorBidi" w:hAnsiTheme="majorBidi" w:cstheme="majorBidi"/>
          <w:sz w:val="26"/>
          <w:szCs w:val="26"/>
        </w:rPr>
        <w:t>73.9</w:t>
      </w:r>
      <w:r w:rsidR="00DE6DE2" w:rsidRPr="004655C0">
        <w:rPr>
          <w:rFonts w:asciiTheme="majorBidi" w:hAnsiTheme="majorBidi" w:cstheme="majorBidi"/>
          <w:sz w:val="26"/>
          <w:szCs w:val="26"/>
        </w:rPr>
        <w:t>% in Gaza Strip.</w:t>
      </w:r>
    </w:p>
    <w:p w:rsidR="00D344A6" w:rsidRPr="004655C0" w:rsidRDefault="00D344A6" w:rsidP="0067794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1E59DE" w:rsidRPr="004655C0" w:rsidRDefault="001E59DE" w:rsidP="004655C0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A large gap in </w:t>
      </w:r>
      <w:r w:rsidR="00B80FE3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proofErr w:type="spellStart"/>
      <w:r w:rsidR="00B80FE3" w:rsidRPr="004655C0">
        <w:rPr>
          <w:rFonts w:asciiTheme="majorBidi" w:hAnsiTheme="majorBidi" w:cstheme="majorBidi"/>
          <w:b/>
          <w:bCs/>
          <w:sz w:val="26"/>
          <w:szCs w:val="26"/>
        </w:rPr>
        <w:t>labour</w:t>
      </w:r>
      <w:proofErr w:type="spellEnd"/>
      <w:r w:rsidR="00B80FE3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force participation rate</w:t>
      </w:r>
      <w:r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between males and females</w:t>
      </w:r>
    </w:p>
    <w:p w:rsidR="00DE6DE2" w:rsidRPr="004655C0" w:rsidRDefault="00747C32" w:rsidP="001D35AE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 xml:space="preserve">About </w:t>
      </w:r>
      <w:r w:rsidR="001E59DE" w:rsidRPr="004655C0">
        <w:rPr>
          <w:rFonts w:asciiTheme="majorBidi" w:hAnsiTheme="majorBidi" w:cstheme="majorBidi"/>
          <w:sz w:val="26"/>
          <w:szCs w:val="26"/>
          <w:rtl/>
        </w:rPr>
        <w:t>7</w:t>
      </w:r>
      <w:r w:rsidR="00B80FE3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out of 10 </w:t>
      </w:r>
      <w:r w:rsidR="00C94760" w:rsidRPr="004655C0">
        <w:rPr>
          <w:rFonts w:asciiTheme="majorBidi" w:hAnsiTheme="majorBidi" w:cstheme="majorBidi"/>
          <w:sz w:val="26"/>
          <w:szCs w:val="26"/>
        </w:rPr>
        <w:t xml:space="preserve">of 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males </w:t>
      </w:r>
      <w:r w:rsidR="00B80FE3" w:rsidRPr="004655C0">
        <w:rPr>
          <w:rFonts w:asciiTheme="majorBidi" w:hAnsiTheme="majorBidi" w:cstheme="majorBidi"/>
          <w:sz w:val="26"/>
          <w:szCs w:val="26"/>
        </w:rPr>
        <w:t>participated in the labor force, compared</w:t>
      </w:r>
      <w:r w:rsidR="00C94760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951F24" w:rsidRPr="004655C0">
        <w:rPr>
          <w:rFonts w:asciiTheme="majorBidi" w:hAnsiTheme="majorBidi" w:cstheme="majorBidi"/>
          <w:sz w:val="26"/>
          <w:szCs w:val="26"/>
        </w:rPr>
        <w:t>with</w:t>
      </w:r>
      <w:r w:rsidRPr="004655C0">
        <w:rPr>
          <w:rFonts w:asciiTheme="majorBidi" w:hAnsiTheme="majorBidi" w:cstheme="majorBidi"/>
          <w:sz w:val="26"/>
          <w:szCs w:val="26"/>
        </w:rPr>
        <w:t xml:space="preserve"> about</w:t>
      </w:r>
      <w:r w:rsidR="00951F24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2 </w:t>
      </w:r>
      <w:r w:rsidR="00630464" w:rsidRPr="004655C0">
        <w:rPr>
          <w:rFonts w:asciiTheme="majorBidi" w:hAnsiTheme="majorBidi" w:cstheme="majorBidi"/>
          <w:sz w:val="26"/>
          <w:szCs w:val="26"/>
        </w:rPr>
        <w:t xml:space="preserve">out of 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10 </w:t>
      </w:r>
      <w:r w:rsidR="00951F24" w:rsidRPr="004655C0">
        <w:rPr>
          <w:rFonts w:asciiTheme="majorBidi" w:hAnsiTheme="majorBidi" w:cstheme="majorBidi"/>
          <w:sz w:val="26"/>
          <w:szCs w:val="26"/>
        </w:rPr>
        <w:t xml:space="preserve">of </w:t>
      </w:r>
      <w:r w:rsidR="001E59DE" w:rsidRPr="004655C0">
        <w:rPr>
          <w:rFonts w:asciiTheme="majorBidi" w:hAnsiTheme="majorBidi" w:cstheme="majorBidi"/>
          <w:sz w:val="26"/>
          <w:szCs w:val="26"/>
        </w:rPr>
        <w:t>females</w:t>
      </w:r>
      <w:r w:rsidR="00DE6DE2" w:rsidRPr="004655C0">
        <w:rPr>
          <w:rFonts w:asciiTheme="majorBidi" w:hAnsiTheme="majorBidi" w:cstheme="majorBidi"/>
          <w:sz w:val="26"/>
          <w:szCs w:val="26"/>
        </w:rPr>
        <w:t xml:space="preserve">, and the rate of female participation in the labor force was </w:t>
      </w:r>
      <w:r w:rsidR="001D35AE" w:rsidRPr="004655C0">
        <w:rPr>
          <w:rFonts w:asciiTheme="majorBidi" w:hAnsiTheme="majorBidi" w:cstheme="majorBidi"/>
          <w:sz w:val="26"/>
          <w:szCs w:val="26"/>
        </w:rPr>
        <w:t>18.6</w:t>
      </w:r>
      <w:r w:rsidR="00DE6DE2" w:rsidRPr="004655C0">
        <w:rPr>
          <w:rFonts w:asciiTheme="majorBidi" w:hAnsiTheme="majorBidi" w:cstheme="majorBidi"/>
          <w:sz w:val="26"/>
          <w:szCs w:val="26"/>
        </w:rPr>
        <w:t xml:space="preserve">% compared to </w:t>
      </w:r>
      <w:r w:rsidR="001D35AE" w:rsidRPr="004655C0">
        <w:rPr>
          <w:rFonts w:asciiTheme="majorBidi" w:hAnsiTheme="majorBidi" w:cstheme="majorBidi"/>
          <w:sz w:val="26"/>
          <w:szCs w:val="26"/>
        </w:rPr>
        <w:t>70.7</w:t>
      </w:r>
      <w:r w:rsidR="00DE6DE2" w:rsidRPr="004655C0">
        <w:rPr>
          <w:rFonts w:asciiTheme="majorBidi" w:hAnsiTheme="majorBidi" w:cstheme="majorBidi"/>
          <w:sz w:val="26"/>
          <w:szCs w:val="26"/>
        </w:rPr>
        <w:t>% for males.</w:t>
      </w:r>
    </w:p>
    <w:p w:rsidR="004655C0" w:rsidRDefault="004655C0" w:rsidP="004655C0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51504B" w:rsidRPr="004655C0" w:rsidRDefault="0051504B" w:rsidP="004655C0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655C0">
        <w:rPr>
          <w:rFonts w:asciiTheme="majorBidi" w:hAnsiTheme="majorBidi" w:cstheme="majorBidi"/>
          <w:sz w:val="26"/>
          <w:szCs w:val="26"/>
          <w:lang w:val="en-GB"/>
        </w:rPr>
        <w:t xml:space="preserve">There is still </w:t>
      </w:r>
      <w:proofErr w:type="gramStart"/>
      <w:r w:rsidR="00A95333" w:rsidRPr="004655C0">
        <w:rPr>
          <w:rFonts w:asciiTheme="majorBidi" w:hAnsiTheme="majorBidi" w:cstheme="majorBidi"/>
          <w:sz w:val="26"/>
          <w:szCs w:val="26"/>
          <w:lang w:val="en-GB"/>
        </w:rPr>
        <w:t>a  wide</w:t>
      </w:r>
      <w:proofErr w:type="gramEnd"/>
      <w:r w:rsidR="00A95333" w:rsidRPr="004655C0">
        <w:rPr>
          <w:rFonts w:asciiTheme="majorBidi" w:hAnsiTheme="majorBidi" w:cstheme="majorBidi"/>
          <w:sz w:val="26"/>
          <w:szCs w:val="26"/>
          <w:lang w:val="en-GB"/>
        </w:rPr>
        <w:t xml:space="preserve"> gap </w:t>
      </w:r>
      <w:r w:rsidRPr="004655C0">
        <w:rPr>
          <w:rFonts w:asciiTheme="majorBidi" w:hAnsiTheme="majorBidi" w:cstheme="majorBidi"/>
          <w:sz w:val="26"/>
          <w:szCs w:val="26"/>
          <w:lang w:val="en-GB"/>
        </w:rPr>
        <w:t xml:space="preserve">in the labour force participation rate between the West Bank and Gaza Strip, as this rate reached </w:t>
      </w:r>
      <w:r w:rsidR="001D35AE" w:rsidRPr="004655C0">
        <w:rPr>
          <w:rFonts w:asciiTheme="majorBidi" w:hAnsiTheme="majorBidi" w:cstheme="majorBidi"/>
          <w:sz w:val="26"/>
          <w:szCs w:val="26"/>
          <w:lang w:val="en-GB"/>
        </w:rPr>
        <w:t>41.</w:t>
      </w:r>
      <w:r w:rsidR="00664EDA" w:rsidRPr="004655C0">
        <w:rPr>
          <w:rFonts w:asciiTheme="majorBidi" w:hAnsiTheme="majorBidi" w:cstheme="majorBidi"/>
          <w:sz w:val="26"/>
          <w:szCs w:val="26"/>
          <w:lang w:val="en-GB"/>
        </w:rPr>
        <w:t>0</w:t>
      </w:r>
      <w:r w:rsidRPr="004655C0">
        <w:rPr>
          <w:rFonts w:asciiTheme="majorBidi" w:hAnsiTheme="majorBidi" w:cstheme="majorBidi"/>
          <w:sz w:val="26"/>
          <w:szCs w:val="26"/>
          <w:lang w:val="en-GB"/>
        </w:rPr>
        <w:t xml:space="preserve">% in Gaza Strip compared to </w:t>
      </w:r>
      <w:r w:rsidR="001D35AE" w:rsidRPr="004655C0">
        <w:rPr>
          <w:rFonts w:asciiTheme="majorBidi" w:hAnsiTheme="majorBidi" w:cstheme="majorBidi"/>
          <w:sz w:val="26"/>
          <w:szCs w:val="26"/>
          <w:lang w:val="en-GB"/>
        </w:rPr>
        <w:t>47.5</w:t>
      </w:r>
      <w:r w:rsidRPr="004655C0">
        <w:rPr>
          <w:rFonts w:asciiTheme="majorBidi" w:hAnsiTheme="majorBidi" w:cstheme="majorBidi"/>
          <w:sz w:val="26"/>
          <w:szCs w:val="26"/>
          <w:lang w:val="en-GB"/>
        </w:rPr>
        <w:t xml:space="preserve">% in the West Bank. </w:t>
      </w:r>
    </w:p>
    <w:p w:rsidR="0051504B" w:rsidRPr="004655C0" w:rsidRDefault="0051504B" w:rsidP="0051504B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F5291D" w:rsidRPr="004655C0" w:rsidRDefault="00F5291D" w:rsidP="001D35AE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 xml:space="preserve">The number of entrants into the </w:t>
      </w:r>
      <w:proofErr w:type="spellStart"/>
      <w:r w:rsidRPr="004655C0">
        <w:rPr>
          <w:rFonts w:asciiTheme="majorBidi" w:hAnsiTheme="majorBidi" w:cstheme="majorBidi"/>
          <w:sz w:val="26"/>
          <w:szCs w:val="26"/>
        </w:rPr>
        <w:t>labo</w:t>
      </w:r>
      <w:r w:rsidR="00E12465" w:rsidRPr="004655C0">
        <w:rPr>
          <w:rFonts w:asciiTheme="majorBidi" w:hAnsiTheme="majorBidi" w:cstheme="majorBidi"/>
          <w:sz w:val="26"/>
          <w:szCs w:val="26"/>
        </w:rPr>
        <w:t>u</w:t>
      </w:r>
      <w:r w:rsidRPr="004655C0">
        <w:rPr>
          <w:rFonts w:asciiTheme="majorBidi" w:hAnsiTheme="majorBidi" w:cstheme="majorBidi"/>
          <w:sz w:val="26"/>
          <w:szCs w:val="26"/>
        </w:rPr>
        <w:t>r</w:t>
      </w:r>
      <w:proofErr w:type="spellEnd"/>
      <w:r w:rsidRPr="004655C0">
        <w:rPr>
          <w:rFonts w:asciiTheme="majorBidi" w:hAnsiTheme="majorBidi" w:cstheme="majorBidi"/>
          <w:sz w:val="26"/>
          <w:szCs w:val="26"/>
        </w:rPr>
        <w:t xml:space="preserve"> market in </w:t>
      </w:r>
      <w:r w:rsidR="00996A56" w:rsidRPr="004655C0">
        <w:rPr>
          <w:rFonts w:asciiTheme="majorBidi" w:hAnsiTheme="majorBidi" w:cstheme="majorBidi"/>
          <w:sz w:val="26"/>
          <w:szCs w:val="26"/>
        </w:rPr>
        <w:t>202</w:t>
      </w:r>
      <w:r w:rsidR="001D35AE" w:rsidRPr="004655C0">
        <w:rPr>
          <w:rFonts w:asciiTheme="majorBidi" w:hAnsiTheme="majorBidi" w:cstheme="majorBidi"/>
          <w:sz w:val="26"/>
          <w:szCs w:val="26"/>
        </w:rPr>
        <w:t>2</w:t>
      </w:r>
      <w:r w:rsidRPr="004655C0">
        <w:rPr>
          <w:rFonts w:asciiTheme="majorBidi" w:hAnsiTheme="majorBidi" w:cstheme="majorBidi"/>
          <w:sz w:val="26"/>
          <w:szCs w:val="26"/>
        </w:rPr>
        <w:t xml:space="preserve"> was about </w:t>
      </w:r>
      <w:r w:rsidR="001D35AE" w:rsidRPr="004655C0">
        <w:rPr>
          <w:rFonts w:asciiTheme="majorBidi" w:hAnsiTheme="majorBidi" w:cstheme="majorBidi"/>
          <w:sz w:val="26"/>
          <w:szCs w:val="26"/>
        </w:rPr>
        <w:t>95</w:t>
      </w:r>
      <w:r w:rsidRPr="004655C0">
        <w:rPr>
          <w:rFonts w:asciiTheme="majorBidi" w:hAnsiTheme="majorBidi" w:cstheme="majorBidi"/>
          <w:sz w:val="26"/>
          <w:szCs w:val="26"/>
        </w:rPr>
        <w:t xml:space="preserve"> thousand </w:t>
      </w:r>
      <w:r w:rsidR="00EF54AD" w:rsidRPr="004655C0">
        <w:rPr>
          <w:rFonts w:asciiTheme="majorBidi" w:hAnsiTheme="majorBidi" w:cstheme="majorBidi"/>
          <w:sz w:val="26"/>
          <w:szCs w:val="26"/>
        </w:rPr>
        <w:t>(</w:t>
      </w:r>
      <w:r w:rsidR="001D35AE" w:rsidRPr="004655C0">
        <w:rPr>
          <w:rFonts w:asciiTheme="majorBidi" w:hAnsiTheme="majorBidi" w:cstheme="majorBidi"/>
          <w:sz w:val="26"/>
          <w:szCs w:val="26"/>
        </w:rPr>
        <w:t>37</w:t>
      </w:r>
      <w:r w:rsidRPr="004655C0">
        <w:rPr>
          <w:rFonts w:asciiTheme="majorBidi" w:hAnsiTheme="majorBidi" w:cstheme="majorBidi"/>
          <w:sz w:val="26"/>
          <w:szCs w:val="26"/>
        </w:rPr>
        <w:t xml:space="preserve"> thousand </w:t>
      </w:r>
      <w:r w:rsidR="00D344A6" w:rsidRPr="004655C0">
        <w:rPr>
          <w:rFonts w:asciiTheme="majorBidi" w:hAnsiTheme="majorBidi" w:cstheme="majorBidi"/>
          <w:sz w:val="26"/>
          <w:szCs w:val="26"/>
        </w:rPr>
        <w:t>individuals</w:t>
      </w:r>
      <w:r w:rsidRPr="004655C0">
        <w:rPr>
          <w:rFonts w:asciiTheme="majorBidi" w:hAnsiTheme="majorBidi" w:cstheme="majorBidi"/>
          <w:sz w:val="26"/>
          <w:szCs w:val="26"/>
        </w:rPr>
        <w:t xml:space="preserve"> in the West Bank and </w:t>
      </w:r>
      <w:r w:rsidR="001D35AE" w:rsidRPr="004655C0">
        <w:rPr>
          <w:rFonts w:asciiTheme="majorBidi" w:hAnsiTheme="majorBidi" w:cstheme="majorBidi"/>
          <w:sz w:val="26"/>
          <w:szCs w:val="26"/>
        </w:rPr>
        <w:t>58</w:t>
      </w:r>
      <w:r w:rsidRPr="004655C0">
        <w:rPr>
          <w:rFonts w:asciiTheme="majorBidi" w:hAnsiTheme="majorBidi" w:cstheme="majorBidi"/>
          <w:sz w:val="26"/>
          <w:szCs w:val="26"/>
        </w:rPr>
        <w:t xml:space="preserve"> thousand </w:t>
      </w:r>
      <w:r w:rsidR="00D344A6" w:rsidRPr="004655C0">
        <w:rPr>
          <w:rFonts w:asciiTheme="majorBidi" w:hAnsiTheme="majorBidi" w:cstheme="majorBidi"/>
          <w:sz w:val="26"/>
          <w:szCs w:val="26"/>
        </w:rPr>
        <w:t xml:space="preserve">individuals </w:t>
      </w:r>
      <w:r w:rsidRPr="004655C0">
        <w:rPr>
          <w:rFonts w:asciiTheme="majorBidi" w:hAnsiTheme="majorBidi" w:cstheme="majorBidi"/>
          <w:sz w:val="26"/>
          <w:szCs w:val="26"/>
        </w:rPr>
        <w:t>in Gaza Strip</w:t>
      </w:r>
      <w:r w:rsidR="00EF54AD" w:rsidRPr="004655C0">
        <w:rPr>
          <w:rFonts w:asciiTheme="majorBidi" w:hAnsiTheme="majorBidi" w:cstheme="majorBidi"/>
          <w:sz w:val="26"/>
          <w:szCs w:val="26"/>
        </w:rPr>
        <w:t>).</w:t>
      </w:r>
    </w:p>
    <w:p w:rsidR="001B4EE6" w:rsidRDefault="001B4EE6" w:rsidP="004655C0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247BC9" w:rsidRPr="004655C0" w:rsidRDefault="00677DC4" w:rsidP="001B4EE6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655C0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The number of </w:t>
      </w:r>
      <w:r w:rsidR="00651972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Pr="004655C0">
        <w:rPr>
          <w:rFonts w:asciiTheme="majorBidi" w:hAnsiTheme="majorBidi" w:cstheme="majorBidi"/>
          <w:b/>
          <w:bCs/>
          <w:sz w:val="26"/>
          <w:szCs w:val="26"/>
        </w:rPr>
        <w:t>employ</w:t>
      </w:r>
      <w:r w:rsidR="00907B5D" w:rsidRPr="004655C0">
        <w:rPr>
          <w:rFonts w:asciiTheme="majorBidi" w:hAnsiTheme="majorBidi" w:cstheme="majorBidi"/>
          <w:b/>
          <w:bCs/>
          <w:sz w:val="26"/>
          <w:szCs w:val="26"/>
        </w:rPr>
        <w:t>ed</w:t>
      </w:r>
      <w:r w:rsidR="004D28FA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in the local market increased </w:t>
      </w:r>
      <w:r w:rsidR="001E59DE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between </w:t>
      </w:r>
      <w:r w:rsidR="00DE6DE2" w:rsidRPr="004655C0">
        <w:rPr>
          <w:rFonts w:asciiTheme="majorBidi" w:hAnsiTheme="majorBidi" w:cstheme="majorBidi"/>
          <w:b/>
          <w:bCs/>
          <w:sz w:val="26"/>
          <w:szCs w:val="26"/>
        </w:rPr>
        <w:t>202</w:t>
      </w:r>
      <w:r w:rsidR="00E806CE" w:rsidRPr="004655C0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1E59DE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r w:rsidR="00DE6DE2" w:rsidRPr="004655C0">
        <w:rPr>
          <w:rFonts w:asciiTheme="majorBidi" w:hAnsiTheme="majorBidi" w:cstheme="majorBidi"/>
          <w:b/>
          <w:bCs/>
          <w:sz w:val="26"/>
          <w:szCs w:val="26"/>
        </w:rPr>
        <w:t>202</w:t>
      </w:r>
      <w:r w:rsidR="00E806CE" w:rsidRPr="004655C0">
        <w:rPr>
          <w:rFonts w:asciiTheme="majorBidi" w:hAnsiTheme="majorBidi" w:cstheme="majorBidi"/>
          <w:b/>
          <w:bCs/>
          <w:sz w:val="26"/>
          <w:szCs w:val="26"/>
        </w:rPr>
        <w:t>2</w:t>
      </w:r>
    </w:p>
    <w:p w:rsidR="001E59DE" w:rsidRPr="004655C0" w:rsidRDefault="00B56811" w:rsidP="00664ED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The number of the employ</w:t>
      </w:r>
      <w:r w:rsidR="00907B5D" w:rsidRPr="004655C0">
        <w:rPr>
          <w:rFonts w:asciiTheme="majorBidi" w:hAnsiTheme="majorBidi" w:cstheme="majorBidi"/>
          <w:sz w:val="26"/>
          <w:szCs w:val="26"/>
        </w:rPr>
        <w:t>ed</w:t>
      </w:r>
      <w:r w:rsidRPr="004655C0">
        <w:rPr>
          <w:rFonts w:asciiTheme="majorBidi" w:hAnsiTheme="majorBidi" w:cstheme="majorBidi"/>
          <w:sz w:val="26"/>
          <w:szCs w:val="26"/>
        </w:rPr>
        <w:t xml:space="preserve"> in the local market increased from </w:t>
      </w:r>
      <w:r w:rsidR="00996A56" w:rsidRPr="004655C0">
        <w:rPr>
          <w:rFonts w:asciiTheme="majorBidi" w:hAnsiTheme="majorBidi" w:cstheme="majorBidi"/>
          <w:sz w:val="26"/>
          <w:szCs w:val="26"/>
        </w:rPr>
        <w:t>8</w:t>
      </w:r>
      <w:r w:rsidR="00E806CE" w:rsidRPr="004655C0">
        <w:rPr>
          <w:rFonts w:asciiTheme="majorBidi" w:hAnsiTheme="majorBidi" w:cstheme="majorBidi"/>
          <w:sz w:val="26"/>
          <w:szCs w:val="26"/>
        </w:rPr>
        <w:t>89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 thousand in </w:t>
      </w:r>
      <w:r w:rsidR="00996A56" w:rsidRPr="004655C0">
        <w:rPr>
          <w:rFonts w:asciiTheme="majorBidi" w:hAnsiTheme="majorBidi" w:cstheme="majorBidi"/>
          <w:sz w:val="26"/>
          <w:szCs w:val="26"/>
        </w:rPr>
        <w:t>202</w:t>
      </w:r>
      <w:r w:rsidR="00E806CE" w:rsidRPr="004655C0">
        <w:rPr>
          <w:rFonts w:asciiTheme="majorBidi" w:hAnsiTheme="majorBidi" w:cstheme="majorBidi"/>
          <w:sz w:val="26"/>
          <w:szCs w:val="26"/>
        </w:rPr>
        <w:t xml:space="preserve">1 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to </w:t>
      </w:r>
      <w:r w:rsidR="00E806CE" w:rsidRPr="004655C0">
        <w:rPr>
          <w:rFonts w:asciiTheme="majorBidi" w:hAnsiTheme="majorBidi" w:cstheme="majorBidi"/>
          <w:sz w:val="26"/>
          <w:szCs w:val="26"/>
        </w:rPr>
        <w:t>940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 thousand in </w:t>
      </w:r>
      <w:r w:rsidR="00996A56" w:rsidRPr="004655C0">
        <w:rPr>
          <w:rFonts w:asciiTheme="majorBidi" w:hAnsiTheme="majorBidi" w:cstheme="majorBidi"/>
          <w:sz w:val="26"/>
          <w:szCs w:val="26"/>
        </w:rPr>
        <w:t>202</w:t>
      </w:r>
      <w:r w:rsidR="00E806CE" w:rsidRPr="004655C0">
        <w:rPr>
          <w:rFonts w:asciiTheme="majorBidi" w:hAnsiTheme="majorBidi" w:cstheme="majorBidi"/>
          <w:sz w:val="26"/>
          <w:szCs w:val="26"/>
        </w:rPr>
        <w:t>2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, </w:t>
      </w:r>
      <w:r w:rsidR="00EF54AD" w:rsidRPr="004655C0">
        <w:rPr>
          <w:rFonts w:asciiTheme="majorBidi" w:hAnsiTheme="majorBidi" w:cstheme="majorBidi"/>
          <w:sz w:val="26"/>
          <w:szCs w:val="26"/>
        </w:rPr>
        <w:t xml:space="preserve">where </w:t>
      </w:r>
      <w:r w:rsidRPr="004655C0">
        <w:rPr>
          <w:rFonts w:asciiTheme="majorBidi" w:hAnsiTheme="majorBidi" w:cstheme="majorBidi"/>
          <w:sz w:val="26"/>
          <w:szCs w:val="26"/>
        </w:rPr>
        <w:t>it</w:t>
      </w:r>
      <w:r w:rsidR="004D28FA" w:rsidRPr="004655C0">
        <w:rPr>
          <w:rFonts w:asciiTheme="majorBidi" w:hAnsiTheme="majorBidi" w:cstheme="majorBidi"/>
          <w:sz w:val="26"/>
          <w:szCs w:val="26"/>
        </w:rPr>
        <w:t xml:space="preserve"> increase</w:t>
      </w:r>
      <w:r w:rsidRPr="004655C0">
        <w:rPr>
          <w:rFonts w:asciiTheme="majorBidi" w:hAnsiTheme="majorBidi" w:cstheme="majorBidi"/>
          <w:sz w:val="26"/>
          <w:szCs w:val="26"/>
        </w:rPr>
        <w:t>d</w:t>
      </w:r>
      <w:r w:rsidR="004D28FA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D67F68" w:rsidRPr="004655C0">
        <w:rPr>
          <w:rFonts w:asciiTheme="majorBidi" w:hAnsiTheme="majorBidi" w:cstheme="majorBidi"/>
          <w:sz w:val="26"/>
          <w:szCs w:val="26"/>
        </w:rPr>
        <w:t>in the West Bank by</w:t>
      </w:r>
      <w:r w:rsidR="004D28FA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E806CE" w:rsidRPr="004655C0">
        <w:rPr>
          <w:rFonts w:asciiTheme="majorBidi" w:hAnsiTheme="majorBidi" w:cstheme="majorBidi"/>
          <w:sz w:val="26"/>
          <w:szCs w:val="26"/>
        </w:rPr>
        <w:t>4.</w:t>
      </w:r>
      <w:r w:rsidR="00664EDA" w:rsidRPr="004655C0">
        <w:rPr>
          <w:rFonts w:asciiTheme="majorBidi" w:hAnsiTheme="majorBidi" w:cstheme="majorBidi"/>
          <w:sz w:val="26"/>
          <w:szCs w:val="26"/>
        </w:rPr>
        <w:t>0</w:t>
      </w:r>
      <w:r w:rsidR="004D28FA" w:rsidRPr="004655C0">
        <w:rPr>
          <w:rFonts w:asciiTheme="majorBidi" w:hAnsiTheme="majorBidi" w:cstheme="majorBidi"/>
          <w:sz w:val="26"/>
          <w:szCs w:val="26"/>
        </w:rPr>
        <w:t>%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, </w:t>
      </w:r>
      <w:r w:rsidR="00F578F0" w:rsidRPr="004655C0">
        <w:rPr>
          <w:rFonts w:asciiTheme="majorBidi" w:hAnsiTheme="majorBidi" w:cstheme="majorBidi"/>
          <w:sz w:val="26"/>
          <w:szCs w:val="26"/>
        </w:rPr>
        <w:t>and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 in Gaza Strip</w:t>
      </w:r>
      <w:r w:rsidR="004D28FA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EF54AD" w:rsidRPr="004655C0">
        <w:rPr>
          <w:rFonts w:asciiTheme="majorBidi" w:hAnsiTheme="majorBidi" w:cstheme="majorBidi"/>
          <w:sz w:val="26"/>
          <w:szCs w:val="26"/>
        </w:rPr>
        <w:t xml:space="preserve">it </w:t>
      </w:r>
      <w:r w:rsidR="00F578F0" w:rsidRPr="004655C0">
        <w:rPr>
          <w:rFonts w:asciiTheme="majorBidi" w:hAnsiTheme="majorBidi" w:cstheme="majorBidi"/>
          <w:sz w:val="26"/>
          <w:szCs w:val="26"/>
        </w:rPr>
        <w:t>in</w:t>
      </w:r>
      <w:r w:rsidR="00C94760" w:rsidRPr="004655C0">
        <w:rPr>
          <w:rFonts w:asciiTheme="majorBidi" w:hAnsiTheme="majorBidi" w:cstheme="majorBidi"/>
          <w:sz w:val="26"/>
          <w:szCs w:val="26"/>
        </w:rPr>
        <w:t xml:space="preserve">creased 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by </w:t>
      </w:r>
      <w:r w:rsidR="00E806CE" w:rsidRPr="004655C0">
        <w:rPr>
          <w:rFonts w:asciiTheme="majorBidi" w:hAnsiTheme="majorBidi" w:cstheme="majorBidi"/>
          <w:sz w:val="26"/>
          <w:szCs w:val="26"/>
        </w:rPr>
        <w:t>9.</w:t>
      </w:r>
      <w:r w:rsidR="00664EDA" w:rsidRPr="004655C0">
        <w:rPr>
          <w:rFonts w:asciiTheme="majorBidi" w:hAnsiTheme="majorBidi" w:cstheme="majorBidi"/>
          <w:sz w:val="26"/>
          <w:szCs w:val="26"/>
        </w:rPr>
        <w:t>9</w:t>
      </w:r>
      <w:r w:rsidR="001E59DE" w:rsidRPr="004655C0">
        <w:rPr>
          <w:rFonts w:asciiTheme="majorBidi" w:hAnsiTheme="majorBidi" w:cstheme="majorBidi"/>
          <w:sz w:val="26"/>
          <w:szCs w:val="26"/>
        </w:rPr>
        <w:t>% for the same period</w:t>
      </w:r>
      <w:r w:rsidR="001E59DE" w:rsidRPr="004655C0">
        <w:rPr>
          <w:rFonts w:asciiTheme="majorBidi" w:hAnsiTheme="majorBidi" w:cstheme="majorBidi"/>
          <w:sz w:val="26"/>
          <w:szCs w:val="26"/>
          <w:rtl/>
        </w:rPr>
        <w:t>.</w:t>
      </w:r>
    </w:p>
    <w:p w:rsidR="001E59DE" w:rsidRPr="004655C0" w:rsidRDefault="001E59DE" w:rsidP="0067794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1E59DE" w:rsidRPr="004655C0" w:rsidRDefault="00F87773" w:rsidP="00EF54AD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The services sector and other branches</w:t>
      </w:r>
      <w:r w:rsidR="00907B5D" w:rsidRPr="004655C0">
        <w:rPr>
          <w:rFonts w:asciiTheme="majorBidi" w:hAnsiTheme="majorBidi" w:cstheme="majorBidi"/>
          <w:sz w:val="26"/>
          <w:szCs w:val="26"/>
        </w:rPr>
        <w:t xml:space="preserve"> (including education and health) </w:t>
      </w:r>
      <w:r w:rsidR="00EF54AD" w:rsidRPr="004655C0">
        <w:rPr>
          <w:rFonts w:asciiTheme="majorBidi" w:hAnsiTheme="majorBidi" w:cstheme="majorBidi"/>
          <w:sz w:val="26"/>
          <w:szCs w:val="26"/>
        </w:rPr>
        <w:t xml:space="preserve">were </w:t>
      </w:r>
      <w:r w:rsidRPr="004655C0">
        <w:rPr>
          <w:rFonts w:asciiTheme="majorBidi" w:hAnsiTheme="majorBidi" w:cstheme="majorBidi"/>
          <w:sz w:val="26"/>
          <w:szCs w:val="26"/>
        </w:rPr>
        <w:t>the biggest employer in the local market</w:t>
      </w:r>
      <w:r w:rsidR="001E59DE" w:rsidRPr="004655C0">
        <w:rPr>
          <w:rFonts w:asciiTheme="majorBidi" w:hAnsiTheme="majorBidi" w:cstheme="majorBidi"/>
          <w:sz w:val="26"/>
          <w:szCs w:val="26"/>
        </w:rPr>
        <w:t>, w</w:t>
      </w:r>
      <w:r w:rsidRPr="004655C0">
        <w:rPr>
          <w:rFonts w:asciiTheme="majorBidi" w:hAnsiTheme="majorBidi" w:cstheme="majorBidi"/>
          <w:sz w:val="26"/>
          <w:szCs w:val="26"/>
        </w:rPr>
        <w:t>here the percentage of employment</w:t>
      </w:r>
      <w:r w:rsidR="004D28FA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Pr="004655C0">
        <w:rPr>
          <w:rFonts w:asciiTheme="majorBidi" w:hAnsiTheme="majorBidi" w:cstheme="majorBidi"/>
          <w:sz w:val="26"/>
          <w:szCs w:val="26"/>
        </w:rPr>
        <w:t>was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 more than one third of </w:t>
      </w:r>
      <w:r w:rsidR="00EF54AD" w:rsidRPr="004655C0">
        <w:rPr>
          <w:rFonts w:asciiTheme="majorBidi" w:hAnsiTheme="majorBidi" w:cstheme="majorBidi"/>
          <w:sz w:val="26"/>
          <w:szCs w:val="26"/>
        </w:rPr>
        <w:t xml:space="preserve">the </w:t>
      </w:r>
      <w:r w:rsidRPr="004655C0">
        <w:rPr>
          <w:rFonts w:asciiTheme="majorBidi" w:hAnsiTheme="majorBidi" w:cstheme="majorBidi"/>
          <w:sz w:val="26"/>
          <w:szCs w:val="26"/>
        </w:rPr>
        <w:t>employed</w:t>
      </w:r>
      <w:r w:rsidR="001E59DE" w:rsidRPr="004655C0">
        <w:rPr>
          <w:rFonts w:asciiTheme="majorBidi" w:hAnsiTheme="majorBidi" w:cstheme="majorBidi"/>
          <w:sz w:val="26"/>
          <w:szCs w:val="26"/>
        </w:rPr>
        <w:t xml:space="preserve"> in the West Bank compared with more than half in Gaza Strip</w:t>
      </w:r>
      <w:r w:rsidR="001E59DE" w:rsidRPr="004655C0">
        <w:rPr>
          <w:rFonts w:asciiTheme="majorBidi" w:hAnsiTheme="majorBidi" w:cstheme="majorBidi"/>
          <w:sz w:val="26"/>
          <w:szCs w:val="26"/>
          <w:rtl/>
        </w:rPr>
        <w:t>.</w:t>
      </w:r>
    </w:p>
    <w:p w:rsidR="001E188C" w:rsidRPr="004655C0" w:rsidRDefault="001E188C" w:rsidP="001E188C">
      <w:pPr>
        <w:bidi w:val="0"/>
        <w:ind w:right="-1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DE61CA" w:rsidRPr="004655C0" w:rsidRDefault="00DE61CA" w:rsidP="000A30C3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 xml:space="preserve">The average weekly hours worked by wage employees in the West Bank was </w:t>
      </w:r>
      <w:r w:rsidR="00996A56" w:rsidRPr="004655C0">
        <w:rPr>
          <w:rFonts w:asciiTheme="majorBidi" w:hAnsiTheme="majorBidi" w:cstheme="majorBidi"/>
          <w:sz w:val="26"/>
          <w:szCs w:val="26"/>
        </w:rPr>
        <w:t>43.5</w:t>
      </w:r>
      <w:r w:rsidRPr="004655C0">
        <w:rPr>
          <w:rFonts w:asciiTheme="majorBidi" w:hAnsiTheme="majorBidi" w:cstheme="majorBidi"/>
          <w:sz w:val="26"/>
          <w:szCs w:val="26"/>
        </w:rPr>
        <w:t xml:space="preserve"> hour compared with </w:t>
      </w:r>
      <w:r w:rsidR="00586431" w:rsidRPr="004655C0">
        <w:rPr>
          <w:rFonts w:asciiTheme="majorBidi" w:hAnsiTheme="majorBidi" w:cstheme="majorBidi"/>
          <w:sz w:val="26"/>
          <w:szCs w:val="26"/>
        </w:rPr>
        <w:t>36.9</w:t>
      </w:r>
      <w:r w:rsidRPr="004655C0">
        <w:rPr>
          <w:rFonts w:asciiTheme="majorBidi" w:hAnsiTheme="majorBidi" w:cstheme="majorBidi"/>
          <w:sz w:val="26"/>
          <w:szCs w:val="26"/>
        </w:rPr>
        <w:t xml:space="preserve"> hour in Gaza </w:t>
      </w:r>
      <w:proofErr w:type="gramStart"/>
      <w:r w:rsidRPr="004655C0">
        <w:rPr>
          <w:rFonts w:asciiTheme="majorBidi" w:hAnsiTheme="majorBidi" w:cstheme="majorBidi"/>
          <w:sz w:val="26"/>
          <w:szCs w:val="26"/>
        </w:rPr>
        <w:t>Strip.</w:t>
      </w:r>
      <w:proofErr w:type="gramEnd"/>
      <w:r w:rsidRPr="004655C0">
        <w:rPr>
          <w:rFonts w:asciiTheme="majorBidi" w:hAnsiTheme="majorBidi" w:cstheme="majorBidi"/>
          <w:sz w:val="26"/>
          <w:szCs w:val="26"/>
        </w:rPr>
        <w:t xml:space="preserve"> And the average number of days worked per month was </w:t>
      </w:r>
      <w:r w:rsidR="00586431" w:rsidRPr="004655C0">
        <w:rPr>
          <w:rFonts w:asciiTheme="majorBidi" w:hAnsiTheme="majorBidi" w:cstheme="majorBidi"/>
          <w:sz w:val="26"/>
          <w:szCs w:val="26"/>
        </w:rPr>
        <w:t>22.7</w:t>
      </w:r>
      <w:r w:rsidRPr="004655C0">
        <w:rPr>
          <w:rFonts w:asciiTheme="majorBidi" w:hAnsiTheme="majorBidi" w:cstheme="majorBidi"/>
          <w:sz w:val="26"/>
          <w:szCs w:val="26"/>
        </w:rPr>
        <w:t xml:space="preserve"> day in </w:t>
      </w:r>
      <w:r w:rsidR="0051504B" w:rsidRPr="004655C0">
        <w:rPr>
          <w:rFonts w:asciiTheme="majorBidi" w:hAnsiTheme="majorBidi" w:cstheme="majorBidi"/>
          <w:sz w:val="26"/>
          <w:szCs w:val="26"/>
        </w:rPr>
        <w:t xml:space="preserve">the </w:t>
      </w:r>
      <w:r w:rsidRPr="004655C0">
        <w:rPr>
          <w:rFonts w:asciiTheme="majorBidi" w:hAnsiTheme="majorBidi" w:cstheme="majorBidi"/>
          <w:sz w:val="26"/>
          <w:szCs w:val="26"/>
        </w:rPr>
        <w:t xml:space="preserve">West Bank and </w:t>
      </w:r>
      <w:r w:rsidR="00586431" w:rsidRPr="004655C0">
        <w:rPr>
          <w:rFonts w:asciiTheme="majorBidi" w:hAnsiTheme="majorBidi" w:cstheme="majorBidi"/>
          <w:sz w:val="26"/>
          <w:szCs w:val="26"/>
        </w:rPr>
        <w:t>21.8</w:t>
      </w:r>
      <w:r w:rsidRPr="004655C0">
        <w:rPr>
          <w:rFonts w:asciiTheme="majorBidi" w:hAnsiTheme="majorBidi" w:cstheme="majorBidi"/>
          <w:sz w:val="26"/>
          <w:szCs w:val="26"/>
        </w:rPr>
        <w:t xml:space="preserve"> day</w:t>
      </w:r>
      <w:r w:rsidR="00675236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Pr="004655C0">
        <w:rPr>
          <w:rFonts w:asciiTheme="majorBidi" w:hAnsiTheme="majorBidi" w:cstheme="majorBidi"/>
          <w:sz w:val="26"/>
          <w:szCs w:val="26"/>
        </w:rPr>
        <w:t>in Gaza Strip</w:t>
      </w:r>
      <w:r w:rsidR="000A30C3" w:rsidRPr="004655C0">
        <w:rPr>
          <w:rFonts w:asciiTheme="majorBidi" w:hAnsiTheme="majorBidi" w:cstheme="majorBidi"/>
          <w:sz w:val="26"/>
          <w:szCs w:val="26"/>
        </w:rPr>
        <w:t>, on the other hand the average daily wage in the West Bank reached 125.6 NIS while in Gaza Strip reached 57.1 NIS</w:t>
      </w:r>
    </w:p>
    <w:p w:rsidR="00996A56" w:rsidRPr="004655C0" w:rsidRDefault="00996A56" w:rsidP="0067794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F710C1" w:rsidRPr="004655C0" w:rsidRDefault="00586431" w:rsidP="004655C0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655C0">
        <w:rPr>
          <w:rFonts w:asciiTheme="majorBidi" w:hAnsiTheme="majorBidi" w:cstheme="majorBidi"/>
          <w:b/>
          <w:bCs/>
          <w:sz w:val="26"/>
          <w:szCs w:val="26"/>
        </w:rPr>
        <w:t>193</w:t>
      </w:r>
      <w:r w:rsidR="00D344A6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thousand </w:t>
      </w:r>
      <w:r w:rsidR="00EF54AD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are </w:t>
      </w:r>
      <w:r w:rsidR="007C5844" w:rsidRPr="004655C0">
        <w:rPr>
          <w:rFonts w:asciiTheme="majorBidi" w:hAnsiTheme="majorBidi" w:cstheme="majorBidi"/>
          <w:b/>
          <w:bCs/>
          <w:sz w:val="26"/>
          <w:szCs w:val="26"/>
        </w:rPr>
        <w:t>employed</w:t>
      </w:r>
      <w:r w:rsidR="0003065A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in Israel and </w:t>
      </w:r>
      <w:r w:rsidR="004125E6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Israeli settlements </w:t>
      </w:r>
      <w:r w:rsidR="00D344A6" w:rsidRPr="004655C0">
        <w:rPr>
          <w:rFonts w:asciiTheme="majorBidi" w:hAnsiTheme="majorBidi" w:cstheme="majorBidi"/>
          <w:b/>
          <w:bCs/>
          <w:sz w:val="26"/>
          <w:szCs w:val="26"/>
        </w:rPr>
        <w:t>in</w:t>
      </w:r>
      <w:r w:rsidR="0003065A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96A56" w:rsidRPr="004655C0">
        <w:rPr>
          <w:rFonts w:asciiTheme="majorBidi" w:hAnsiTheme="majorBidi" w:cstheme="majorBidi"/>
          <w:b/>
          <w:bCs/>
          <w:sz w:val="26"/>
          <w:szCs w:val="26"/>
        </w:rPr>
        <w:t>202</w:t>
      </w:r>
      <w:r w:rsidRPr="004655C0">
        <w:rPr>
          <w:rFonts w:asciiTheme="majorBidi" w:hAnsiTheme="majorBidi" w:cstheme="majorBidi"/>
          <w:b/>
          <w:bCs/>
          <w:sz w:val="26"/>
          <w:szCs w:val="26"/>
        </w:rPr>
        <w:t>2</w:t>
      </w:r>
    </w:p>
    <w:p w:rsidR="00677948" w:rsidRPr="004655C0" w:rsidRDefault="00677948" w:rsidP="00664ED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The number of workers in Israel and the settlements in the year 202</w:t>
      </w:r>
      <w:r w:rsidR="00586431" w:rsidRPr="004655C0">
        <w:rPr>
          <w:rFonts w:asciiTheme="majorBidi" w:hAnsiTheme="majorBidi" w:cstheme="majorBidi"/>
          <w:sz w:val="26"/>
          <w:szCs w:val="26"/>
        </w:rPr>
        <w:t>2</w:t>
      </w:r>
      <w:r w:rsidRPr="004655C0">
        <w:rPr>
          <w:rFonts w:asciiTheme="majorBidi" w:hAnsiTheme="majorBidi" w:cstheme="majorBidi"/>
          <w:sz w:val="26"/>
          <w:szCs w:val="26"/>
        </w:rPr>
        <w:t xml:space="preserve"> reached about </w:t>
      </w:r>
      <w:r w:rsidR="00586431" w:rsidRPr="004655C0">
        <w:rPr>
          <w:rFonts w:asciiTheme="majorBidi" w:hAnsiTheme="majorBidi" w:cstheme="majorBidi"/>
          <w:sz w:val="26"/>
          <w:szCs w:val="26"/>
        </w:rPr>
        <w:t>193</w:t>
      </w:r>
      <w:r w:rsidRPr="004655C0">
        <w:rPr>
          <w:rFonts w:asciiTheme="majorBidi" w:hAnsiTheme="majorBidi" w:cstheme="majorBidi"/>
          <w:sz w:val="26"/>
          <w:szCs w:val="26"/>
        </w:rPr>
        <w:t xml:space="preserve"> thousand workers, of whom </w:t>
      </w:r>
      <w:r w:rsidR="00586431" w:rsidRPr="004655C0">
        <w:rPr>
          <w:rFonts w:asciiTheme="majorBidi" w:hAnsiTheme="majorBidi" w:cstheme="majorBidi"/>
          <w:sz w:val="26"/>
          <w:szCs w:val="26"/>
        </w:rPr>
        <w:t>29</w:t>
      </w:r>
      <w:r w:rsidRPr="004655C0">
        <w:rPr>
          <w:rFonts w:asciiTheme="majorBidi" w:hAnsiTheme="majorBidi" w:cstheme="majorBidi"/>
          <w:sz w:val="26"/>
          <w:szCs w:val="26"/>
        </w:rPr>
        <w:t xml:space="preserve"> thousand work in the Israeli settlements. The percentage of workers in Israel and the settlements who obtained work permits reached </w:t>
      </w:r>
      <w:r w:rsidR="00664EDA" w:rsidRPr="004655C0">
        <w:rPr>
          <w:rFonts w:asciiTheme="majorBidi" w:hAnsiTheme="majorBidi" w:cstheme="majorBidi"/>
          <w:sz w:val="26"/>
          <w:szCs w:val="26"/>
        </w:rPr>
        <w:t>58</w:t>
      </w:r>
      <w:r w:rsidR="00586431" w:rsidRPr="004655C0">
        <w:rPr>
          <w:rFonts w:asciiTheme="majorBidi" w:hAnsiTheme="majorBidi" w:cstheme="majorBidi"/>
          <w:sz w:val="26"/>
          <w:szCs w:val="26"/>
        </w:rPr>
        <w:t>.6</w:t>
      </w:r>
      <w:r w:rsidRPr="004655C0">
        <w:rPr>
          <w:rFonts w:asciiTheme="majorBidi" w:hAnsiTheme="majorBidi" w:cstheme="majorBidi"/>
          <w:sz w:val="26"/>
          <w:szCs w:val="26"/>
        </w:rPr>
        <w:t xml:space="preserve">%, while the percentage of workers without work permits was about </w:t>
      </w:r>
      <w:r w:rsidR="00664EDA" w:rsidRPr="004655C0">
        <w:rPr>
          <w:rFonts w:asciiTheme="majorBidi" w:hAnsiTheme="majorBidi" w:cstheme="majorBidi"/>
          <w:sz w:val="26"/>
          <w:szCs w:val="26"/>
        </w:rPr>
        <w:t>20.7</w:t>
      </w:r>
      <w:r w:rsidR="00EC08AE" w:rsidRPr="004655C0">
        <w:rPr>
          <w:rFonts w:asciiTheme="majorBidi" w:hAnsiTheme="majorBidi" w:cstheme="majorBidi"/>
          <w:sz w:val="26"/>
          <w:szCs w:val="26"/>
        </w:rPr>
        <w:t xml:space="preserve">%, and as for those who have a </w:t>
      </w:r>
      <w:r w:rsidRPr="004655C0">
        <w:rPr>
          <w:rFonts w:asciiTheme="majorBidi" w:hAnsiTheme="majorBidi" w:cstheme="majorBidi"/>
          <w:sz w:val="26"/>
          <w:szCs w:val="26"/>
        </w:rPr>
        <w:t xml:space="preserve">foreign passport, their percentage reached </w:t>
      </w:r>
      <w:r w:rsidR="00664EDA" w:rsidRPr="004655C0">
        <w:rPr>
          <w:rFonts w:asciiTheme="majorBidi" w:hAnsiTheme="majorBidi" w:cstheme="majorBidi"/>
          <w:sz w:val="26"/>
          <w:szCs w:val="26"/>
        </w:rPr>
        <w:t>20.7</w:t>
      </w:r>
      <w:r w:rsidRPr="004655C0">
        <w:rPr>
          <w:rFonts w:asciiTheme="majorBidi" w:hAnsiTheme="majorBidi" w:cstheme="majorBidi"/>
          <w:sz w:val="26"/>
          <w:szCs w:val="26"/>
        </w:rPr>
        <w:t>%.</w:t>
      </w:r>
    </w:p>
    <w:p w:rsidR="00677948" w:rsidRPr="004655C0" w:rsidRDefault="00677948" w:rsidP="0067794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677948" w:rsidRPr="004655C0" w:rsidRDefault="00677948" w:rsidP="00A95333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 xml:space="preserve">The construction </w:t>
      </w:r>
      <w:r w:rsidR="00A95333" w:rsidRPr="004655C0">
        <w:rPr>
          <w:rFonts w:asciiTheme="majorBidi" w:hAnsiTheme="majorBidi" w:cstheme="majorBidi"/>
          <w:sz w:val="26"/>
          <w:szCs w:val="26"/>
        </w:rPr>
        <w:t>sector</w:t>
      </w:r>
      <w:r w:rsidRPr="004655C0">
        <w:rPr>
          <w:rFonts w:asciiTheme="majorBidi" w:hAnsiTheme="majorBidi" w:cstheme="majorBidi"/>
          <w:sz w:val="26"/>
          <w:szCs w:val="26"/>
        </w:rPr>
        <w:t xml:space="preserve"> recorded the highest employment rate in Israel and the </w:t>
      </w:r>
      <w:r w:rsidR="000A30C3" w:rsidRPr="004655C0">
        <w:rPr>
          <w:rFonts w:asciiTheme="majorBidi" w:hAnsiTheme="majorBidi" w:cstheme="majorBidi"/>
          <w:sz w:val="26"/>
          <w:szCs w:val="26"/>
        </w:rPr>
        <w:t xml:space="preserve">Israeli </w:t>
      </w:r>
      <w:r w:rsidRPr="004655C0">
        <w:rPr>
          <w:rFonts w:asciiTheme="majorBidi" w:hAnsiTheme="majorBidi" w:cstheme="majorBidi"/>
          <w:sz w:val="26"/>
          <w:szCs w:val="26"/>
        </w:rPr>
        <w:t xml:space="preserve">settlements, which constitutes </w:t>
      </w:r>
      <w:r w:rsidR="00664EDA" w:rsidRPr="004655C0">
        <w:rPr>
          <w:rFonts w:asciiTheme="majorBidi" w:hAnsiTheme="majorBidi" w:cstheme="majorBidi"/>
          <w:sz w:val="26"/>
          <w:szCs w:val="26"/>
        </w:rPr>
        <w:t>57.4</w:t>
      </w:r>
      <w:r w:rsidRPr="004655C0">
        <w:rPr>
          <w:rFonts w:asciiTheme="majorBidi" w:hAnsiTheme="majorBidi" w:cstheme="majorBidi"/>
          <w:sz w:val="26"/>
          <w:szCs w:val="26"/>
        </w:rPr>
        <w:t xml:space="preserve">% of the total Palestinian workers in Israel and the </w:t>
      </w:r>
      <w:r w:rsidR="00065DBB" w:rsidRPr="004655C0">
        <w:rPr>
          <w:rFonts w:asciiTheme="majorBidi" w:hAnsiTheme="majorBidi" w:cstheme="majorBidi"/>
          <w:sz w:val="26"/>
          <w:szCs w:val="26"/>
        </w:rPr>
        <w:t xml:space="preserve">Israeli </w:t>
      </w:r>
      <w:r w:rsidRPr="004655C0">
        <w:rPr>
          <w:rFonts w:asciiTheme="majorBidi" w:hAnsiTheme="majorBidi" w:cstheme="majorBidi"/>
          <w:sz w:val="26"/>
          <w:szCs w:val="26"/>
        </w:rPr>
        <w:t>settlements</w:t>
      </w:r>
      <w:r w:rsidR="006B1EA2" w:rsidRPr="004655C0">
        <w:rPr>
          <w:rFonts w:asciiTheme="majorBidi" w:hAnsiTheme="majorBidi" w:cstheme="majorBidi"/>
          <w:sz w:val="26"/>
          <w:szCs w:val="26"/>
        </w:rPr>
        <w:t xml:space="preserve">. </w:t>
      </w:r>
      <w:r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6B1EA2" w:rsidRPr="004655C0">
        <w:rPr>
          <w:rFonts w:asciiTheme="majorBidi" w:hAnsiTheme="majorBidi" w:cstheme="majorBidi"/>
          <w:sz w:val="26"/>
          <w:szCs w:val="26"/>
        </w:rPr>
        <w:t>W</w:t>
      </w:r>
      <w:r w:rsidRPr="004655C0">
        <w:rPr>
          <w:rFonts w:asciiTheme="majorBidi" w:hAnsiTheme="majorBidi" w:cstheme="majorBidi"/>
          <w:sz w:val="26"/>
          <w:szCs w:val="26"/>
        </w:rPr>
        <w:t xml:space="preserve">hile their average daily wage is </w:t>
      </w:r>
      <w:r w:rsidR="00664EDA" w:rsidRPr="004655C0">
        <w:rPr>
          <w:rFonts w:asciiTheme="majorBidi" w:hAnsiTheme="majorBidi" w:cstheme="majorBidi"/>
          <w:sz w:val="26"/>
          <w:szCs w:val="26"/>
        </w:rPr>
        <w:t>276</w:t>
      </w:r>
      <w:r w:rsidRPr="004655C0">
        <w:rPr>
          <w:rFonts w:asciiTheme="majorBidi" w:hAnsiTheme="majorBidi" w:cstheme="majorBidi"/>
          <w:sz w:val="26"/>
          <w:szCs w:val="26"/>
        </w:rPr>
        <w:t xml:space="preserve"> NIS.</w:t>
      </w:r>
    </w:p>
    <w:p w:rsidR="0003065A" w:rsidRPr="001B4EE6" w:rsidRDefault="0003065A" w:rsidP="0067794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0"/>
          <w:szCs w:val="10"/>
        </w:rPr>
      </w:pPr>
    </w:p>
    <w:p w:rsidR="00247BC9" w:rsidRPr="004655C0" w:rsidRDefault="00A95333" w:rsidP="004655C0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655C0">
        <w:rPr>
          <w:rFonts w:asciiTheme="majorBidi" w:hAnsiTheme="majorBidi" w:cstheme="majorBidi"/>
          <w:b/>
          <w:bCs/>
          <w:sz w:val="26"/>
          <w:szCs w:val="26"/>
        </w:rPr>
        <w:t>A bout 8</w:t>
      </w:r>
      <w:r w:rsidR="00445A4E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3065A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out of 10 </w:t>
      </w:r>
      <w:r w:rsidR="00A15961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of </w:t>
      </w:r>
      <w:r w:rsidR="00EC08AE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A15961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employed </w:t>
      </w:r>
      <w:r w:rsidR="0003065A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are </w:t>
      </w:r>
      <w:r w:rsidR="007053A4" w:rsidRPr="004655C0">
        <w:rPr>
          <w:rFonts w:asciiTheme="majorBidi" w:hAnsiTheme="majorBidi" w:cstheme="majorBidi"/>
          <w:b/>
          <w:bCs/>
          <w:sz w:val="26"/>
          <w:szCs w:val="26"/>
        </w:rPr>
        <w:t>w</w:t>
      </w:r>
      <w:r w:rsidR="00C94760" w:rsidRPr="004655C0">
        <w:rPr>
          <w:rFonts w:asciiTheme="majorBidi" w:hAnsiTheme="majorBidi" w:cstheme="majorBidi"/>
          <w:b/>
          <w:bCs/>
          <w:sz w:val="26"/>
          <w:szCs w:val="26"/>
        </w:rPr>
        <w:t>age</w:t>
      </w:r>
      <w:r w:rsidR="00445A4E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employees</w:t>
      </w:r>
    </w:p>
    <w:p w:rsidR="0003065A" w:rsidRPr="004655C0" w:rsidRDefault="0046218B" w:rsidP="0046218B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76</w:t>
      </w:r>
      <w:r w:rsidR="00D344A6" w:rsidRPr="004655C0">
        <w:rPr>
          <w:rFonts w:asciiTheme="majorBidi" w:hAnsiTheme="majorBidi" w:cstheme="majorBidi"/>
          <w:sz w:val="26"/>
          <w:szCs w:val="26"/>
        </w:rPr>
        <w:t>%</w:t>
      </w:r>
      <w:r w:rsidR="00445A4E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A15961" w:rsidRPr="004655C0">
        <w:rPr>
          <w:rFonts w:asciiTheme="majorBidi" w:hAnsiTheme="majorBidi" w:cstheme="majorBidi"/>
          <w:sz w:val="26"/>
          <w:szCs w:val="26"/>
        </w:rPr>
        <w:t xml:space="preserve">of </w:t>
      </w:r>
      <w:r w:rsidR="00EC08AE" w:rsidRPr="004655C0">
        <w:rPr>
          <w:rFonts w:asciiTheme="majorBidi" w:hAnsiTheme="majorBidi" w:cstheme="majorBidi"/>
          <w:sz w:val="26"/>
          <w:szCs w:val="26"/>
        </w:rPr>
        <w:t xml:space="preserve">the </w:t>
      </w:r>
      <w:r w:rsidR="00A15961" w:rsidRPr="004655C0">
        <w:rPr>
          <w:rFonts w:asciiTheme="majorBidi" w:hAnsiTheme="majorBidi" w:cstheme="majorBidi"/>
          <w:sz w:val="26"/>
          <w:szCs w:val="26"/>
        </w:rPr>
        <w:t>employed are wage employees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, </w:t>
      </w:r>
      <w:r w:rsidRPr="004655C0">
        <w:rPr>
          <w:rFonts w:asciiTheme="majorBidi" w:hAnsiTheme="majorBidi" w:cstheme="majorBidi"/>
          <w:sz w:val="26"/>
          <w:szCs w:val="26"/>
        </w:rPr>
        <w:t>20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% </w:t>
      </w:r>
      <w:r w:rsidR="00A15961" w:rsidRPr="004655C0">
        <w:rPr>
          <w:rFonts w:asciiTheme="majorBidi" w:hAnsiTheme="majorBidi" w:cstheme="majorBidi"/>
          <w:sz w:val="26"/>
          <w:szCs w:val="26"/>
        </w:rPr>
        <w:t>are self-employed and employers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, </w:t>
      </w:r>
      <w:r w:rsidR="00A15961" w:rsidRPr="004655C0">
        <w:rPr>
          <w:rFonts w:asciiTheme="majorBidi" w:hAnsiTheme="majorBidi" w:cstheme="majorBidi"/>
          <w:sz w:val="26"/>
          <w:szCs w:val="26"/>
        </w:rPr>
        <w:t>while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 4% are </w:t>
      </w:r>
      <w:r w:rsidR="00A15961" w:rsidRPr="004655C0">
        <w:rPr>
          <w:rFonts w:asciiTheme="majorBidi" w:hAnsiTheme="majorBidi" w:cstheme="majorBidi"/>
          <w:sz w:val="26"/>
          <w:szCs w:val="26"/>
        </w:rPr>
        <w:t>unpaid family members</w:t>
      </w:r>
      <w:r w:rsidR="0003065A" w:rsidRPr="004655C0">
        <w:rPr>
          <w:rFonts w:asciiTheme="majorBidi" w:hAnsiTheme="majorBidi" w:cstheme="majorBidi"/>
          <w:sz w:val="26"/>
          <w:szCs w:val="26"/>
          <w:rtl/>
        </w:rPr>
        <w:t>.</w:t>
      </w:r>
    </w:p>
    <w:p w:rsidR="0003065A" w:rsidRPr="004655C0" w:rsidRDefault="0003065A" w:rsidP="0067794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03065A" w:rsidRPr="004655C0" w:rsidRDefault="00747C32" w:rsidP="004655C0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About </w:t>
      </w:r>
      <w:r w:rsidR="0046218B" w:rsidRPr="004655C0">
        <w:rPr>
          <w:rFonts w:asciiTheme="majorBidi" w:hAnsiTheme="majorBidi" w:cstheme="majorBidi"/>
          <w:b/>
          <w:bCs/>
          <w:sz w:val="26"/>
          <w:szCs w:val="26"/>
        </w:rPr>
        <w:t>two-thirds</w:t>
      </w:r>
      <w:r w:rsidR="0003065A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of</w:t>
      </w:r>
      <w:r w:rsidR="009C55F1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the</w:t>
      </w:r>
      <w:r w:rsidR="0003065A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C55F1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wage employees in the private sector </w:t>
      </w:r>
      <w:r w:rsidR="00EC08AE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are </w:t>
      </w:r>
      <w:r w:rsidR="009C55F1" w:rsidRPr="004655C0">
        <w:rPr>
          <w:rFonts w:asciiTheme="majorBidi" w:hAnsiTheme="majorBidi" w:cstheme="majorBidi"/>
          <w:b/>
          <w:bCs/>
          <w:sz w:val="26"/>
          <w:szCs w:val="26"/>
        </w:rPr>
        <w:t>hired without any contract</w:t>
      </w:r>
    </w:p>
    <w:p w:rsidR="0003065A" w:rsidRPr="004655C0" w:rsidRDefault="00664EDA" w:rsidP="00664ED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65</w:t>
      </w:r>
      <w:r w:rsidR="00D344A6" w:rsidRPr="004655C0">
        <w:rPr>
          <w:rFonts w:asciiTheme="majorBidi" w:hAnsiTheme="majorBidi" w:cstheme="majorBidi"/>
          <w:sz w:val="26"/>
          <w:szCs w:val="26"/>
        </w:rPr>
        <w:t>%</w:t>
      </w:r>
      <w:r w:rsidR="00CA6BC4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of </w:t>
      </w:r>
      <w:r w:rsidR="009C55F1" w:rsidRPr="004655C0">
        <w:rPr>
          <w:rFonts w:asciiTheme="majorBidi" w:hAnsiTheme="majorBidi" w:cstheme="majorBidi"/>
          <w:sz w:val="26"/>
          <w:szCs w:val="26"/>
        </w:rPr>
        <w:t xml:space="preserve">wage employees 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in the private sector </w:t>
      </w:r>
      <w:r w:rsidR="00EC08AE" w:rsidRPr="004655C0">
        <w:rPr>
          <w:rFonts w:asciiTheme="majorBidi" w:hAnsiTheme="majorBidi" w:cstheme="majorBidi"/>
          <w:sz w:val="26"/>
          <w:szCs w:val="26"/>
        </w:rPr>
        <w:t xml:space="preserve">are </w:t>
      </w:r>
      <w:r w:rsidR="009C55F1" w:rsidRPr="004655C0">
        <w:rPr>
          <w:rFonts w:asciiTheme="majorBidi" w:hAnsiTheme="majorBidi" w:cstheme="majorBidi"/>
          <w:sz w:val="26"/>
          <w:szCs w:val="26"/>
        </w:rPr>
        <w:t>hired without any contract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, and </w:t>
      </w:r>
      <w:r w:rsidR="0046218B" w:rsidRPr="004655C0">
        <w:rPr>
          <w:rFonts w:asciiTheme="majorBidi" w:hAnsiTheme="majorBidi" w:cstheme="majorBidi"/>
          <w:sz w:val="26"/>
          <w:szCs w:val="26"/>
        </w:rPr>
        <w:t>26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% </w:t>
      </w:r>
      <w:r w:rsidR="009C55F1" w:rsidRPr="004655C0">
        <w:rPr>
          <w:rFonts w:asciiTheme="majorBidi" w:hAnsiTheme="majorBidi" w:cstheme="majorBidi"/>
          <w:sz w:val="26"/>
          <w:szCs w:val="26"/>
        </w:rPr>
        <w:t>of wage employees contribute to a pension fund</w:t>
      </w:r>
      <w:r w:rsidR="00744B03" w:rsidRPr="004655C0">
        <w:rPr>
          <w:rFonts w:asciiTheme="majorBidi" w:hAnsiTheme="majorBidi" w:cstheme="majorBidi"/>
          <w:sz w:val="26"/>
          <w:szCs w:val="26"/>
        </w:rPr>
        <w:t>/end of service benefit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. In contrast, </w:t>
      </w:r>
      <w:r w:rsidRPr="004655C0">
        <w:rPr>
          <w:rFonts w:asciiTheme="majorBidi" w:hAnsiTheme="majorBidi" w:cstheme="majorBidi"/>
          <w:sz w:val="26"/>
          <w:szCs w:val="26"/>
        </w:rPr>
        <w:t>44</w:t>
      </w:r>
      <w:r w:rsidR="00C44188" w:rsidRPr="004655C0">
        <w:rPr>
          <w:rFonts w:asciiTheme="majorBidi" w:hAnsiTheme="majorBidi" w:cstheme="majorBidi"/>
          <w:sz w:val="26"/>
          <w:szCs w:val="26"/>
        </w:rPr>
        <w:t xml:space="preserve">% </w:t>
      </w:r>
      <w:r w:rsidR="00ED2948" w:rsidRPr="004655C0">
        <w:rPr>
          <w:rFonts w:asciiTheme="majorBidi" w:hAnsiTheme="majorBidi" w:cstheme="majorBidi"/>
          <w:sz w:val="26"/>
          <w:szCs w:val="26"/>
        </w:rPr>
        <w:t xml:space="preserve">of wage </w:t>
      </w:r>
      <w:r w:rsidR="007B2238" w:rsidRPr="004655C0">
        <w:rPr>
          <w:rFonts w:asciiTheme="majorBidi" w:hAnsiTheme="majorBidi" w:cstheme="majorBidi"/>
          <w:sz w:val="26"/>
          <w:szCs w:val="26"/>
        </w:rPr>
        <w:t xml:space="preserve">female </w:t>
      </w:r>
      <w:r w:rsidR="00ED2948" w:rsidRPr="004655C0">
        <w:rPr>
          <w:rFonts w:asciiTheme="majorBidi" w:hAnsiTheme="majorBidi" w:cstheme="majorBidi"/>
          <w:sz w:val="26"/>
          <w:szCs w:val="26"/>
        </w:rPr>
        <w:t>employees have paid maternity leave.</w:t>
      </w:r>
    </w:p>
    <w:p w:rsidR="001E188C" w:rsidRPr="001B4EE6" w:rsidRDefault="001E188C" w:rsidP="001E188C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065DBB" w:rsidRPr="004655C0" w:rsidRDefault="00065DBB" w:rsidP="004655C0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655C0">
        <w:rPr>
          <w:rFonts w:asciiTheme="majorBidi" w:hAnsiTheme="majorBidi" w:cstheme="majorBidi"/>
          <w:b/>
          <w:bCs/>
          <w:sz w:val="26"/>
          <w:szCs w:val="26"/>
        </w:rPr>
        <w:t>40% of wage employees in the private sector received monthly wages less than the monthly minimu</w:t>
      </w:r>
      <w:r w:rsidR="004655C0">
        <w:rPr>
          <w:rFonts w:asciiTheme="majorBidi" w:hAnsiTheme="majorBidi" w:cstheme="majorBidi"/>
          <w:b/>
          <w:bCs/>
          <w:sz w:val="26"/>
          <w:szCs w:val="26"/>
        </w:rPr>
        <w:t>m wage (1,880 NIS) in Palestine</w:t>
      </w:r>
    </w:p>
    <w:p w:rsidR="00065DBB" w:rsidRPr="004655C0" w:rsidRDefault="00065DBB" w:rsidP="00065DBB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 xml:space="preserve">40% of wage employees in the private sector received monthly wages less than the monthly minimum wage (1,880 NIS) in Palestine in 2022, the percent was 19% in the West Bank with average monthly wage about 1,419 NIS, while the percent was 89% in Gaza Strip with average monthly wage about 697 NIS.  </w:t>
      </w:r>
      <w:proofErr w:type="gramStart"/>
      <w:r w:rsidRPr="004655C0">
        <w:rPr>
          <w:rFonts w:asciiTheme="majorBidi" w:hAnsiTheme="majorBidi" w:cstheme="majorBidi"/>
          <w:sz w:val="26"/>
          <w:szCs w:val="26"/>
        </w:rPr>
        <w:t>The  Council</w:t>
      </w:r>
      <w:proofErr w:type="gramEnd"/>
      <w:r w:rsidRPr="004655C0">
        <w:rPr>
          <w:rFonts w:asciiTheme="majorBidi" w:hAnsiTheme="majorBidi" w:cstheme="majorBidi"/>
          <w:sz w:val="26"/>
          <w:szCs w:val="26"/>
        </w:rPr>
        <w:t xml:space="preserve"> of Ministers issued a decree stating the minimum wage to be (1,880 NIS) as of the beginning of 2022</w:t>
      </w:r>
    </w:p>
    <w:p w:rsidR="00065DBB" w:rsidRPr="001B4EE6" w:rsidRDefault="00065DBB" w:rsidP="00065DBB">
      <w:pPr>
        <w:bidi w:val="0"/>
        <w:jc w:val="both"/>
        <w:rPr>
          <w:rFonts w:asciiTheme="majorBidi" w:hAnsiTheme="majorBidi" w:cstheme="majorBidi"/>
          <w:sz w:val="10"/>
          <w:szCs w:val="10"/>
        </w:rPr>
      </w:pPr>
    </w:p>
    <w:p w:rsidR="00C44188" w:rsidRPr="004655C0" w:rsidRDefault="00065DBB" w:rsidP="004655C0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 xml:space="preserve">It </w:t>
      </w:r>
      <w:r w:rsidR="00A95333" w:rsidRPr="004655C0">
        <w:rPr>
          <w:rFonts w:asciiTheme="majorBidi" w:hAnsiTheme="majorBidi" w:cstheme="majorBidi"/>
          <w:sz w:val="26"/>
          <w:szCs w:val="26"/>
        </w:rPr>
        <w:t>worth’s</w:t>
      </w:r>
      <w:r w:rsidRPr="004655C0">
        <w:rPr>
          <w:rFonts w:asciiTheme="majorBidi" w:hAnsiTheme="majorBidi" w:cstheme="majorBidi"/>
          <w:sz w:val="26"/>
          <w:szCs w:val="26"/>
        </w:rPr>
        <w:t xml:space="preserve"> to </w:t>
      </w:r>
      <w:r w:rsidR="00A95333" w:rsidRPr="004655C0">
        <w:rPr>
          <w:rFonts w:asciiTheme="majorBidi" w:hAnsiTheme="majorBidi" w:cstheme="majorBidi"/>
          <w:sz w:val="26"/>
          <w:szCs w:val="26"/>
        </w:rPr>
        <w:t>be mention</w:t>
      </w:r>
      <w:r w:rsidR="00841F57" w:rsidRPr="004655C0">
        <w:rPr>
          <w:rFonts w:asciiTheme="majorBidi" w:hAnsiTheme="majorBidi" w:cstheme="majorBidi"/>
          <w:sz w:val="26"/>
          <w:szCs w:val="26"/>
        </w:rPr>
        <w:t>ed</w:t>
      </w:r>
      <w:r w:rsidR="00A95333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Pr="004655C0">
        <w:rPr>
          <w:rFonts w:asciiTheme="majorBidi" w:hAnsiTheme="majorBidi" w:cstheme="majorBidi"/>
          <w:sz w:val="26"/>
          <w:szCs w:val="26"/>
        </w:rPr>
        <w:t>that the minimum wage in 2021 was (1,450 NIS) and if we compare this minimum wage (1,450 NIS) between 2021 and 2022 we noticed a</w:t>
      </w:r>
      <w:r w:rsidR="00C41DF8" w:rsidRPr="004655C0">
        <w:rPr>
          <w:rFonts w:asciiTheme="majorBidi" w:hAnsiTheme="majorBidi" w:cstheme="majorBidi"/>
          <w:sz w:val="26"/>
          <w:szCs w:val="26"/>
        </w:rPr>
        <w:t>n increase</w:t>
      </w:r>
      <w:r w:rsidR="00C44188" w:rsidRPr="004655C0">
        <w:rPr>
          <w:rFonts w:asciiTheme="majorBidi" w:hAnsiTheme="majorBidi" w:cstheme="majorBidi"/>
          <w:sz w:val="26"/>
          <w:szCs w:val="26"/>
        </w:rPr>
        <w:t xml:space="preserve"> in the percentage of wage e</w:t>
      </w:r>
      <w:bookmarkStart w:id="0" w:name="_GoBack"/>
      <w:bookmarkEnd w:id="0"/>
      <w:r w:rsidR="00C44188" w:rsidRPr="004655C0">
        <w:rPr>
          <w:rFonts w:asciiTheme="majorBidi" w:hAnsiTheme="majorBidi" w:cstheme="majorBidi"/>
          <w:sz w:val="26"/>
          <w:szCs w:val="26"/>
        </w:rPr>
        <w:t xml:space="preserve">mployees in the private sector who </w:t>
      </w:r>
      <w:proofErr w:type="gramStart"/>
      <w:r w:rsidR="00C44188" w:rsidRPr="004655C0">
        <w:rPr>
          <w:rFonts w:asciiTheme="majorBidi" w:hAnsiTheme="majorBidi" w:cstheme="majorBidi"/>
          <w:sz w:val="26"/>
          <w:szCs w:val="26"/>
        </w:rPr>
        <w:t xml:space="preserve">receive </w:t>
      </w:r>
      <w:r w:rsidR="00A95333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C44188" w:rsidRPr="004655C0">
        <w:rPr>
          <w:rFonts w:asciiTheme="majorBidi" w:hAnsiTheme="majorBidi" w:cstheme="majorBidi"/>
          <w:sz w:val="26"/>
          <w:szCs w:val="26"/>
        </w:rPr>
        <w:t>a</w:t>
      </w:r>
      <w:proofErr w:type="gramEnd"/>
      <w:r w:rsidR="00C44188" w:rsidRPr="004655C0">
        <w:rPr>
          <w:rFonts w:asciiTheme="majorBidi" w:hAnsiTheme="majorBidi" w:cstheme="majorBidi"/>
          <w:sz w:val="26"/>
          <w:szCs w:val="26"/>
        </w:rPr>
        <w:t xml:space="preserve"> monthly wage less than the minimum wage in </w:t>
      </w:r>
      <w:r w:rsidR="0051504B" w:rsidRPr="004655C0">
        <w:rPr>
          <w:rFonts w:asciiTheme="majorBidi" w:hAnsiTheme="majorBidi" w:cstheme="majorBidi"/>
          <w:sz w:val="26"/>
          <w:szCs w:val="26"/>
        </w:rPr>
        <w:t>both the</w:t>
      </w:r>
      <w:r w:rsidR="00C44188" w:rsidRPr="004655C0">
        <w:rPr>
          <w:rFonts w:asciiTheme="majorBidi" w:hAnsiTheme="majorBidi" w:cstheme="majorBidi"/>
          <w:sz w:val="26"/>
          <w:szCs w:val="26"/>
        </w:rPr>
        <w:t xml:space="preserve"> West Bank </w:t>
      </w:r>
      <w:r w:rsidR="0051504B" w:rsidRPr="004655C0">
        <w:rPr>
          <w:rFonts w:asciiTheme="majorBidi" w:hAnsiTheme="majorBidi" w:cstheme="majorBidi"/>
          <w:sz w:val="26"/>
          <w:szCs w:val="26"/>
        </w:rPr>
        <w:t xml:space="preserve">and Gaza Strip </w:t>
      </w:r>
      <w:r w:rsidR="00C44188" w:rsidRPr="004655C0">
        <w:rPr>
          <w:rFonts w:asciiTheme="majorBidi" w:hAnsiTheme="majorBidi" w:cstheme="majorBidi"/>
          <w:sz w:val="26"/>
          <w:szCs w:val="26"/>
        </w:rPr>
        <w:t>between 202</w:t>
      </w:r>
      <w:r w:rsidR="00C41DF8" w:rsidRPr="004655C0">
        <w:rPr>
          <w:rFonts w:asciiTheme="majorBidi" w:hAnsiTheme="majorBidi" w:cstheme="majorBidi"/>
          <w:sz w:val="26"/>
          <w:szCs w:val="26"/>
        </w:rPr>
        <w:t>1</w:t>
      </w:r>
      <w:r w:rsidR="00C44188" w:rsidRPr="004655C0">
        <w:rPr>
          <w:rFonts w:asciiTheme="majorBidi" w:hAnsiTheme="majorBidi" w:cstheme="majorBidi"/>
          <w:sz w:val="26"/>
          <w:szCs w:val="26"/>
        </w:rPr>
        <w:t xml:space="preserve"> and 202</w:t>
      </w:r>
      <w:r w:rsidR="00C41DF8" w:rsidRPr="004655C0">
        <w:rPr>
          <w:rFonts w:asciiTheme="majorBidi" w:hAnsiTheme="majorBidi" w:cstheme="majorBidi"/>
          <w:sz w:val="26"/>
          <w:szCs w:val="26"/>
        </w:rPr>
        <w:t>2</w:t>
      </w:r>
      <w:r w:rsidR="00C44188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C41DF8" w:rsidRPr="004655C0">
        <w:rPr>
          <w:rFonts w:asciiTheme="majorBidi" w:hAnsiTheme="majorBidi" w:cstheme="majorBidi"/>
          <w:sz w:val="26"/>
          <w:szCs w:val="26"/>
        </w:rPr>
        <w:t>from</w:t>
      </w:r>
      <w:r w:rsidR="007B2238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C44188" w:rsidRPr="004655C0">
        <w:rPr>
          <w:rFonts w:asciiTheme="majorBidi" w:hAnsiTheme="majorBidi" w:cstheme="majorBidi"/>
          <w:sz w:val="26"/>
          <w:szCs w:val="26"/>
        </w:rPr>
        <w:t>7%</w:t>
      </w:r>
      <w:r w:rsidR="00C41DF8" w:rsidRPr="004655C0">
        <w:rPr>
          <w:rFonts w:asciiTheme="majorBidi" w:hAnsiTheme="majorBidi" w:cstheme="majorBidi"/>
          <w:sz w:val="26"/>
          <w:szCs w:val="26"/>
        </w:rPr>
        <w:t xml:space="preserve"> to 8% </w:t>
      </w:r>
      <w:r w:rsidR="009B6CB5" w:rsidRPr="004655C0">
        <w:rPr>
          <w:rFonts w:asciiTheme="majorBidi" w:hAnsiTheme="majorBidi" w:cstheme="majorBidi"/>
          <w:sz w:val="26"/>
          <w:szCs w:val="26"/>
        </w:rPr>
        <w:t xml:space="preserve"> in the West Bank and </w:t>
      </w:r>
      <w:r w:rsidR="004E0DE9" w:rsidRPr="004655C0">
        <w:rPr>
          <w:rFonts w:asciiTheme="majorBidi" w:hAnsiTheme="majorBidi" w:cstheme="majorBidi"/>
          <w:sz w:val="26"/>
          <w:szCs w:val="26"/>
        </w:rPr>
        <w:t>from</w:t>
      </w:r>
      <w:r w:rsidR="009B6CB5" w:rsidRPr="004655C0">
        <w:rPr>
          <w:rFonts w:asciiTheme="majorBidi" w:hAnsiTheme="majorBidi" w:cstheme="majorBidi"/>
          <w:sz w:val="26"/>
          <w:szCs w:val="26"/>
        </w:rPr>
        <w:t xml:space="preserve"> 81%</w:t>
      </w:r>
      <w:r w:rsidR="004E0DE9" w:rsidRPr="004655C0">
        <w:rPr>
          <w:rFonts w:asciiTheme="majorBidi" w:hAnsiTheme="majorBidi" w:cstheme="majorBidi"/>
          <w:sz w:val="26"/>
          <w:szCs w:val="26"/>
        </w:rPr>
        <w:t xml:space="preserve"> to 86% </w:t>
      </w:r>
      <w:r w:rsidR="009B6CB5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C44188" w:rsidRPr="004655C0">
        <w:rPr>
          <w:rFonts w:asciiTheme="majorBidi" w:hAnsiTheme="majorBidi" w:cstheme="majorBidi"/>
          <w:sz w:val="26"/>
          <w:szCs w:val="26"/>
        </w:rPr>
        <w:t xml:space="preserve">in </w:t>
      </w:r>
      <w:r w:rsidR="009B6CB5" w:rsidRPr="004655C0">
        <w:rPr>
          <w:rFonts w:asciiTheme="majorBidi" w:hAnsiTheme="majorBidi" w:cstheme="majorBidi"/>
          <w:sz w:val="26"/>
          <w:szCs w:val="26"/>
        </w:rPr>
        <w:t>Gaza Strip</w:t>
      </w:r>
      <w:r w:rsidR="007B2238" w:rsidRPr="004655C0">
        <w:rPr>
          <w:rFonts w:asciiTheme="majorBidi" w:hAnsiTheme="majorBidi" w:cstheme="majorBidi"/>
          <w:sz w:val="26"/>
          <w:szCs w:val="26"/>
        </w:rPr>
        <w:t>)</w:t>
      </w:r>
      <w:r w:rsidR="00C44188" w:rsidRPr="004655C0">
        <w:rPr>
          <w:rFonts w:asciiTheme="majorBidi" w:hAnsiTheme="majorBidi" w:cstheme="majorBidi"/>
          <w:sz w:val="26"/>
          <w:szCs w:val="26"/>
        </w:rPr>
        <w:t>.</w:t>
      </w:r>
    </w:p>
    <w:p w:rsidR="0003065A" w:rsidRPr="004655C0" w:rsidRDefault="0003065A" w:rsidP="0067794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1E188C" w:rsidRPr="004655C0" w:rsidRDefault="00677948" w:rsidP="001B4EE6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The percentage of </w:t>
      </w:r>
      <w:r w:rsidR="007B2238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employed </w:t>
      </w:r>
      <w:r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children in the West Bank is higher than </w:t>
      </w:r>
      <w:r w:rsidR="00102EAC" w:rsidRPr="004655C0">
        <w:rPr>
          <w:rFonts w:asciiTheme="majorBidi" w:hAnsiTheme="majorBidi" w:cstheme="majorBidi"/>
          <w:b/>
          <w:bCs/>
          <w:sz w:val="26"/>
          <w:szCs w:val="26"/>
        </w:rPr>
        <w:t xml:space="preserve">it is </w:t>
      </w:r>
      <w:r w:rsidRPr="004655C0">
        <w:rPr>
          <w:rFonts w:asciiTheme="majorBidi" w:hAnsiTheme="majorBidi" w:cstheme="majorBidi"/>
          <w:b/>
          <w:bCs/>
          <w:sz w:val="26"/>
          <w:szCs w:val="26"/>
        </w:rPr>
        <w:t>in Gaza Strip</w:t>
      </w:r>
    </w:p>
    <w:p w:rsidR="00C44188" w:rsidRPr="001B4EE6" w:rsidRDefault="00996787" w:rsidP="001B4EE6">
      <w:pPr>
        <w:bidi w:val="0"/>
        <w:jc w:val="both"/>
        <w:rPr>
          <w:rFonts w:asciiTheme="majorBidi" w:hAnsiTheme="majorBidi" w:cstheme="majorBidi" w:hint="cs"/>
          <w:sz w:val="26"/>
          <w:szCs w:val="26"/>
        </w:rPr>
      </w:pPr>
      <w:r w:rsidRPr="004655C0">
        <w:rPr>
          <w:rFonts w:asciiTheme="majorBidi" w:hAnsiTheme="majorBidi" w:cstheme="majorBidi"/>
          <w:sz w:val="26"/>
          <w:szCs w:val="26"/>
        </w:rPr>
        <w:t>3</w:t>
      </w:r>
      <w:r w:rsidR="008E7DE3" w:rsidRPr="004655C0">
        <w:rPr>
          <w:rFonts w:asciiTheme="majorBidi" w:hAnsiTheme="majorBidi" w:cstheme="majorBidi"/>
          <w:sz w:val="26"/>
          <w:szCs w:val="26"/>
        </w:rPr>
        <w:t xml:space="preserve">% 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of children </w:t>
      </w:r>
      <w:r w:rsidR="00875C28" w:rsidRPr="004655C0">
        <w:rPr>
          <w:rFonts w:asciiTheme="majorBidi" w:hAnsiTheme="majorBidi" w:cstheme="majorBidi"/>
          <w:sz w:val="26"/>
          <w:szCs w:val="26"/>
        </w:rPr>
        <w:t xml:space="preserve">aged </w:t>
      </w:r>
      <w:r w:rsidR="0003065A" w:rsidRPr="004655C0">
        <w:rPr>
          <w:rFonts w:asciiTheme="majorBidi" w:hAnsiTheme="majorBidi" w:cstheme="majorBidi"/>
          <w:sz w:val="26"/>
          <w:szCs w:val="26"/>
        </w:rPr>
        <w:t>(10-17 years) were employed</w:t>
      </w:r>
      <w:r w:rsidR="00875C28" w:rsidRPr="004655C0">
        <w:rPr>
          <w:rFonts w:asciiTheme="majorBidi" w:hAnsiTheme="majorBidi" w:cstheme="majorBidi"/>
          <w:sz w:val="26"/>
          <w:szCs w:val="26"/>
        </w:rPr>
        <w:t>;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 </w:t>
      </w:r>
      <w:r w:rsidR="00267FB1" w:rsidRPr="004655C0">
        <w:rPr>
          <w:rFonts w:asciiTheme="majorBidi" w:hAnsiTheme="majorBidi" w:cstheme="majorBidi"/>
          <w:sz w:val="26"/>
          <w:szCs w:val="26"/>
        </w:rPr>
        <w:t>5</w:t>
      </w:r>
      <w:r w:rsidR="0003065A" w:rsidRPr="004655C0">
        <w:rPr>
          <w:rFonts w:asciiTheme="majorBidi" w:hAnsiTheme="majorBidi" w:cstheme="majorBidi"/>
          <w:sz w:val="26"/>
          <w:szCs w:val="26"/>
        </w:rPr>
        <w:t xml:space="preserve">% in the West Bank and </w:t>
      </w:r>
      <w:r w:rsidRPr="004655C0">
        <w:rPr>
          <w:rFonts w:asciiTheme="majorBidi" w:hAnsiTheme="majorBidi" w:cstheme="majorBidi"/>
          <w:sz w:val="26"/>
          <w:szCs w:val="26"/>
        </w:rPr>
        <w:t>1</w:t>
      </w:r>
      <w:r w:rsidR="0003065A" w:rsidRPr="004655C0">
        <w:rPr>
          <w:rFonts w:asciiTheme="majorBidi" w:hAnsiTheme="majorBidi" w:cstheme="majorBidi"/>
          <w:sz w:val="26"/>
          <w:szCs w:val="26"/>
        </w:rPr>
        <w:t>% in Gaza Strip</w:t>
      </w:r>
      <w:r w:rsidR="001B4EE6">
        <w:rPr>
          <w:rFonts w:asciiTheme="majorBidi" w:hAnsiTheme="majorBidi" w:cstheme="majorBidi" w:hint="cs"/>
          <w:sz w:val="26"/>
          <w:szCs w:val="26"/>
          <w:rtl/>
        </w:rPr>
        <w:t>.</w:t>
      </w:r>
    </w:p>
    <w:sectPr w:rsidR="00C44188" w:rsidRPr="001B4EE6" w:rsidSect="004655C0">
      <w:type w:val="continuous"/>
      <w:pgSz w:w="11906" w:h="16838"/>
      <w:pgMar w:top="1134" w:right="1134" w:bottom="1134" w:left="1134" w:header="142" w:footer="0" w:gutter="0"/>
      <w:pgNumType w:start="1"/>
      <w:cols w:space="99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A7" w:rsidRDefault="00250EA7" w:rsidP="004A4144">
      <w:r>
        <w:separator/>
      </w:r>
    </w:p>
  </w:endnote>
  <w:endnote w:type="continuationSeparator" w:id="0">
    <w:p w:rsidR="00250EA7" w:rsidRDefault="00250EA7" w:rsidP="004A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6A" w:rsidRDefault="00564F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EE6">
      <w:rPr>
        <w:noProof/>
        <w:rtl/>
      </w:rPr>
      <w:t>2</w:t>
    </w:r>
    <w:r>
      <w:rPr>
        <w:noProof/>
      </w:rPr>
      <w:fldChar w:fldCharType="end"/>
    </w:r>
  </w:p>
  <w:p w:rsidR="00564F6A" w:rsidRDefault="00564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6A" w:rsidRDefault="00564F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EE6">
      <w:rPr>
        <w:noProof/>
        <w:rtl/>
      </w:rPr>
      <w:t>1</w:t>
    </w:r>
    <w:r>
      <w:rPr>
        <w:noProof/>
      </w:rPr>
      <w:fldChar w:fldCharType="end"/>
    </w:r>
  </w:p>
  <w:p w:rsidR="00945583" w:rsidRDefault="00945583" w:rsidP="006463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A7" w:rsidRDefault="00250EA7" w:rsidP="004A4144">
      <w:r>
        <w:separator/>
      </w:r>
    </w:p>
  </w:footnote>
  <w:footnote w:type="continuationSeparator" w:id="0">
    <w:p w:rsidR="00250EA7" w:rsidRDefault="00250EA7" w:rsidP="004A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583" w:rsidRPr="001E188C" w:rsidRDefault="001E188C" w:rsidP="001E188C">
    <w:pPr>
      <w:bidi w:val="0"/>
      <w:rPr>
        <w:b/>
        <w:bCs/>
        <w:sz w:val="6"/>
        <w:szCs w:val="6"/>
      </w:rPr>
    </w:pPr>
    <w:r w:rsidRPr="001E188C">
      <w:rPr>
        <w:b/>
        <w:bCs/>
        <w:sz w:val="6"/>
        <w:szCs w:val="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44"/>
    <w:rsid w:val="00000E90"/>
    <w:rsid w:val="00002056"/>
    <w:rsid w:val="000022AA"/>
    <w:rsid w:val="0000253E"/>
    <w:rsid w:val="00007C4B"/>
    <w:rsid w:val="00007C77"/>
    <w:rsid w:val="00013DC1"/>
    <w:rsid w:val="00017709"/>
    <w:rsid w:val="000236D6"/>
    <w:rsid w:val="00023EBF"/>
    <w:rsid w:val="0002546E"/>
    <w:rsid w:val="00027290"/>
    <w:rsid w:val="00030489"/>
    <w:rsid w:val="0003065A"/>
    <w:rsid w:val="00033848"/>
    <w:rsid w:val="00033C24"/>
    <w:rsid w:val="000346C6"/>
    <w:rsid w:val="000402E9"/>
    <w:rsid w:val="00041462"/>
    <w:rsid w:val="000452A4"/>
    <w:rsid w:val="00045ECF"/>
    <w:rsid w:val="00046CD0"/>
    <w:rsid w:val="0005016D"/>
    <w:rsid w:val="000551C7"/>
    <w:rsid w:val="0005630B"/>
    <w:rsid w:val="00062292"/>
    <w:rsid w:val="00063455"/>
    <w:rsid w:val="0006417A"/>
    <w:rsid w:val="00065794"/>
    <w:rsid w:val="00065B76"/>
    <w:rsid w:val="00065DBB"/>
    <w:rsid w:val="00072265"/>
    <w:rsid w:val="00072351"/>
    <w:rsid w:val="00075A4B"/>
    <w:rsid w:val="0007766D"/>
    <w:rsid w:val="0007778F"/>
    <w:rsid w:val="000818BE"/>
    <w:rsid w:val="00084918"/>
    <w:rsid w:val="00087B7F"/>
    <w:rsid w:val="00087D64"/>
    <w:rsid w:val="00091A30"/>
    <w:rsid w:val="00094B37"/>
    <w:rsid w:val="00097F46"/>
    <w:rsid w:val="000A1F38"/>
    <w:rsid w:val="000A2996"/>
    <w:rsid w:val="000A2ED6"/>
    <w:rsid w:val="000A30C3"/>
    <w:rsid w:val="000A30F6"/>
    <w:rsid w:val="000A6162"/>
    <w:rsid w:val="000A6830"/>
    <w:rsid w:val="000B4511"/>
    <w:rsid w:val="000B4F29"/>
    <w:rsid w:val="000B58CD"/>
    <w:rsid w:val="000B621F"/>
    <w:rsid w:val="000B691D"/>
    <w:rsid w:val="000C1932"/>
    <w:rsid w:val="000C3276"/>
    <w:rsid w:val="000C34F3"/>
    <w:rsid w:val="000C7FBC"/>
    <w:rsid w:val="000D595D"/>
    <w:rsid w:val="000D6B0E"/>
    <w:rsid w:val="000D720A"/>
    <w:rsid w:val="000E01F8"/>
    <w:rsid w:val="000E0253"/>
    <w:rsid w:val="000E0D6B"/>
    <w:rsid w:val="000E5260"/>
    <w:rsid w:val="000E70E3"/>
    <w:rsid w:val="000E782E"/>
    <w:rsid w:val="000F0CA7"/>
    <w:rsid w:val="000F122A"/>
    <w:rsid w:val="000F1DAF"/>
    <w:rsid w:val="000F2DA8"/>
    <w:rsid w:val="000F2DAC"/>
    <w:rsid w:val="000F3213"/>
    <w:rsid w:val="0010196C"/>
    <w:rsid w:val="001019BB"/>
    <w:rsid w:val="00102737"/>
    <w:rsid w:val="00102EAC"/>
    <w:rsid w:val="00102F9D"/>
    <w:rsid w:val="00106597"/>
    <w:rsid w:val="001066D0"/>
    <w:rsid w:val="00112478"/>
    <w:rsid w:val="001129CE"/>
    <w:rsid w:val="00112B72"/>
    <w:rsid w:val="00112C19"/>
    <w:rsid w:val="00115F3F"/>
    <w:rsid w:val="00120144"/>
    <w:rsid w:val="00126F9F"/>
    <w:rsid w:val="0013540D"/>
    <w:rsid w:val="00137895"/>
    <w:rsid w:val="0014054C"/>
    <w:rsid w:val="00140B11"/>
    <w:rsid w:val="00142D8A"/>
    <w:rsid w:val="001438E3"/>
    <w:rsid w:val="0014445F"/>
    <w:rsid w:val="001451E6"/>
    <w:rsid w:val="00151A71"/>
    <w:rsid w:val="001544A0"/>
    <w:rsid w:val="0015468E"/>
    <w:rsid w:val="0015470B"/>
    <w:rsid w:val="00160D22"/>
    <w:rsid w:val="001610AE"/>
    <w:rsid w:val="00161BDE"/>
    <w:rsid w:val="00170D97"/>
    <w:rsid w:val="00172475"/>
    <w:rsid w:val="001743A8"/>
    <w:rsid w:val="00175AAA"/>
    <w:rsid w:val="001765CD"/>
    <w:rsid w:val="00177065"/>
    <w:rsid w:val="0018001A"/>
    <w:rsid w:val="00180A6F"/>
    <w:rsid w:val="00183374"/>
    <w:rsid w:val="001850A2"/>
    <w:rsid w:val="00186D25"/>
    <w:rsid w:val="001872DF"/>
    <w:rsid w:val="00192C84"/>
    <w:rsid w:val="001941B3"/>
    <w:rsid w:val="0019444D"/>
    <w:rsid w:val="00195A8E"/>
    <w:rsid w:val="00196676"/>
    <w:rsid w:val="001968C3"/>
    <w:rsid w:val="001A1506"/>
    <w:rsid w:val="001A242A"/>
    <w:rsid w:val="001A37AE"/>
    <w:rsid w:val="001B06A2"/>
    <w:rsid w:val="001B1126"/>
    <w:rsid w:val="001B1DB0"/>
    <w:rsid w:val="001B4EE6"/>
    <w:rsid w:val="001B6343"/>
    <w:rsid w:val="001B6A97"/>
    <w:rsid w:val="001B74D7"/>
    <w:rsid w:val="001C1C71"/>
    <w:rsid w:val="001C3AE2"/>
    <w:rsid w:val="001D3419"/>
    <w:rsid w:val="001D34BF"/>
    <w:rsid w:val="001D35AE"/>
    <w:rsid w:val="001D40C6"/>
    <w:rsid w:val="001D4D03"/>
    <w:rsid w:val="001D4DE6"/>
    <w:rsid w:val="001E0407"/>
    <w:rsid w:val="001E188C"/>
    <w:rsid w:val="001E22FA"/>
    <w:rsid w:val="001E284C"/>
    <w:rsid w:val="001E59DE"/>
    <w:rsid w:val="001E7573"/>
    <w:rsid w:val="001F7D08"/>
    <w:rsid w:val="00203772"/>
    <w:rsid w:val="002041DE"/>
    <w:rsid w:val="00215E32"/>
    <w:rsid w:val="00220082"/>
    <w:rsid w:val="00222735"/>
    <w:rsid w:val="0022305A"/>
    <w:rsid w:val="00226322"/>
    <w:rsid w:val="0022688E"/>
    <w:rsid w:val="0023159B"/>
    <w:rsid w:val="00235524"/>
    <w:rsid w:val="0023720A"/>
    <w:rsid w:val="00241CE9"/>
    <w:rsid w:val="002444B0"/>
    <w:rsid w:val="0024707E"/>
    <w:rsid w:val="00247BC9"/>
    <w:rsid w:val="00250EA7"/>
    <w:rsid w:val="002544C3"/>
    <w:rsid w:val="00264DAF"/>
    <w:rsid w:val="00264E7C"/>
    <w:rsid w:val="00267C77"/>
    <w:rsid w:val="00267FB1"/>
    <w:rsid w:val="0027061F"/>
    <w:rsid w:val="00271108"/>
    <w:rsid w:val="002718B8"/>
    <w:rsid w:val="00272A85"/>
    <w:rsid w:val="00273A4A"/>
    <w:rsid w:val="002747C2"/>
    <w:rsid w:val="00274AAD"/>
    <w:rsid w:val="00274E7C"/>
    <w:rsid w:val="00276965"/>
    <w:rsid w:val="00277394"/>
    <w:rsid w:val="0028245C"/>
    <w:rsid w:val="00283251"/>
    <w:rsid w:val="00283616"/>
    <w:rsid w:val="00285883"/>
    <w:rsid w:val="00285CFF"/>
    <w:rsid w:val="00287504"/>
    <w:rsid w:val="00290550"/>
    <w:rsid w:val="002921CE"/>
    <w:rsid w:val="00294094"/>
    <w:rsid w:val="00295909"/>
    <w:rsid w:val="00297401"/>
    <w:rsid w:val="002A48B9"/>
    <w:rsid w:val="002A4DDF"/>
    <w:rsid w:val="002A5387"/>
    <w:rsid w:val="002A57D0"/>
    <w:rsid w:val="002A74C1"/>
    <w:rsid w:val="002B1BBE"/>
    <w:rsid w:val="002B1E46"/>
    <w:rsid w:val="002B3129"/>
    <w:rsid w:val="002B3ADD"/>
    <w:rsid w:val="002B54E9"/>
    <w:rsid w:val="002B66B6"/>
    <w:rsid w:val="002C1250"/>
    <w:rsid w:val="002C22FF"/>
    <w:rsid w:val="002C2D10"/>
    <w:rsid w:val="002C3AED"/>
    <w:rsid w:val="002C3FED"/>
    <w:rsid w:val="002C5E1A"/>
    <w:rsid w:val="002C7A1B"/>
    <w:rsid w:val="002C7A89"/>
    <w:rsid w:val="002D17B7"/>
    <w:rsid w:val="002D1F20"/>
    <w:rsid w:val="002D2419"/>
    <w:rsid w:val="002D378E"/>
    <w:rsid w:val="002D79F5"/>
    <w:rsid w:val="002E2CCC"/>
    <w:rsid w:val="002E2EAC"/>
    <w:rsid w:val="002E4C0C"/>
    <w:rsid w:val="002E4C2F"/>
    <w:rsid w:val="002E54C0"/>
    <w:rsid w:val="002E5E64"/>
    <w:rsid w:val="002E7329"/>
    <w:rsid w:val="002E787C"/>
    <w:rsid w:val="002F029F"/>
    <w:rsid w:val="00300F4A"/>
    <w:rsid w:val="00303AFE"/>
    <w:rsid w:val="0030642E"/>
    <w:rsid w:val="00306669"/>
    <w:rsid w:val="003071FF"/>
    <w:rsid w:val="00307C86"/>
    <w:rsid w:val="003103B0"/>
    <w:rsid w:val="0031169C"/>
    <w:rsid w:val="003117D9"/>
    <w:rsid w:val="00311D20"/>
    <w:rsid w:val="00312A21"/>
    <w:rsid w:val="00314CB9"/>
    <w:rsid w:val="003229F9"/>
    <w:rsid w:val="00322B76"/>
    <w:rsid w:val="0032434B"/>
    <w:rsid w:val="00324B10"/>
    <w:rsid w:val="00326C7F"/>
    <w:rsid w:val="00333B75"/>
    <w:rsid w:val="00334D47"/>
    <w:rsid w:val="00337E1F"/>
    <w:rsid w:val="00342086"/>
    <w:rsid w:val="00343C40"/>
    <w:rsid w:val="00346995"/>
    <w:rsid w:val="00347C81"/>
    <w:rsid w:val="003541FE"/>
    <w:rsid w:val="0035671A"/>
    <w:rsid w:val="00357807"/>
    <w:rsid w:val="003618B2"/>
    <w:rsid w:val="0036385B"/>
    <w:rsid w:val="0037052D"/>
    <w:rsid w:val="00370A97"/>
    <w:rsid w:val="00373724"/>
    <w:rsid w:val="00377009"/>
    <w:rsid w:val="00380F7F"/>
    <w:rsid w:val="0038146D"/>
    <w:rsid w:val="00384DFA"/>
    <w:rsid w:val="00385E71"/>
    <w:rsid w:val="003870C5"/>
    <w:rsid w:val="00394D45"/>
    <w:rsid w:val="003A1420"/>
    <w:rsid w:val="003A36F4"/>
    <w:rsid w:val="003A635C"/>
    <w:rsid w:val="003A6DA8"/>
    <w:rsid w:val="003B2A9D"/>
    <w:rsid w:val="003B74AF"/>
    <w:rsid w:val="003C4630"/>
    <w:rsid w:val="003C4B15"/>
    <w:rsid w:val="003D1AE7"/>
    <w:rsid w:val="003D450D"/>
    <w:rsid w:val="003D6D35"/>
    <w:rsid w:val="003E0D9E"/>
    <w:rsid w:val="003E0F51"/>
    <w:rsid w:val="003E0F5E"/>
    <w:rsid w:val="003E3128"/>
    <w:rsid w:val="003E3FC6"/>
    <w:rsid w:val="003E401C"/>
    <w:rsid w:val="003E58AC"/>
    <w:rsid w:val="003F5AC8"/>
    <w:rsid w:val="003F5B4B"/>
    <w:rsid w:val="003F6566"/>
    <w:rsid w:val="003F7718"/>
    <w:rsid w:val="003F799B"/>
    <w:rsid w:val="00400852"/>
    <w:rsid w:val="00400A29"/>
    <w:rsid w:val="00401850"/>
    <w:rsid w:val="00401DAC"/>
    <w:rsid w:val="00404E66"/>
    <w:rsid w:val="00406A07"/>
    <w:rsid w:val="00407304"/>
    <w:rsid w:val="00407D8C"/>
    <w:rsid w:val="004101F8"/>
    <w:rsid w:val="004109C7"/>
    <w:rsid w:val="004112FE"/>
    <w:rsid w:val="00411D88"/>
    <w:rsid w:val="004120E4"/>
    <w:rsid w:val="004125E6"/>
    <w:rsid w:val="004149F8"/>
    <w:rsid w:val="00415357"/>
    <w:rsid w:val="00415488"/>
    <w:rsid w:val="00421430"/>
    <w:rsid w:val="00421A30"/>
    <w:rsid w:val="00421E45"/>
    <w:rsid w:val="00422F1B"/>
    <w:rsid w:val="00422FB4"/>
    <w:rsid w:val="004262E9"/>
    <w:rsid w:val="0042799A"/>
    <w:rsid w:val="0043060B"/>
    <w:rsid w:val="00431BA4"/>
    <w:rsid w:val="00436DF5"/>
    <w:rsid w:val="00444E44"/>
    <w:rsid w:val="00445A4E"/>
    <w:rsid w:val="00452A1C"/>
    <w:rsid w:val="0045557E"/>
    <w:rsid w:val="00460E61"/>
    <w:rsid w:val="0046218B"/>
    <w:rsid w:val="004648C0"/>
    <w:rsid w:val="004655C0"/>
    <w:rsid w:val="00465F4A"/>
    <w:rsid w:val="004668D3"/>
    <w:rsid w:val="00467B89"/>
    <w:rsid w:val="004713B9"/>
    <w:rsid w:val="0047233D"/>
    <w:rsid w:val="00472A09"/>
    <w:rsid w:val="00474B82"/>
    <w:rsid w:val="00474FA0"/>
    <w:rsid w:val="004756E4"/>
    <w:rsid w:val="00477019"/>
    <w:rsid w:val="00477904"/>
    <w:rsid w:val="00480935"/>
    <w:rsid w:val="00482C3F"/>
    <w:rsid w:val="00483032"/>
    <w:rsid w:val="0048366F"/>
    <w:rsid w:val="00484549"/>
    <w:rsid w:val="00484E2C"/>
    <w:rsid w:val="00485AD5"/>
    <w:rsid w:val="00486147"/>
    <w:rsid w:val="00486ED3"/>
    <w:rsid w:val="00487B0A"/>
    <w:rsid w:val="00490035"/>
    <w:rsid w:val="004900B7"/>
    <w:rsid w:val="00493DBB"/>
    <w:rsid w:val="00496836"/>
    <w:rsid w:val="00497ADF"/>
    <w:rsid w:val="004A0328"/>
    <w:rsid w:val="004A060C"/>
    <w:rsid w:val="004A0769"/>
    <w:rsid w:val="004A0DFA"/>
    <w:rsid w:val="004A4144"/>
    <w:rsid w:val="004A4882"/>
    <w:rsid w:val="004A7348"/>
    <w:rsid w:val="004B4168"/>
    <w:rsid w:val="004C481C"/>
    <w:rsid w:val="004C49FF"/>
    <w:rsid w:val="004C5F98"/>
    <w:rsid w:val="004C7EE0"/>
    <w:rsid w:val="004D0E3E"/>
    <w:rsid w:val="004D1590"/>
    <w:rsid w:val="004D1ED0"/>
    <w:rsid w:val="004D28FA"/>
    <w:rsid w:val="004D51E0"/>
    <w:rsid w:val="004E0DE9"/>
    <w:rsid w:val="004E2297"/>
    <w:rsid w:val="004E39F3"/>
    <w:rsid w:val="004E46F5"/>
    <w:rsid w:val="004E6171"/>
    <w:rsid w:val="004E6944"/>
    <w:rsid w:val="004F02FB"/>
    <w:rsid w:val="004F1785"/>
    <w:rsid w:val="004F3E2E"/>
    <w:rsid w:val="004F47D1"/>
    <w:rsid w:val="004F5E44"/>
    <w:rsid w:val="004F653C"/>
    <w:rsid w:val="004F6ABB"/>
    <w:rsid w:val="004F741B"/>
    <w:rsid w:val="00500A92"/>
    <w:rsid w:val="00502906"/>
    <w:rsid w:val="0050468D"/>
    <w:rsid w:val="00506764"/>
    <w:rsid w:val="005139E9"/>
    <w:rsid w:val="0051504B"/>
    <w:rsid w:val="005207F7"/>
    <w:rsid w:val="00521339"/>
    <w:rsid w:val="005229E1"/>
    <w:rsid w:val="00524C28"/>
    <w:rsid w:val="00526D6B"/>
    <w:rsid w:val="00527454"/>
    <w:rsid w:val="00531C06"/>
    <w:rsid w:val="005357FC"/>
    <w:rsid w:val="00535FC5"/>
    <w:rsid w:val="0053637A"/>
    <w:rsid w:val="005435FA"/>
    <w:rsid w:val="005440DD"/>
    <w:rsid w:val="00545426"/>
    <w:rsid w:val="0055525B"/>
    <w:rsid w:val="005559C2"/>
    <w:rsid w:val="00556DD8"/>
    <w:rsid w:val="00560B22"/>
    <w:rsid w:val="00560C3B"/>
    <w:rsid w:val="00561068"/>
    <w:rsid w:val="00562EE2"/>
    <w:rsid w:val="00563D31"/>
    <w:rsid w:val="00564F6A"/>
    <w:rsid w:val="0057567C"/>
    <w:rsid w:val="00576C85"/>
    <w:rsid w:val="00577306"/>
    <w:rsid w:val="00577B7C"/>
    <w:rsid w:val="005800B9"/>
    <w:rsid w:val="00581BEE"/>
    <w:rsid w:val="00586431"/>
    <w:rsid w:val="00586C6C"/>
    <w:rsid w:val="00587957"/>
    <w:rsid w:val="0059044D"/>
    <w:rsid w:val="00590AD9"/>
    <w:rsid w:val="00590BFA"/>
    <w:rsid w:val="0059302D"/>
    <w:rsid w:val="00594E6C"/>
    <w:rsid w:val="005953FD"/>
    <w:rsid w:val="00596C1F"/>
    <w:rsid w:val="005A03AF"/>
    <w:rsid w:val="005A057E"/>
    <w:rsid w:val="005A137E"/>
    <w:rsid w:val="005A33D8"/>
    <w:rsid w:val="005A4350"/>
    <w:rsid w:val="005A44BA"/>
    <w:rsid w:val="005A58B7"/>
    <w:rsid w:val="005A73FF"/>
    <w:rsid w:val="005B08B9"/>
    <w:rsid w:val="005B1430"/>
    <w:rsid w:val="005B5706"/>
    <w:rsid w:val="005B78F1"/>
    <w:rsid w:val="005C1318"/>
    <w:rsid w:val="005C48B7"/>
    <w:rsid w:val="005C51EC"/>
    <w:rsid w:val="005C54D4"/>
    <w:rsid w:val="005C7A05"/>
    <w:rsid w:val="005D2D60"/>
    <w:rsid w:val="005D3C41"/>
    <w:rsid w:val="005D4ECE"/>
    <w:rsid w:val="005D52E0"/>
    <w:rsid w:val="005D7D8B"/>
    <w:rsid w:val="005E3943"/>
    <w:rsid w:val="005E636E"/>
    <w:rsid w:val="005E6B32"/>
    <w:rsid w:val="005E77D4"/>
    <w:rsid w:val="005F07EB"/>
    <w:rsid w:val="005F1FDF"/>
    <w:rsid w:val="005F2269"/>
    <w:rsid w:val="005F4FDE"/>
    <w:rsid w:val="005F5263"/>
    <w:rsid w:val="005F7DA9"/>
    <w:rsid w:val="00600E13"/>
    <w:rsid w:val="00604AF8"/>
    <w:rsid w:val="00604B49"/>
    <w:rsid w:val="006074BB"/>
    <w:rsid w:val="00607B9B"/>
    <w:rsid w:val="00612607"/>
    <w:rsid w:val="00613363"/>
    <w:rsid w:val="0061410C"/>
    <w:rsid w:val="0061637D"/>
    <w:rsid w:val="006169FF"/>
    <w:rsid w:val="006214DD"/>
    <w:rsid w:val="00625958"/>
    <w:rsid w:val="00627FEC"/>
    <w:rsid w:val="00630464"/>
    <w:rsid w:val="0064085B"/>
    <w:rsid w:val="006437E2"/>
    <w:rsid w:val="00646389"/>
    <w:rsid w:val="00646C62"/>
    <w:rsid w:val="00651972"/>
    <w:rsid w:val="00656776"/>
    <w:rsid w:val="00660333"/>
    <w:rsid w:val="00660722"/>
    <w:rsid w:val="006619DF"/>
    <w:rsid w:val="00664023"/>
    <w:rsid w:val="00664EDA"/>
    <w:rsid w:val="00673336"/>
    <w:rsid w:val="00675236"/>
    <w:rsid w:val="00677274"/>
    <w:rsid w:val="00677948"/>
    <w:rsid w:val="00677DC4"/>
    <w:rsid w:val="00681803"/>
    <w:rsid w:val="00681CF3"/>
    <w:rsid w:val="00682182"/>
    <w:rsid w:val="00683810"/>
    <w:rsid w:val="0068776A"/>
    <w:rsid w:val="006877F5"/>
    <w:rsid w:val="006927E4"/>
    <w:rsid w:val="00692DE1"/>
    <w:rsid w:val="0069448A"/>
    <w:rsid w:val="006955F0"/>
    <w:rsid w:val="006965C9"/>
    <w:rsid w:val="00696BA4"/>
    <w:rsid w:val="0069732B"/>
    <w:rsid w:val="006A0C31"/>
    <w:rsid w:val="006A2393"/>
    <w:rsid w:val="006A3405"/>
    <w:rsid w:val="006A4838"/>
    <w:rsid w:val="006A69BD"/>
    <w:rsid w:val="006B1EA2"/>
    <w:rsid w:val="006B406A"/>
    <w:rsid w:val="006B75D9"/>
    <w:rsid w:val="006C09A3"/>
    <w:rsid w:val="006C13E1"/>
    <w:rsid w:val="006C1DC4"/>
    <w:rsid w:val="006C2E45"/>
    <w:rsid w:val="006C54A1"/>
    <w:rsid w:val="006C5D90"/>
    <w:rsid w:val="006C6AAA"/>
    <w:rsid w:val="006D1653"/>
    <w:rsid w:val="006D1805"/>
    <w:rsid w:val="006D2113"/>
    <w:rsid w:val="006D2162"/>
    <w:rsid w:val="006D2FFF"/>
    <w:rsid w:val="006D3C3D"/>
    <w:rsid w:val="006E385A"/>
    <w:rsid w:val="006E3D37"/>
    <w:rsid w:val="006E4C45"/>
    <w:rsid w:val="006E7949"/>
    <w:rsid w:val="006F0BE5"/>
    <w:rsid w:val="006F2016"/>
    <w:rsid w:val="006F3B03"/>
    <w:rsid w:val="006F7F41"/>
    <w:rsid w:val="007009DB"/>
    <w:rsid w:val="00701DAD"/>
    <w:rsid w:val="007023DB"/>
    <w:rsid w:val="0070295C"/>
    <w:rsid w:val="00703457"/>
    <w:rsid w:val="007053A4"/>
    <w:rsid w:val="00707529"/>
    <w:rsid w:val="00710499"/>
    <w:rsid w:val="00712171"/>
    <w:rsid w:val="00712221"/>
    <w:rsid w:val="00715757"/>
    <w:rsid w:val="007172A3"/>
    <w:rsid w:val="00722021"/>
    <w:rsid w:val="0072310C"/>
    <w:rsid w:val="0072364E"/>
    <w:rsid w:val="007302A9"/>
    <w:rsid w:val="007306EF"/>
    <w:rsid w:val="00731593"/>
    <w:rsid w:val="00734B31"/>
    <w:rsid w:val="00734E1D"/>
    <w:rsid w:val="007373DA"/>
    <w:rsid w:val="00740FE9"/>
    <w:rsid w:val="007417FF"/>
    <w:rsid w:val="00744B03"/>
    <w:rsid w:val="0074536B"/>
    <w:rsid w:val="00745F47"/>
    <w:rsid w:val="00746680"/>
    <w:rsid w:val="00747C32"/>
    <w:rsid w:val="00751E9E"/>
    <w:rsid w:val="007619A9"/>
    <w:rsid w:val="0076578E"/>
    <w:rsid w:val="00767A7D"/>
    <w:rsid w:val="00773BE5"/>
    <w:rsid w:val="0077550B"/>
    <w:rsid w:val="00775EF2"/>
    <w:rsid w:val="00780E66"/>
    <w:rsid w:val="00782404"/>
    <w:rsid w:val="00782817"/>
    <w:rsid w:val="00783339"/>
    <w:rsid w:val="00783E56"/>
    <w:rsid w:val="00783FAE"/>
    <w:rsid w:val="0078481F"/>
    <w:rsid w:val="007859AA"/>
    <w:rsid w:val="007863FB"/>
    <w:rsid w:val="00786BC0"/>
    <w:rsid w:val="007870A2"/>
    <w:rsid w:val="00791B31"/>
    <w:rsid w:val="00793156"/>
    <w:rsid w:val="007A2B1A"/>
    <w:rsid w:val="007A47CA"/>
    <w:rsid w:val="007B0C91"/>
    <w:rsid w:val="007B21FA"/>
    <w:rsid w:val="007B2238"/>
    <w:rsid w:val="007B28F8"/>
    <w:rsid w:val="007B56C0"/>
    <w:rsid w:val="007B62A7"/>
    <w:rsid w:val="007B6BD2"/>
    <w:rsid w:val="007B7E54"/>
    <w:rsid w:val="007C0333"/>
    <w:rsid w:val="007C5844"/>
    <w:rsid w:val="007C6D84"/>
    <w:rsid w:val="007C72F1"/>
    <w:rsid w:val="007D15A0"/>
    <w:rsid w:val="007D6D78"/>
    <w:rsid w:val="007E2A08"/>
    <w:rsid w:val="007E7468"/>
    <w:rsid w:val="007F071F"/>
    <w:rsid w:val="007F548A"/>
    <w:rsid w:val="007F7795"/>
    <w:rsid w:val="00800C69"/>
    <w:rsid w:val="008010F8"/>
    <w:rsid w:val="008072F2"/>
    <w:rsid w:val="00814C44"/>
    <w:rsid w:val="0081689B"/>
    <w:rsid w:val="00816BF0"/>
    <w:rsid w:val="008208E8"/>
    <w:rsid w:val="00821288"/>
    <w:rsid w:val="00822911"/>
    <w:rsid w:val="008311C7"/>
    <w:rsid w:val="008325AA"/>
    <w:rsid w:val="00841F57"/>
    <w:rsid w:val="00842255"/>
    <w:rsid w:val="008423C2"/>
    <w:rsid w:val="0084396C"/>
    <w:rsid w:val="00843A81"/>
    <w:rsid w:val="008457C9"/>
    <w:rsid w:val="00846747"/>
    <w:rsid w:val="0085144E"/>
    <w:rsid w:val="00852D76"/>
    <w:rsid w:val="008561C7"/>
    <w:rsid w:val="00856932"/>
    <w:rsid w:val="00857338"/>
    <w:rsid w:val="00863340"/>
    <w:rsid w:val="00872874"/>
    <w:rsid w:val="00875C28"/>
    <w:rsid w:val="00875E61"/>
    <w:rsid w:val="008822EA"/>
    <w:rsid w:val="008834B1"/>
    <w:rsid w:val="00883547"/>
    <w:rsid w:val="008854CD"/>
    <w:rsid w:val="0088664A"/>
    <w:rsid w:val="00887A45"/>
    <w:rsid w:val="00891A9D"/>
    <w:rsid w:val="008924F3"/>
    <w:rsid w:val="008963D9"/>
    <w:rsid w:val="008A128E"/>
    <w:rsid w:val="008A2E37"/>
    <w:rsid w:val="008A50F2"/>
    <w:rsid w:val="008A66FF"/>
    <w:rsid w:val="008A6777"/>
    <w:rsid w:val="008A69BB"/>
    <w:rsid w:val="008B031F"/>
    <w:rsid w:val="008B2647"/>
    <w:rsid w:val="008B3AA4"/>
    <w:rsid w:val="008B3FDB"/>
    <w:rsid w:val="008B63C3"/>
    <w:rsid w:val="008B6D16"/>
    <w:rsid w:val="008B713B"/>
    <w:rsid w:val="008C0F67"/>
    <w:rsid w:val="008C1858"/>
    <w:rsid w:val="008C4865"/>
    <w:rsid w:val="008C4E89"/>
    <w:rsid w:val="008C70B0"/>
    <w:rsid w:val="008D1C56"/>
    <w:rsid w:val="008D5AAE"/>
    <w:rsid w:val="008E7DE3"/>
    <w:rsid w:val="008F152E"/>
    <w:rsid w:val="008F2BA1"/>
    <w:rsid w:val="008F2CC0"/>
    <w:rsid w:val="008F2D51"/>
    <w:rsid w:val="008F37DC"/>
    <w:rsid w:val="008F3D62"/>
    <w:rsid w:val="008F5980"/>
    <w:rsid w:val="009008B2"/>
    <w:rsid w:val="00900AF9"/>
    <w:rsid w:val="009032CA"/>
    <w:rsid w:val="0090334C"/>
    <w:rsid w:val="0090350C"/>
    <w:rsid w:val="00907B5D"/>
    <w:rsid w:val="009105F0"/>
    <w:rsid w:val="00911DD5"/>
    <w:rsid w:val="00913895"/>
    <w:rsid w:val="0091638A"/>
    <w:rsid w:val="0092619A"/>
    <w:rsid w:val="00927966"/>
    <w:rsid w:val="0093041A"/>
    <w:rsid w:val="009348D7"/>
    <w:rsid w:val="0093514A"/>
    <w:rsid w:val="0093593F"/>
    <w:rsid w:val="009359B6"/>
    <w:rsid w:val="00936759"/>
    <w:rsid w:val="009420D1"/>
    <w:rsid w:val="009433BA"/>
    <w:rsid w:val="00945583"/>
    <w:rsid w:val="00945A9A"/>
    <w:rsid w:val="00947965"/>
    <w:rsid w:val="0095068E"/>
    <w:rsid w:val="00951C55"/>
    <w:rsid w:val="00951F24"/>
    <w:rsid w:val="00954ACD"/>
    <w:rsid w:val="00960039"/>
    <w:rsid w:val="00962EEE"/>
    <w:rsid w:val="00964970"/>
    <w:rsid w:val="00964B4F"/>
    <w:rsid w:val="00965CD3"/>
    <w:rsid w:val="00977470"/>
    <w:rsid w:val="009800C4"/>
    <w:rsid w:val="00981B4D"/>
    <w:rsid w:val="0098429B"/>
    <w:rsid w:val="009858B4"/>
    <w:rsid w:val="00987118"/>
    <w:rsid w:val="00987EE9"/>
    <w:rsid w:val="00990E69"/>
    <w:rsid w:val="00991031"/>
    <w:rsid w:val="00994353"/>
    <w:rsid w:val="00994C08"/>
    <w:rsid w:val="00996787"/>
    <w:rsid w:val="00996A56"/>
    <w:rsid w:val="009A0530"/>
    <w:rsid w:val="009A1B8E"/>
    <w:rsid w:val="009A2169"/>
    <w:rsid w:val="009A3F8E"/>
    <w:rsid w:val="009B18B9"/>
    <w:rsid w:val="009B4FCC"/>
    <w:rsid w:val="009B6CB5"/>
    <w:rsid w:val="009B7304"/>
    <w:rsid w:val="009C17E1"/>
    <w:rsid w:val="009C35FA"/>
    <w:rsid w:val="009C55F1"/>
    <w:rsid w:val="009D0967"/>
    <w:rsid w:val="009D2E84"/>
    <w:rsid w:val="009D3395"/>
    <w:rsid w:val="009D5736"/>
    <w:rsid w:val="009E07DE"/>
    <w:rsid w:val="009E0C1C"/>
    <w:rsid w:val="009E3C24"/>
    <w:rsid w:val="009E4F4A"/>
    <w:rsid w:val="009E7198"/>
    <w:rsid w:val="009F2A79"/>
    <w:rsid w:val="009F7795"/>
    <w:rsid w:val="00A01FF2"/>
    <w:rsid w:val="00A044F1"/>
    <w:rsid w:val="00A0676B"/>
    <w:rsid w:val="00A1211C"/>
    <w:rsid w:val="00A15961"/>
    <w:rsid w:val="00A17F8D"/>
    <w:rsid w:val="00A2009A"/>
    <w:rsid w:val="00A20D7E"/>
    <w:rsid w:val="00A22E9E"/>
    <w:rsid w:val="00A27103"/>
    <w:rsid w:val="00A327A6"/>
    <w:rsid w:val="00A32A92"/>
    <w:rsid w:val="00A33D9D"/>
    <w:rsid w:val="00A3616A"/>
    <w:rsid w:val="00A40EC9"/>
    <w:rsid w:val="00A420F6"/>
    <w:rsid w:val="00A42959"/>
    <w:rsid w:val="00A42ECC"/>
    <w:rsid w:val="00A47BD4"/>
    <w:rsid w:val="00A513A2"/>
    <w:rsid w:val="00A530A0"/>
    <w:rsid w:val="00A54C1D"/>
    <w:rsid w:val="00A56754"/>
    <w:rsid w:val="00A57CF5"/>
    <w:rsid w:val="00A62570"/>
    <w:rsid w:val="00A65712"/>
    <w:rsid w:val="00A664DA"/>
    <w:rsid w:val="00A72DE9"/>
    <w:rsid w:val="00A74F49"/>
    <w:rsid w:val="00A7771C"/>
    <w:rsid w:val="00A822A7"/>
    <w:rsid w:val="00A824C9"/>
    <w:rsid w:val="00A84054"/>
    <w:rsid w:val="00A876B1"/>
    <w:rsid w:val="00A90DF3"/>
    <w:rsid w:val="00A92181"/>
    <w:rsid w:val="00A94825"/>
    <w:rsid w:val="00A948DD"/>
    <w:rsid w:val="00A95333"/>
    <w:rsid w:val="00A96902"/>
    <w:rsid w:val="00AA069F"/>
    <w:rsid w:val="00AA16CE"/>
    <w:rsid w:val="00AA1CFC"/>
    <w:rsid w:val="00AA2697"/>
    <w:rsid w:val="00AA3435"/>
    <w:rsid w:val="00AA6432"/>
    <w:rsid w:val="00AA64BC"/>
    <w:rsid w:val="00AA661C"/>
    <w:rsid w:val="00AA7FA8"/>
    <w:rsid w:val="00AB1807"/>
    <w:rsid w:val="00AB486E"/>
    <w:rsid w:val="00AB5F7A"/>
    <w:rsid w:val="00AC30B6"/>
    <w:rsid w:val="00AC33BE"/>
    <w:rsid w:val="00AC3BBC"/>
    <w:rsid w:val="00AC52C0"/>
    <w:rsid w:val="00AC7321"/>
    <w:rsid w:val="00AC7AAB"/>
    <w:rsid w:val="00AD06AE"/>
    <w:rsid w:val="00AD0C07"/>
    <w:rsid w:val="00AD1D85"/>
    <w:rsid w:val="00AD2B3A"/>
    <w:rsid w:val="00AD61CC"/>
    <w:rsid w:val="00AD6A9B"/>
    <w:rsid w:val="00AE03CA"/>
    <w:rsid w:val="00AE5BBF"/>
    <w:rsid w:val="00AF25A1"/>
    <w:rsid w:val="00AF338A"/>
    <w:rsid w:val="00AF378B"/>
    <w:rsid w:val="00AF61C4"/>
    <w:rsid w:val="00B00093"/>
    <w:rsid w:val="00B00CBF"/>
    <w:rsid w:val="00B05F37"/>
    <w:rsid w:val="00B06DE3"/>
    <w:rsid w:val="00B10800"/>
    <w:rsid w:val="00B15345"/>
    <w:rsid w:val="00B2583A"/>
    <w:rsid w:val="00B2634A"/>
    <w:rsid w:val="00B33948"/>
    <w:rsid w:val="00B3586C"/>
    <w:rsid w:val="00B3751A"/>
    <w:rsid w:val="00B37936"/>
    <w:rsid w:val="00B42B7D"/>
    <w:rsid w:val="00B45C6D"/>
    <w:rsid w:val="00B46CFA"/>
    <w:rsid w:val="00B52501"/>
    <w:rsid w:val="00B544DF"/>
    <w:rsid w:val="00B56811"/>
    <w:rsid w:val="00B57D56"/>
    <w:rsid w:val="00B57EB8"/>
    <w:rsid w:val="00B62F44"/>
    <w:rsid w:val="00B63D5F"/>
    <w:rsid w:val="00B666E0"/>
    <w:rsid w:val="00B66D51"/>
    <w:rsid w:val="00B703FF"/>
    <w:rsid w:val="00B71A90"/>
    <w:rsid w:val="00B73679"/>
    <w:rsid w:val="00B7375D"/>
    <w:rsid w:val="00B74A73"/>
    <w:rsid w:val="00B76802"/>
    <w:rsid w:val="00B80FE3"/>
    <w:rsid w:val="00B83C9A"/>
    <w:rsid w:val="00B8456F"/>
    <w:rsid w:val="00B852BD"/>
    <w:rsid w:val="00B86FAF"/>
    <w:rsid w:val="00B91C92"/>
    <w:rsid w:val="00B921FA"/>
    <w:rsid w:val="00B923B5"/>
    <w:rsid w:val="00B927C5"/>
    <w:rsid w:val="00B93012"/>
    <w:rsid w:val="00B9330A"/>
    <w:rsid w:val="00B9487A"/>
    <w:rsid w:val="00B95CC9"/>
    <w:rsid w:val="00B966E3"/>
    <w:rsid w:val="00BA10DA"/>
    <w:rsid w:val="00BA4510"/>
    <w:rsid w:val="00BB351C"/>
    <w:rsid w:val="00BB64AA"/>
    <w:rsid w:val="00BC6D5D"/>
    <w:rsid w:val="00BC7718"/>
    <w:rsid w:val="00BC7BB2"/>
    <w:rsid w:val="00BD46CE"/>
    <w:rsid w:val="00BD529A"/>
    <w:rsid w:val="00BD7408"/>
    <w:rsid w:val="00BE370F"/>
    <w:rsid w:val="00BE4CD0"/>
    <w:rsid w:val="00BE5BAB"/>
    <w:rsid w:val="00BE5E95"/>
    <w:rsid w:val="00BF0C6A"/>
    <w:rsid w:val="00C00FA5"/>
    <w:rsid w:val="00C0344C"/>
    <w:rsid w:val="00C043E5"/>
    <w:rsid w:val="00C07695"/>
    <w:rsid w:val="00C0776D"/>
    <w:rsid w:val="00C07BE9"/>
    <w:rsid w:val="00C15429"/>
    <w:rsid w:val="00C157E1"/>
    <w:rsid w:val="00C15C34"/>
    <w:rsid w:val="00C20430"/>
    <w:rsid w:val="00C22407"/>
    <w:rsid w:val="00C227F5"/>
    <w:rsid w:val="00C23BFD"/>
    <w:rsid w:val="00C23CC8"/>
    <w:rsid w:val="00C25243"/>
    <w:rsid w:val="00C2666B"/>
    <w:rsid w:val="00C3466E"/>
    <w:rsid w:val="00C405E3"/>
    <w:rsid w:val="00C41DF8"/>
    <w:rsid w:val="00C43CA1"/>
    <w:rsid w:val="00C44188"/>
    <w:rsid w:val="00C4720C"/>
    <w:rsid w:val="00C50DD4"/>
    <w:rsid w:val="00C51F42"/>
    <w:rsid w:val="00C56939"/>
    <w:rsid w:val="00C56C6F"/>
    <w:rsid w:val="00C5788A"/>
    <w:rsid w:val="00C6520B"/>
    <w:rsid w:val="00C664EB"/>
    <w:rsid w:val="00C66C4A"/>
    <w:rsid w:val="00C67965"/>
    <w:rsid w:val="00C70A14"/>
    <w:rsid w:val="00C72D6F"/>
    <w:rsid w:val="00C77203"/>
    <w:rsid w:val="00C775C6"/>
    <w:rsid w:val="00C90072"/>
    <w:rsid w:val="00C9075B"/>
    <w:rsid w:val="00C91A70"/>
    <w:rsid w:val="00C9416D"/>
    <w:rsid w:val="00C94760"/>
    <w:rsid w:val="00C94FC1"/>
    <w:rsid w:val="00C97B3E"/>
    <w:rsid w:val="00CA1AC4"/>
    <w:rsid w:val="00CA474D"/>
    <w:rsid w:val="00CA6B34"/>
    <w:rsid w:val="00CA6BC4"/>
    <w:rsid w:val="00CB2F96"/>
    <w:rsid w:val="00CB45B3"/>
    <w:rsid w:val="00CB5100"/>
    <w:rsid w:val="00CB5A61"/>
    <w:rsid w:val="00CB5AEE"/>
    <w:rsid w:val="00CB67E0"/>
    <w:rsid w:val="00CB6995"/>
    <w:rsid w:val="00CC4816"/>
    <w:rsid w:val="00CC4FE6"/>
    <w:rsid w:val="00CC69F4"/>
    <w:rsid w:val="00CD0CE7"/>
    <w:rsid w:val="00CD2A75"/>
    <w:rsid w:val="00CD2D37"/>
    <w:rsid w:val="00CD47AC"/>
    <w:rsid w:val="00CD6382"/>
    <w:rsid w:val="00CE039D"/>
    <w:rsid w:val="00CE1194"/>
    <w:rsid w:val="00CE18DC"/>
    <w:rsid w:val="00CE3517"/>
    <w:rsid w:val="00CE55DD"/>
    <w:rsid w:val="00CF275D"/>
    <w:rsid w:val="00CF3727"/>
    <w:rsid w:val="00CF47F6"/>
    <w:rsid w:val="00CF6BF2"/>
    <w:rsid w:val="00D01EAF"/>
    <w:rsid w:val="00D0338B"/>
    <w:rsid w:val="00D04983"/>
    <w:rsid w:val="00D06C74"/>
    <w:rsid w:val="00D076B6"/>
    <w:rsid w:val="00D105F6"/>
    <w:rsid w:val="00D10AB9"/>
    <w:rsid w:val="00D11800"/>
    <w:rsid w:val="00D12F6C"/>
    <w:rsid w:val="00D15855"/>
    <w:rsid w:val="00D16B9A"/>
    <w:rsid w:val="00D20143"/>
    <w:rsid w:val="00D2174A"/>
    <w:rsid w:val="00D217DC"/>
    <w:rsid w:val="00D225B0"/>
    <w:rsid w:val="00D273B2"/>
    <w:rsid w:val="00D27DA9"/>
    <w:rsid w:val="00D344A6"/>
    <w:rsid w:val="00D35BD2"/>
    <w:rsid w:val="00D403F3"/>
    <w:rsid w:val="00D42744"/>
    <w:rsid w:val="00D45677"/>
    <w:rsid w:val="00D464B1"/>
    <w:rsid w:val="00D46588"/>
    <w:rsid w:val="00D53F51"/>
    <w:rsid w:val="00D57D2E"/>
    <w:rsid w:val="00D60812"/>
    <w:rsid w:val="00D60897"/>
    <w:rsid w:val="00D61142"/>
    <w:rsid w:val="00D639E9"/>
    <w:rsid w:val="00D66190"/>
    <w:rsid w:val="00D67F68"/>
    <w:rsid w:val="00D72FFE"/>
    <w:rsid w:val="00D734B4"/>
    <w:rsid w:val="00D76638"/>
    <w:rsid w:val="00D811D5"/>
    <w:rsid w:val="00D82DF0"/>
    <w:rsid w:val="00D84E7F"/>
    <w:rsid w:val="00D861B6"/>
    <w:rsid w:val="00D8663E"/>
    <w:rsid w:val="00D93513"/>
    <w:rsid w:val="00D942FA"/>
    <w:rsid w:val="00D9465E"/>
    <w:rsid w:val="00D946E2"/>
    <w:rsid w:val="00D948EF"/>
    <w:rsid w:val="00D97232"/>
    <w:rsid w:val="00DA2806"/>
    <w:rsid w:val="00DA3542"/>
    <w:rsid w:val="00DA38AE"/>
    <w:rsid w:val="00DB0AE9"/>
    <w:rsid w:val="00DB18AF"/>
    <w:rsid w:val="00DB6472"/>
    <w:rsid w:val="00DC53D1"/>
    <w:rsid w:val="00DC6B85"/>
    <w:rsid w:val="00DC7280"/>
    <w:rsid w:val="00DD0C7D"/>
    <w:rsid w:val="00DD648A"/>
    <w:rsid w:val="00DD6590"/>
    <w:rsid w:val="00DE407A"/>
    <w:rsid w:val="00DE5710"/>
    <w:rsid w:val="00DE61CA"/>
    <w:rsid w:val="00DE6DE2"/>
    <w:rsid w:val="00DF181C"/>
    <w:rsid w:val="00DF220E"/>
    <w:rsid w:val="00DF6A07"/>
    <w:rsid w:val="00E00F49"/>
    <w:rsid w:val="00E0163E"/>
    <w:rsid w:val="00E020B0"/>
    <w:rsid w:val="00E02BEE"/>
    <w:rsid w:val="00E04063"/>
    <w:rsid w:val="00E06B2C"/>
    <w:rsid w:val="00E07C55"/>
    <w:rsid w:val="00E12465"/>
    <w:rsid w:val="00E13B69"/>
    <w:rsid w:val="00E14D1F"/>
    <w:rsid w:val="00E1647A"/>
    <w:rsid w:val="00E2018B"/>
    <w:rsid w:val="00E21227"/>
    <w:rsid w:val="00E21C59"/>
    <w:rsid w:val="00E21D0B"/>
    <w:rsid w:val="00E235A3"/>
    <w:rsid w:val="00E27214"/>
    <w:rsid w:val="00E305CE"/>
    <w:rsid w:val="00E3234A"/>
    <w:rsid w:val="00E32C51"/>
    <w:rsid w:val="00E34522"/>
    <w:rsid w:val="00E34966"/>
    <w:rsid w:val="00E36F28"/>
    <w:rsid w:val="00E409EF"/>
    <w:rsid w:val="00E42713"/>
    <w:rsid w:val="00E44475"/>
    <w:rsid w:val="00E46756"/>
    <w:rsid w:val="00E46FA2"/>
    <w:rsid w:val="00E47AE2"/>
    <w:rsid w:val="00E50BDA"/>
    <w:rsid w:val="00E521F6"/>
    <w:rsid w:val="00E53FC9"/>
    <w:rsid w:val="00E549CE"/>
    <w:rsid w:val="00E55C37"/>
    <w:rsid w:val="00E617CD"/>
    <w:rsid w:val="00E61972"/>
    <w:rsid w:val="00E63F28"/>
    <w:rsid w:val="00E65AAA"/>
    <w:rsid w:val="00E65D63"/>
    <w:rsid w:val="00E721A2"/>
    <w:rsid w:val="00E727B4"/>
    <w:rsid w:val="00E7378B"/>
    <w:rsid w:val="00E73812"/>
    <w:rsid w:val="00E75AEA"/>
    <w:rsid w:val="00E75C28"/>
    <w:rsid w:val="00E7630F"/>
    <w:rsid w:val="00E76812"/>
    <w:rsid w:val="00E76FC8"/>
    <w:rsid w:val="00E806CE"/>
    <w:rsid w:val="00E82FD4"/>
    <w:rsid w:val="00E8358D"/>
    <w:rsid w:val="00E83772"/>
    <w:rsid w:val="00E83EA2"/>
    <w:rsid w:val="00E84F64"/>
    <w:rsid w:val="00E85FAB"/>
    <w:rsid w:val="00E86289"/>
    <w:rsid w:val="00E95005"/>
    <w:rsid w:val="00E97078"/>
    <w:rsid w:val="00EA43CE"/>
    <w:rsid w:val="00EA4A9F"/>
    <w:rsid w:val="00EA7597"/>
    <w:rsid w:val="00EA78CF"/>
    <w:rsid w:val="00EB0001"/>
    <w:rsid w:val="00EB0B93"/>
    <w:rsid w:val="00EB2135"/>
    <w:rsid w:val="00EB5758"/>
    <w:rsid w:val="00EC08AE"/>
    <w:rsid w:val="00EC0B08"/>
    <w:rsid w:val="00EC41C6"/>
    <w:rsid w:val="00EC45DA"/>
    <w:rsid w:val="00EC4954"/>
    <w:rsid w:val="00EC6B99"/>
    <w:rsid w:val="00EC6D0E"/>
    <w:rsid w:val="00EC6D9B"/>
    <w:rsid w:val="00ED28F8"/>
    <w:rsid w:val="00ED2948"/>
    <w:rsid w:val="00ED32BB"/>
    <w:rsid w:val="00EE1140"/>
    <w:rsid w:val="00EE1326"/>
    <w:rsid w:val="00EE331E"/>
    <w:rsid w:val="00EE3993"/>
    <w:rsid w:val="00EE53C1"/>
    <w:rsid w:val="00EE6380"/>
    <w:rsid w:val="00EE6C4A"/>
    <w:rsid w:val="00EE6FE2"/>
    <w:rsid w:val="00EF1051"/>
    <w:rsid w:val="00EF1442"/>
    <w:rsid w:val="00EF2907"/>
    <w:rsid w:val="00EF493D"/>
    <w:rsid w:val="00EF54AD"/>
    <w:rsid w:val="00F00FE2"/>
    <w:rsid w:val="00F028E8"/>
    <w:rsid w:val="00F03313"/>
    <w:rsid w:val="00F04193"/>
    <w:rsid w:val="00F051AB"/>
    <w:rsid w:val="00F069A7"/>
    <w:rsid w:val="00F102D1"/>
    <w:rsid w:val="00F13045"/>
    <w:rsid w:val="00F140D6"/>
    <w:rsid w:val="00F175CD"/>
    <w:rsid w:val="00F17F7F"/>
    <w:rsid w:val="00F208A7"/>
    <w:rsid w:val="00F326D9"/>
    <w:rsid w:val="00F33125"/>
    <w:rsid w:val="00F36050"/>
    <w:rsid w:val="00F36B68"/>
    <w:rsid w:val="00F4338B"/>
    <w:rsid w:val="00F43ECE"/>
    <w:rsid w:val="00F44AEC"/>
    <w:rsid w:val="00F459EE"/>
    <w:rsid w:val="00F470F8"/>
    <w:rsid w:val="00F5050B"/>
    <w:rsid w:val="00F514FB"/>
    <w:rsid w:val="00F5291D"/>
    <w:rsid w:val="00F530FD"/>
    <w:rsid w:val="00F53A97"/>
    <w:rsid w:val="00F56429"/>
    <w:rsid w:val="00F564A1"/>
    <w:rsid w:val="00F578F0"/>
    <w:rsid w:val="00F60697"/>
    <w:rsid w:val="00F60FF2"/>
    <w:rsid w:val="00F657FF"/>
    <w:rsid w:val="00F710C1"/>
    <w:rsid w:val="00F7384E"/>
    <w:rsid w:val="00F762C6"/>
    <w:rsid w:val="00F77B18"/>
    <w:rsid w:val="00F81765"/>
    <w:rsid w:val="00F819C0"/>
    <w:rsid w:val="00F84112"/>
    <w:rsid w:val="00F843C6"/>
    <w:rsid w:val="00F85906"/>
    <w:rsid w:val="00F8695D"/>
    <w:rsid w:val="00F876E3"/>
    <w:rsid w:val="00F87773"/>
    <w:rsid w:val="00F91018"/>
    <w:rsid w:val="00F910CB"/>
    <w:rsid w:val="00F9481A"/>
    <w:rsid w:val="00F95443"/>
    <w:rsid w:val="00FA2560"/>
    <w:rsid w:val="00FA3723"/>
    <w:rsid w:val="00FA604E"/>
    <w:rsid w:val="00FA64AD"/>
    <w:rsid w:val="00FB0357"/>
    <w:rsid w:val="00FB1445"/>
    <w:rsid w:val="00FB2FB0"/>
    <w:rsid w:val="00FC1F9E"/>
    <w:rsid w:val="00FC3126"/>
    <w:rsid w:val="00FC5BA6"/>
    <w:rsid w:val="00FC622E"/>
    <w:rsid w:val="00FD19C5"/>
    <w:rsid w:val="00FD1C3C"/>
    <w:rsid w:val="00FD5C82"/>
    <w:rsid w:val="00FE2A91"/>
    <w:rsid w:val="00FE3EAF"/>
    <w:rsid w:val="00FE415D"/>
    <w:rsid w:val="00FE675D"/>
    <w:rsid w:val="00FE6C3D"/>
    <w:rsid w:val="00FE703D"/>
    <w:rsid w:val="00FF0069"/>
    <w:rsid w:val="00FF045D"/>
    <w:rsid w:val="00FF1244"/>
    <w:rsid w:val="00FF3917"/>
    <w:rsid w:val="00FF4F1B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A312E"/>
  <w15:chartTrackingRefBased/>
  <w15:docId w15:val="{93271C1C-3299-47E5-8CC3-A0B7AB25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  <w:rPr>
      <w:lang w:val="x-none"/>
    </w:rPr>
  </w:style>
  <w:style w:type="character" w:customStyle="1" w:styleId="BodyTextChar">
    <w:name w:val="Body Text Char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B80FE3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tlid-translation">
    <w:name w:val="tlid-translation"/>
    <w:basedOn w:val="DefaultParagraphFont"/>
    <w:rsid w:val="00F5291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6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996A56"/>
    <w:rPr>
      <w:rFonts w:ascii="Courier New" w:eastAsia="Times New Roman" w:hAnsi="Courier New" w:cs="Courier New"/>
    </w:rPr>
  </w:style>
  <w:style w:type="character" w:customStyle="1" w:styleId="y2iqfc">
    <w:name w:val="y2iqfc"/>
    <w:rsid w:val="00996A56"/>
  </w:style>
  <w:style w:type="paragraph" w:styleId="Title">
    <w:name w:val="Title"/>
    <w:basedOn w:val="Normal"/>
    <w:link w:val="TitleChar"/>
    <w:qFormat/>
    <w:rsid w:val="009B6CB5"/>
    <w:pPr>
      <w:jc w:val="center"/>
    </w:pPr>
    <w:rPr>
      <w:b/>
      <w:bCs/>
      <w:snapToGrid w:val="0"/>
      <w:szCs w:val="20"/>
      <w:lang w:val="x-none" w:eastAsia="x-none"/>
    </w:rPr>
  </w:style>
  <w:style w:type="character" w:customStyle="1" w:styleId="TitleChar">
    <w:name w:val="Title Char"/>
    <w:link w:val="Title"/>
    <w:rsid w:val="009B6CB5"/>
    <w:rPr>
      <w:rFonts w:ascii="Times New Roman" w:eastAsia="Times New Roman" w:hAnsi="Times New Roman" w:cs="Times New Roman"/>
      <w:b/>
      <w:bCs/>
      <w:snapToGrid w:val="0"/>
      <w:sz w:val="24"/>
    </w:rPr>
  </w:style>
  <w:style w:type="paragraph" w:styleId="Revision">
    <w:name w:val="Revision"/>
    <w:hidden/>
    <w:uiPriority w:val="99"/>
    <w:semiHidden/>
    <w:rsid w:val="00B42B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262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5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71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69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38461538461539"/>
          <c:y val="0.23448275862068965"/>
          <c:w val="0.8601398601398601"/>
          <c:h val="0.5172413793103448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West Bank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81-425E-B76D-04D2F27D7AF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81-425E-B76D-04D2F27D7AF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81-425E-B76D-04D2F27D7AF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81-425E-B76D-04D2F27D7AF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81-425E-B76D-04D2F27D7AF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81-425E-B76D-04D2F27D7AF4}"/>
                </c:ext>
              </c:extLst>
            </c:dLbl>
            <c:dLbl>
              <c:idx val="7"/>
              <c:layout>
                <c:manualLayout>
                  <c:x val="3.7209703876369682E-3"/>
                  <c:y val="-5.0958364353510199E-2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81-425E-B76D-04D2F27D7AF4}"/>
                </c:ext>
              </c:extLst>
            </c:dLbl>
            <c:spPr>
              <a:noFill/>
              <a:ln w="254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Sheet1!$B$2:$I$2</c:f>
              <c:numCache>
                <c:formatCode>0.0</c:formatCode>
                <c:ptCount val="8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>
                  <c:v>14.6</c:v>
                </c:pt>
                <c:pt idx="5" formatCode="General">
                  <c:v>15.7</c:v>
                </c:pt>
                <c:pt idx="6">
                  <c:v>15.5</c:v>
                </c:pt>
                <c:pt idx="7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381-425E-B76D-04D2F27D7AF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Gaza Strip</c:v>
                </c:pt>
              </c:strCache>
            </c:strRef>
          </c:tx>
          <c:spPr>
            <a:ln w="12701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381-425E-B76D-04D2F27D7AF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381-425E-B76D-04D2F27D7AF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381-425E-B76D-04D2F27D7AF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81-425E-B76D-04D2F27D7AF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381-425E-B76D-04D2F27D7AF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81-425E-B76D-04D2F27D7AF4}"/>
                </c:ext>
              </c:extLst>
            </c:dLbl>
            <c:dLbl>
              <c:idx val="7"/>
              <c:layout>
                <c:manualLayout>
                  <c:x val="2.2446689113342355E-4"/>
                  <c:y val="-6.9578785410444377E-2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81-425E-B76D-04D2F27D7AF4}"/>
                </c:ext>
              </c:extLst>
            </c:dLbl>
            <c:spPr>
              <a:noFill/>
              <a:ln w="254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Sheet1!$B$3:$I$3</c:f>
              <c:numCache>
                <c:formatCode>0.0</c:formatCode>
                <c:ptCount val="8"/>
                <c:pt idx="0">
                  <c:v>34.799999999999997</c:v>
                </c:pt>
                <c:pt idx="1">
                  <c:v>35.4</c:v>
                </c:pt>
                <c:pt idx="2">
                  <c:v>38.799999999999997</c:v>
                </c:pt>
                <c:pt idx="3">
                  <c:v>43.1</c:v>
                </c:pt>
                <c:pt idx="4">
                  <c:v>45.1</c:v>
                </c:pt>
                <c:pt idx="5" formatCode="General">
                  <c:v>46.6</c:v>
                </c:pt>
                <c:pt idx="6">
                  <c:v>46.9</c:v>
                </c:pt>
                <c:pt idx="7">
                  <c:v>45.3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B381-425E-B76D-04D2F27D7AF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Palestine</c:v>
                </c:pt>
              </c:strCache>
            </c:strRef>
          </c:tx>
          <c:spPr>
            <a:ln w="12701">
              <a:solidFill>
                <a:srgbClr val="008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381-425E-B76D-04D2F27D7AF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381-425E-B76D-04D2F27D7AF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381-425E-B76D-04D2F27D7AF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381-425E-B76D-04D2F27D7AF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381-425E-B76D-04D2F27D7AF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381-425E-B76D-04D2F27D7AF4}"/>
                </c:ext>
              </c:extLst>
            </c:dLbl>
            <c:dLbl>
              <c:idx val="7"/>
              <c:layout>
                <c:manualLayout>
                  <c:x val="3.7209703876369682E-3"/>
                  <c:y val="-7.1992946376697342E-2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381-425E-B76D-04D2F27D7AF4}"/>
                </c:ext>
              </c:extLst>
            </c:dLbl>
            <c:spPr>
              <a:noFill/>
              <a:ln w="254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Sheet1!$B$4:$I$4</c:f>
              <c:numCache>
                <c:formatCode>0.0</c:formatCode>
                <c:ptCount val="8"/>
                <c:pt idx="0">
                  <c:v>23</c:v>
                </c:pt>
                <c:pt idx="1">
                  <c:v>23.9</c:v>
                </c:pt>
                <c:pt idx="2">
                  <c:v>25.7</c:v>
                </c:pt>
                <c:pt idx="3">
                  <c:v>26.2</c:v>
                </c:pt>
                <c:pt idx="4">
                  <c:v>25.3</c:v>
                </c:pt>
                <c:pt idx="5" formatCode="General">
                  <c:v>25.9</c:v>
                </c:pt>
                <c:pt idx="6">
                  <c:v>26.4</c:v>
                </c:pt>
                <c:pt idx="7">
                  <c:v>24.4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B381-425E-B76D-04D2F27D7A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5928776"/>
        <c:axId val="1"/>
      </c:lineChart>
      <c:catAx>
        <c:axId val="195928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9592877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5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</c:legendEntry>
      <c:legendEntry>
        <c:idx val="1"/>
        <c:txPr>
          <a:bodyPr/>
          <a:lstStyle/>
          <a:p>
            <a:pPr>
              <a:defRPr sz="5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</c:legendEntry>
      <c:legendEntry>
        <c:idx val="2"/>
        <c:txPr>
          <a:bodyPr/>
          <a:lstStyle/>
          <a:p>
            <a:pPr>
              <a:defRPr sz="5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</c:legendEntry>
      <c:layout>
        <c:manualLayout>
          <c:xMode val="edge"/>
          <c:yMode val="edge"/>
          <c:x val="6.2937062937062943E-2"/>
          <c:y val="0"/>
          <c:w val="0.91258741258741261"/>
          <c:h val="0.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EE07-4982-4CFE-8AC4-E4B6927D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5619</CharactersWithSpaces>
  <SharedDoc>false</SharedDoc>
  <HLinks>
    <vt:vector size="6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</dc:creator>
  <cp:keywords/>
  <cp:lastModifiedBy>Hadeel Badran</cp:lastModifiedBy>
  <cp:revision>3</cp:revision>
  <cp:lastPrinted>2023-02-14T06:28:00Z</cp:lastPrinted>
  <dcterms:created xsi:type="dcterms:W3CDTF">2023-02-14T06:33:00Z</dcterms:created>
  <dcterms:modified xsi:type="dcterms:W3CDTF">2023-02-14T06:36:00Z</dcterms:modified>
</cp:coreProperties>
</file>