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4B00B" w14:textId="29B6FA6A" w:rsidR="00C513BB" w:rsidRDefault="00105C38" w:rsidP="00C513B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05C38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14:paraId="2D9C93C2" w14:textId="77777777" w:rsidR="00105C38" w:rsidRPr="00105C38" w:rsidRDefault="00105C38" w:rsidP="00105C38">
      <w:pPr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53F9ECCD" w14:textId="2CF3D168" w:rsidR="002830A5" w:rsidRDefault="00337A34" w:rsidP="00DB5236">
      <w:pPr>
        <w:pStyle w:val="Heading6"/>
        <w:rPr>
          <w:rFonts w:asciiTheme="majorBidi" w:hAnsiTheme="majorBidi" w:cstheme="majorBidi"/>
          <w:sz w:val="32"/>
          <w:szCs w:val="32"/>
        </w:rPr>
      </w:pPr>
      <w:r w:rsidRPr="00F2434E">
        <w:rPr>
          <w:rFonts w:asciiTheme="majorBidi" w:hAnsiTheme="majorBidi" w:cstheme="majorBidi"/>
          <w:sz w:val="32"/>
          <w:szCs w:val="32"/>
        </w:rPr>
        <w:t>Palestinian Central Bureau of Statistics (PCBS)</w:t>
      </w:r>
      <w:r w:rsidR="00DE51B9" w:rsidRPr="00F2434E">
        <w:rPr>
          <w:rFonts w:asciiTheme="majorBidi" w:hAnsiTheme="majorBidi" w:cstheme="majorBidi"/>
          <w:sz w:val="32"/>
          <w:szCs w:val="32"/>
        </w:rPr>
        <w:t xml:space="preserve"> </w:t>
      </w:r>
      <w:r w:rsidR="002830A5" w:rsidRPr="00F2434E">
        <w:rPr>
          <w:rFonts w:asciiTheme="majorBidi" w:hAnsiTheme="majorBidi" w:cstheme="majorBidi"/>
          <w:sz w:val="32"/>
          <w:szCs w:val="32"/>
        </w:rPr>
        <w:t>P</w:t>
      </w:r>
      <w:r w:rsidR="00DE51B9" w:rsidRPr="00F2434E">
        <w:rPr>
          <w:rFonts w:asciiTheme="majorBidi" w:hAnsiTheme="majorBidi" w:cstheme="majorBidi"/>
          <w:sz w:val="32"/>
          <w:szCs w:val="32"/>
        </w:rPr>
        <w:t xml:space="preserve">resents the </w:t>
      </w:r>
      <w:r w:rsidR="002830A5" w:rsidRPr="00F2434E">
        <w:rPr>
          <w:rFonts w:asciiTheme="majorBidi" w:hAnsiTheme="majorBidi" w:cstheme="majorBidi"/>
          <w:sz w:val="32"/>
          <w:szCs w:val="32"/>
        </w:rPr>
        <w:t>C</w:t>
      </w:r>
      <w:r w:rsidR="00DE51B9" w:rsidRPr="00F2434E">
        <w:rPr>
          <w:rFonts w:asciiTheme="majorBidi" w:hAnsiTheme="majorBidi" w:cstheme="majorBidi"/>
          <w:sz w:val="32"/>
          <w:szCs w:val="32"/>
        </w:rPr>
        <w:t>o</w:t>
      </w:r>
      <w:r w:rsidR="002830A5" w:rsidRPr="00F2434E">
        <w:rPr>
          <w:rFonts w:asciiTheme="majorBidi" w:hAnsiTheme="majorBidi" w:cstheme="majorBidi"/>
          <w:sz w:val="32"/>
          <w:szCs w:val="32"/>
        </w:rPr>
        <w:t xml:space="preserve">nditions of Palestinian Populations on the </w:t>
      </w:r>
      <w:r w:rsidR="00DB5236" w:rsidRPr="00F2434E">
        <w:rPr>
          <w:rFonts w:asciiTheme="majorBidi" w:hAnsiTheme="majorBidi" w:cstheme="majorBidi"/>
          <w:sz w:val="32"/>
          <w:szCs w:val="32"/>
        </w:rPr>
        <w:t>O</w:t>
      </w:r>
      <w:r w:rsidR="002830A5" w:rsidRPr="00F2434E">
        <w:rPr>
          <w:rFonts w:asciiTheme="majorBidi" w:hAnsiTheme="majorBidi" w:cstheme="majorBidi"/>
          <w:sz w:val="32"/>
          <w:szCs w:val="32"/>
        </w:rPr>
        <w:t>ccasion of the International Population Day, 11/</w:t>
      </w:r>
      <w:r w:rsidR="00DB5236" w:rsidRPr="00F2434E">
        <w:rPr>
          <w:rFonts w:asciiTheme="majorBidi" w:hAnsiTheme="majorBidi" w:cstheme="majorBidi"/>
          <w:sz w:val="32"/>
          <w:szCs w:val="32"/>
        </w:rPr>
        <w:t>0</w:t>
      </w:r>
      <w:r w:rsidR="002830A5" w:rsidRPr="00F2434E">
        <w:rPr>
          <w:rFonts w:asciiTheme="majorBidi" w:hAnsiTheme="majorBidi" w:cstheme="majorBidi"/>
          <w:sz w:val="32"/>
          <w:szCs w:val="32"/>
        </w:rPr>
        <w:t>7/2022</w:t>
      </w:r>
    </w:p>
    <w:p w14:paraId="20B5562E" w14:textId="77777777" w:rsidR="00AD546E" w:rsidRPr="00AD546E" w:rsidRDefault="00AD546E" w:rsidP="00AD546E"/>
    <w:p w14:paraId="7A8F6C8D" w14:textId="6D454599" w:rsidR="00AD546E" w:rsidRPr="00AD546E" w:rsidRDefault="00AD546E" w:rsidP="00AD546E">
      <w:pPr>
        <w:bidi w:val="0"/>
        <w:jc w:val="center"/>
        <w:rPr>
          <w:rFonts w:asciiTheme="majorBidi" w:hAnsiTheme="majorBidi" w:cstheme="majorBidi"/>
          <w:b/>
          <w:bCs/>
          <w:sz w:val="28"/>
        </w:rPr>
      </w:pPr>
      <w:bookmarkStart w:id="0" w:name="_GoBack"/>
      <w:r w:rsidRPr="00AD546E">
        <w:rPr>
          <w:rFonts w:asciiTheme="majorBidi" w:hAnsiTheme="majorBidi" w:cstheme="majorBidi"/>
          <w:b/>
          <w:bCs/>
          <w:sz w:val="28"/>
        </w:rPr>
        <w:t>A world of 8 billion: "Towards a resilient future</w:t>
      </w:r>
    </w:p>
    <w:p w14:paraId="6B446A03" w14:textId="1EFEC87C" w:rsidR="00AD546E" w:rsidRPr="00AD546E" w:rsidRDefault="00AD546E" w:rsidP="00AD546E">
      <w:pPr>
        <w:bidi w:val="0"/>
        <w:jc w:val="center"/>
        <w:rPr>
          <w:rFonts w:asciiTheme="majorBidi" w:hAnsiTheme="majorBidi" w:cstheme="majorBidi"/>
          <w:b/>
          <w:bCs/>
          <w:sz w:val="28"/>
        </w:rPr>
      </w:pPr>
      <w:r w:rsidRPr="00AD546E">
        <w:rPr>
          <w:rFonts w:asciiTheme="majorBidi" w:hAnsiTheme="majorBidi" w:cstheme="majorBidi"/>
          <w:b/>
          <w:bCs/>
          <w:sz w:val="28"/>
        </w:rPr>
        <w:t>Harnessing opportunities and ensuring rights and choices for all"</w:t>
      </w:r>
    </w:p>
    <w:bookmarkEnd w:id="0"/>
    <w:p w14:paraId="106192D9" w14:textId="77777777" w:rsidR="00AD546E" w:rsidRPr="00AD546E" w:rsidRDefault="00AD546E" w:rsidP="00AD546E">
      <w:pPr>
        <w:rPr>
          <w:rtl/>
        </w:rPr>
      </w:pPr>
    </w:p>
    <w:p w14:paraId="437DDC9B" w14:textId="77777777" w:rsidR="00F2434E" w:rsidRPr="00F2434E" w:rsidRDefault="00F2434E" w:rsidP="00F2434E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4D656FDC" w14:textId="77777777" w:rsidR="00F2434E" w:rsidRPr="00AD546E" w:rsidRDefault="00F2434E" w:rsidP="00AD546E">
      <w:pPr>
        <w:pStyle w:val="Heading5"/>
        <w:spacing w:line="240" w:lineRule="auto"/>
        <w:jc w:val="left"/>
        <w:rPr>
          <w:rFonts w:asciiTheme="majorBidi" w:hAnsiTheme="majorBidi" w:cstheme="majorBidi"/>
          <w:color w:val="auto"/>
          <w:sz w:val="28"/>
          <w:szCs w:val="28"/>
          <w:u w:val="none"/>
        </w:rPr>
      </w:pPr>
      <w:r w:rsidRPr="00AD546E">
        <w:rPr>
          <w:rFonts w:asciiTheme="majorBidi" w:hAnsiTheme="majorBidi" w:cstheme="majorBidi"/>
          <w:color w:val="auto"/>
          <w:sz w:val="28"/>
          <w:szCs w:val="28"/>
          <w:u w:val="none"/>
        </w:rPr>
        <w:t xml:space="preserve">About </w:t>
      </w:r>
      <w:r w:rsidRPr="00AD546E">
        <w:rPr>
          <w:rFonts w:asciiTheme="majorBidi" w:hAnsiTheme="majorBidi" w:cstheme="majorBidi"/>
          <w:color w:val="auto"/>
          <w:sz w:val="28"/>
          <w:szCs w:val="28"/>
          <w:u w:val="none"/>
          <w:rtl/>
        </w:rPr>
        <w:t>14.3</w:t>
      </w:r>
      <w:r w:rsidRPr="00AD546E">
        <w:rPr>
          <w:rFonts w:asciiTheme="majorBidi" w:hAnsiTheme="majorBidi" w:cstheme="majorBidi"/>
          <w:color w:val="auto"/>
          <w:sz w:val="28"/>
          <w:szCs w:val="28"/>
          <w:u w:val="none"/>
        </w:rPr>
        <w:t xml:space="preserve"> Million Palestinians in Historical Palestine and Diaspora</w:t>
      </w:r>
    </w:p>
    <w:p w14:paraId="03ABE9B8" w14:textId="05F4CD9F" w:rsidR="00E60850" w:rsidRPr="00F2434E" w:rsidRDefault="00905D31" w:rsidP="00DB5236">
      <w:pPr>
        <w:pStyle w:val="BodyText2"/>
        <w:rPr>
          <w:rFonts w:asciiTheme="majorBidi" w:hAnsiTheme="majorBidi" w:cstheme="majorBidi"/>
          <w:color w:val="auto"/>
        </w:rPr>
      </w:pPr>
      <w:bookmarkStart w:id="1" w:name="OLE_LINK1"/>
      <w:r w:rsidRPr="00F2434E">
        <w:rPr>
          <w:rFonts w:asciiTheme="majorBidi" w:hAnsiTheme="majorBidi" w:cstheme="majorBidi"/>
          <w:color w:val="auto"/>
        </w:rPr>
        <w:t>Based on</w:t>
      </w:r>
      <w:r w:rsidR="007F0FB2" w:rsidRPr="00F2434E">
        <w:rPr>
          <w:rFonts w:asciiTheme="majorBidi" w:hAnsiTheme="majorBidi" w:cstheme="majorBidi"/>
          <w:color w:val="auto"/>
        </w:rPr>
        <w:t xml:space="preserve"> population </w:t>
      </w:r>
      <w:r w:rsidRPr="00F2434E">
        <w:rPr>
          <w:rFonts w:asciiTheme="majorBidi" w:hAnsiTheme="majorBidi" w:cstheme="majorBidi"/>
          <w:color w:val="auto"/>
        </w:rPr>
        <w:t>estimates prepared by PCBS</w:t>
      </w:r>
      <w:r w:rsidR="00A81BEB" w:rsidRPr="00F2434E">
        <w:rPr>
          <w:rFonts w:asciiTheme="majorBidi" w:hAnsiTheme="majorBidi" w:cstheme="majorBidi"/>
          <w:color w:val="auto"/>
        </w:rPr>
        <w:t>, t</w:t>
      </w:r>
      <w:r w:rsidR="004155EB" w:rsidRPr="00F2434E">
        <w:rPr>
          <w:rFonts w:asciiTheme="majorBidi" w:hAnsiTheme="majorBidi" w:cstheme="majorBidi"/>
          <w:color w:val="auto"/>
        </w:rPr>
        <w:t xml:space="preserve">here are about </w:t>
      </w:r>
      <w:r w:rsidR="00CE1260" w:rsidRPr="00F2434E">
        <w:rPr>
          <w:rFonts w:asciiTheme="majorBidi" w:hAnsiTheme="majorBidi" w:cstheme="majorBidi"/>
          <w:color w:val="auto"/>
        </w:rPr>
        <w:t>1</w:t>
      </w:r>
      <w:r w:rsidR="00190ABC" w:rsidRPr="00F2434E">
        <w:rPr>
          <w:rFonts w:asciiTheme="majorBidi" w:hAnsiTheme="majorBidi" w:cstheme="majorBidi"/>
          <w:color w:val="auto"/>
          <w:rtl/>
        </w:rPr>
        <w:t>4</w:t>
      </w:r>
      <w:r w:rsidR="00CE1260" w:rsidRPr="00F2434E">
        <w:rPr>
          <w:rFonts w:asciiTheme="majorBidi" w:hAnsiTheme="majorBidi" w:cstheme="majorBidi"/>
          <w:color w:val="auto"/>
        </w:rPr>
        <w:t>.</w:t>
      </w:r>
      <w:r w:rsidR="00337A34" w:rsidRPr="00F2434E">
        <w:rPr>
          <w:rFonts w:asciiTheme="majorBidi" w:hAnsiTheme="majorBidi" w:cstheme="majorBidi"/>
          <w:color w:val="auto"/>
        </w:rPr>
        <w:t>3</w:t>
      </w:r>
      <w:r w:rsidR="004155EB" w:rsidRPr="00F2434E">
        <w:rPr>
          <w:rFonts w:asciiTheme="majorBidi" w:hAnsiTheme="majorBidi" w:cstheme="majorBidi"/>
          <w:color w:val="auto"/>
        </w:rPr>
        <w:t xml:space="preserve"> million Palestinians in the world</w:t>
      </w:r>
      <w:r w:rsidR="000E21E9" w:rsidRPr="00F2434E">
        <w:rPr>
          <w:rFonts w:asciiTheme="majorBidi" w:hAnsiTheme="majorBidi" w:cstheme="majorBidi"/>
          <w:color w:val="auto"/>
        </w:rPr>
        <w:t xml:space="preserve"> in </w:t>
      </w:r>
      <w:r w:rsidR="009B3E2C" w:rsidRPr="00F2434E">
        <w:rPr>
          <w:rFonts w:asciiTheme="majorBidi" w:hAnsiTheme="majorBidi" w:cstheme="majorBidi"/>
          <w:color w:val="auto"/>
        </w:rPr>
        <w:t>mid-</w:t>
      </w:r>
      <w:r w:rsidR="00190ABC" w:rsidRPr="00F2434E">
        <w:rPr>
          <w:rFonts w:asciiTheme="majorBidi" w:hAnsiTheme="majorBidi" w:cstheme="majorBidi"/>
          <w:color w:val="auto"/>
          <w:rtl/>
        </w:rPr>
        <w:t>2022</w:t>
      </w:r>
      <w:r w:rsidR="004155EB" w:rsidRPr="00F2434E">
        <w:rPr>
          <w:rFonts w:asciiTheme="majorBidi" w:hAnsiTheme="majorBidi" w:cstheme="majorBidi"/>
          <w:color w:val="auto"/>
        </w:rPr>
        <w:t xml:space="preserve">, of whom about </w:t>
      </w:r>
      <w:r w:rsidR="00CE1260" w:rsidRPr="00F2434E">
        <w:rPr>
          <w:rFonts w:asciiTheme="majorBidi" w:hAnsiTheme="majorBidi" w:cstheme="majorBidi"/>
          <w:color w:val="auto"/>
        </w:rPr>
        <w:t>5.</w:t>
      </w:r>
      <w:r w:rsidR="00190ABC" w:rsidRPr="00F2434E">
        <w:rPr>
          <w:rFonts w:asciiTheme="majorBidi" w:hAnsiTheme="majorBidi" w:cstheme="majorBidi"/>
          <w:color w:val="auto"/>
          <w:rtl/>
        </w:rPr>
        <w:t>35</w:t>
      </w:r>
      <w:r w:rsidR="004155EB" w:rsidRPr="00F2434E">
        <w:rPr>
          <w:rFonts w:asciiTheme="majorBidi" w:hAnsiTheme="majorBidi" w:cstheme="majorBidi"/>
          <w:color w:val="auto"/>
        </w:rPr>
        <w:t xml:space="preserve"> million in the State of Palestine</w:t>
      </w:r>
      <w:r w:rsidRPr="00F2434E">
        <w:rPr>
          <w:rFonts w:asciiTheme="majorBidi" w:hAnsiTheme="majorBidi" w:cstheme="majorBidi"/>
          <w:color w:val="auto"/>
        </w:rPr>
        <w:t xml:space="preserve">; </w:t>
      </w:r>
      <w:bookmarkEnd w:id="1"/>
      <w:r w:rsidR="00CE1260" w:rsidRPr="00F2434E">
        <w:rPr>
          <w:rFonts w:asciiTheme="majorBidi" w:hAnsiTheme="majorBidi" w:cstheme="majorBidi"/>
          <w:color w:val="auto"/>
        </w:rPr>
        <w:t>2.</w:t>
      </w:r>
      <w:r w:rsidR="00190ABC" w:rsidRPr="00F2434E">
        <w:rPr>
          <w:rFonts w:asciiTheme="majorBidi" w:hAnsiTheme="majorBidi" w:cstheme="majorBidi"/>
          <w:color w:val="auto"/>
          <w:rtl/>
        </w:rPr>
        <w:t>72</w:t>
      </w:r>
      <w:r w:rsidRPr="00F2434E">
        <w:rPr>
          <w:rFonts w:asciiTheme="majorBidi" w:hAnsiTheme="majorBidi" w:cstheme="majorBidi"/>
          <w:color w:val="auto"/>
        </w:rPr>
        <w:t xml:space="preserve"> million males and </w:t>
      </w:r>
      <w:r w:rsidR="00CE1260" w:rsidRPr="00F2434E">
        <w:rPr>
          <w:rFonts w:asciiTheme="majorBidi" w:hAnsiTheme="majorBidi" w:cstheme="majorBidi"/>
          <w:color w:val="auto"/>
        </w:rPr>
        <w:t>2.</w:t>
      </w:r>
      <w:r w:rsidR="00190ABC" w:rsidRPr="00F2434E">
        <w:rPr>
          <w:rFonts w:asciiTheme="majorBidi" w:hAnsiTheme="majorBidi" w:cstheme="majorBidi"/>
          <w:color w:val="auto"/>
          <w:rtl/>
        </w:rPr>
        <w:t>63</w:t>
      </w:r>
      <w:r w:rsidRPr="00F2434E">
        <w:rPr>
          <w:rFonts w:asciiTheme="majorBidi" w:hAnsiTheme="majorBidi" w:cstheme="majorBidi"/>
          <w:color w:val="auto"/>
        </w:rPr>
        <w:t xml:space="preserve"> million females. The estimated population of </w:t>
      </w:r>
      <w:r w:rsidR="00660945" w:rsidRPr="00F2434E">
        <w:rPr>
          <w:rFonts w:asciiTheme="majorBidi" w:hAnsiTheme="majorBidi" w:cstheme="majorBidi"/>
          <w:color w:val="auto"/>
        </w:rPr>
        <w:t xml:space="preserve">the </w:t>
      </w:r>
      <w:r w:rsidRPr="00F2434E">
        <w:rPr>
          <w:rFonts w:asciiTheme="majorBidi" w:hAnsiTheme="majorBidi" w:cstheme="majorBidi"/>
          <w:color w:val="auto"/>
        </w:rPr>
        <w:t>West Bank was</w:t>
      </w:r>
      <w:r w:rsidR="00CE1260" w:rsidRPr="00F2434E">
        <w:rPr>
          <w:rFonts w:asciiTheme="majorBidi" w:hAnsiTheme="majorBidi" w:cstheme="majorBidi"/>
          <w:color w:val="auto"/>
        </w:rPr>
        <w:t xml:space="preserve"> 3.</w:t>
      </w:r>
      <w:r w:rsidR="00190ABC" w:rsidRPr="00F2434E">
        <w:rPr>
          <w:rFonts w:asciiTheme="majorBidi" w:hAnsiTheme="majorBidi" w:cstheme="majorBidi"/>
          <w:color w:val="auto"/>
          <w:rtl/>
        </w:rPr>
        <w:t>19</w:t>
      </w:r>
      <w:r w:rsidRPr="00F2434E">
        <w:rPr>
          <w:rFonts w:asciiTheme="majorBidi" w:hAnsiTheme="majorBidi" w:cstheme="majorBidi"/>
          <w:color w:val="auto"/>
        </w:rPr>
        <w:t xml:space="preserve"> million</w:t>
      </w:r>
      <w:r w:rsidR="00106C47" w:rsidRPr="00F2434E">
        <w:rPr>
          <w:rFonts w:asciiTheme="majorBidi" w:hAnsiTheme="majorBidi" w:cstheme="majorBidi"/>
          <w:color w:val="auto"/>
        </w:rPr>
        <w:t xml:space="preserve"> </w:t>
      </w:r>
      <w:r w:rsidR="00DB5236" w:rsidRPr="00F2434E">
        <w:rPr>
          <w:rFonts w:asciiTheme="majorBidi" w:hAnsiTheme="majorBidi" w:cstheme="majorBidi"/>
          <w:color w:val="auto"/>
        </w:rPr>
        <w:t>(</w:t>
      </w:r>
      <w:r w:rsidRPr="00F2434E">
        <w:rPr>
          <w:rFonts w:asciiTheme="majorBidi" w:hAnsiTheme="majorBidi" w:cstheme="majorBidi"/>
          <w:color w:val="auto"/>
        </w:rPr>
        <w:t>1.</w:t>
      </w:r>
      <w:r w:rsidR="00190ABC" w:rsidRPr="00F2434E">
        <w:rPr>
          <w:rFonts w:asciiTheme="majorBidi" w:hAnsiTheme="majorBidi" w:cstheme="majorBidi"/>
          <w:color w:val="auto"/>
          <w:rtl/>
        </w:rPr>
        <w:t>62</w:t>
      </w:r>
      <w:r w:rsidR="00CE1260" w:rsidRPr="00F2434E">
        <w:rPr>
          <w:rFonts w:asciiTheme="majorBidi" w:hAnsiTheme="majorBidi" w:cstheme="majorBidi"/>
          <w:color w:val="auto"/>
        </w:rPr>
        <w:t xml:space="preserve"> </w:t>
      </w:r>
      <w:r w:rsidRPr="00F2434E">
        <w:rPr>
          <w:rFonts w:asciiTheme="majorBidi" w:hAnsiTheme="majorBidi" w:cstheme="majorBidi"/>
          <w:color w:val="auto"/>
        </w:rPr>
        <w:t>million males and 1.</w:t>
      </w:r>
      <w:r w:rsidR="00190ABC" w:rsidRPr="00F2434E">
        <w:rPr>
          <w:rFonts w:asciiTheme="majorBidi" w:hAnsiTheme="majorBidi" w:cstheme="majorBidi"/>
          <w:color w:val="auto"/>
          <w:rtl/>
        </w:rPr>
        <w:t>57</w:t>
      </w:r>
      <w:r w:rsidRPr="00F2434E">
        <w:rPr>
          <w:rFonts w:asciiTheme="majorBidi" w:hAnsiTheme="majorBidi" w:cstheme="majorBidi"/>
          <w:color w:val="auto"/>
        </w:rPr>
        <w:t xml:space="preserve"> million females</w:t>
      </w:r>
      <w:r w:rsidR="00DB5236" w:rsidRPr="00F2434E">
        <w:rPr>
          <w:rFonts w:asciiTheme="majorBidi" w:hAnsiTheme="majorBidi" w:cstheme="majorBidi"/>
          <w:color w:val="auto"/>
        </w:rPr>
        <w:t>)</w:t>
      </w:r>
      <w:r w:rsidRPr="00F2434E">
        <w:rPr>
          <w:rFonts w:asciiTheme="majorBidi" w:hAnsiTheme="majorBidi" w:cstheme="majorBidi"/>
          <w:color w:val="auto"/>
        </w:rPr>
        <w:t xml:space="preserve">. While the estimated population of Gaza Strip </w:t>
      </w:r>
      <w:r w:rsidR="00660945" w:rsidRPr="00F2434E">
        <w:rPr>
          <w:rFonts w:asciiTheme="majorBidi" w:hAnsiTheme="majorBidi" w:cstheme="majorBidi"/>
          <w:color w:val="auto"/>
        </w:rPr>
        <w:t>was</w:t>
      </w:r>
      <w:r w:rsidR="001E2718" w:rsidRPr="00F2434E">
        <w:rPr>
          <w:rFonts w:asciiTheme="majorBidi" w:hAnsiTheme="majorBidi" w:cstheme="majorBidi"/>
          <w:color w:val="auto"/>
        </w:rPr>
        <w:t xml:space="preserve"> </w:t>
      </w:r>
      <w:r w:rsidR="00CE1260" w:rsidRPr="00F2434E">
        <w:rPr>
          <w:rFonts w:asciiTheme="majorBidi" w:hAnsiTheme="majorBidi" w:cstheme="majorBidi"/>
          <w:color w:val="auto"/>
        </w:rPr>
        <w:t>2.</w:t>
      </w:r>
      <w:r w:rsidR="008F22E1" w:rsidRPr="00F2434E">
        <w:rPr>
          <w:rFonts w:asciiTheme="majorBidi" w:hAnsiTheme="majorBidi" w:cstheme="majorBidi"/>
          <w:color w:val="auto"/>
        </w:rPr>
        <w:t>1</w:t>
      </w:r>
      <w:r w:rsidR="00190ABC" w:rsidRPr="00F2434E">
        <w:rPr>
          <w:rFonts w:asciiTheme="majorBidi" w:hAnsiTheme="majorBidi" w:cstheme="majorBidi"/>
          <w:color w:val="auto"/>
          <w:rtl/>
        </w:rPr>
        <w:t>7</w:t>
      </w:r>
      <w:r w:rsidRPr="00F2434E">
        <w:rPr>
          <w:rFonts w:asciiTheme="majorBidi" w:hAnsiTheme="majorBidi" w:cstheme="majorBidi"/>
          <w:color w:val="auto"/>
        </w:rPr>
        <w:t xml:space="preserve"> million</w:t>
      </w:r>
      <w:r w:rsidR="007F0FB2" w:rsidRPr="00F2434E">
        <w:rPr>
          <w:rFonts w:asciiTheme="majorBidi" w:hAnsiTheme="majorBidi" w:cstheme="majorBidi"/>
          <w:color w:val="auto"/>
        </w:rPr>
        <w:t xml:space="preserve"> in the same year</w:t>
      </w:r>
      <w:r w:rsidRPr="00F2434E">
        <w:rPr>
          <w:rFonts w:asciiTheme="majorBidi" w:hAnsiTheme="majorBidi" w:cstheme="majorBidi"/>
          <w:color w:val="auto"/>
        </w:rPr>
        <w:t xml:space="preserve"> </w:t>
      </w:r>
      <w:r w:rsidR="00DB5236" w:rsidRPr="00F2434E">
        <w:rPr>
          <w:rFonts w:asciiTheme="majorBidi" w:hAnsiTheme="majorBidi" w:cstheme="majorBidi"/>
          <w:color w:val="auto"/>
        </w:rPr>
        <w:t>(</w:t>
      </w:r>
      <w:r w:rsidRPr="00F2434E">
        <w:rPr>
          <w:rFonts w:asciiTheme="majorBidi" w:hAnsiTheme="majorBidi" w:cstheme="majorBidi"/>
          <w:color w:val="auto"/>
        </w:rPr>
        <w:t>1.</w:t>
      </w:r>
      <w:r w:rsidR="00190ABC" w:rsidRPr="00F2434E">
        <w:rPr>
          <w:rFonts w:asciiTheme="majorBidi" w:hAnsiTheme="majorBidi" w:cstheme="majorBidi"/>
          <w:color w:val="auto"/>
          <w:rtl/>
        </w:rPr>
        <w:t>10</w:t>
      </w:r>
      <w:r w:rsidRPr="00F2434E">
        <w:rPr>
          <w:rFonts w:asciiTheme="majorBidi" w:hAnsiTheme="majorBidi" w:cstheme="majorBidi"/>
          <w:color w:val="auto"/>
        </w:rPr>
        <w:t xml:space="preserve"> million males and </w:t>
      </w:r>
      <w:r w:rsidR="00CE1260" w:rsidRPr="00F2434E">
        <w:rPr>
          <w:rFonts w:asciiTheme="majorBidi" w:hAnsiTheme="majorBidi" w:cstheme="majorBidi"/>
          <w:color w:val="auto"/>
        </w:rPr>
        <w:t>1.</w:t>
      </w:r>
      <w:r w:rsidR="008F22E1" w:rsidRPr="00F2434E">
        <w:rPr>
          <w:rFonts w:asciiTheme="majorBidi" w:hAnsiTheme="majorBidi" w:cstheme="majorBidi"/>
          <w:color w:val="auto"/>
        </w:rPr>
        <w:t>0</w:t>
      </w:r>
      <w:r w:rsidR="00190ABC" w:rsidRPr="00F2434E">
        <w:rPr>
          <w:rFonts w:asciiTheme="majorBidi" w:hAnsiTheme="majorBidi" w:cstheme="majorBidi"/>
          <w:color w:val="auto"/>
          <w:rtl/>
        </w:rPr>
        <w:t>7</w:t>
      </w:r>
      <w:r w:rsidRPr="00F2434E">
        <w:rPr>
          <w:rFonts w:asciiTheme="majorBidi" w:hAnsiTheme="majorBidi" w:cstheme="majorBidi"/>
          <w:color w:val="auto"/>
        </w:rPr>
        <w:t xml:space="preserve"> </w:t>
      </w:r>
      <w:r w:rsidR="007F0FB2" w:rsidRPr="00F2434E">
        <w:rPr>
          <w:rFonts w:asciiTheme="majorBidi" w:hAnsiTheme="majorBidi" w:cstheme="majorBidi"/>
          <w:color w:val="auto"/>
        </w:rPr>
        <w:t xml:space="preserve">million </w:t>
      </w:r>
      <w:r w:rsidRPr="00F2434E">
        <w:rPr>
          <w:rFonts w:asciiTheme="majorBidi" w:hAnsiTheme="majorBidi" w:cstheme="majorBidi"/>
          <w:color w:val="auto"/>
        </w:rPr>
        <w:t>females</w:t>
      </w:r>
      <w:r w:rsidR="00DB5236" w:rsidRPr="00F2434E">
        <w:rPr>
          <w:rFonts w:asciiTheme="majorBidi" w:hAnsiTheme="majorBidi" w:cstheme="majorBidi"/>
          <w:color w:val="auto"/>
        </w:rPr>
        <w:t>)</w:t>
      </w:r>
      <w:r w:rsidRPr="00F2434E">
        <w:rPr>
          <w:rFonts w:asciiTheme="majorBidi" w:hAnsiTheme="majorBidi" w:cstheme="majorBidi"/>
          <w:color w:val="auto"/>
        </w:rPr>
        <w:t>.</w:t>
      </w:r>
      <w:r w:rsidR="009B221D" w:rsidRPr="00F2434E">
        <w:rPr>
          <w:rFonts w:asciiTheme="majorBidi" w:hAnsiTheme="majorBidi" w:cstheme="majorBidi"/>
          <w:color w:val="auto"/>
        </w:rPr>
        <w:t xml:space="preserve"> </w:t>
      </w:r>
      <w:r w:rsidR="00E60850" w:rsidRPr="00F2434E">
        <w:rPr>
          <w:rFonts w:asciiTheme="majorBidi" w:hAnsiTheme="majorBidi" w:cstheme="majorBidi"/>
          <w:color w:val="auto"/>
        </w:rPr>
        <w:t xml:space="preserve"> </w:t>
      </w:r>
    </w:p>
    <w:p w14:paraId="7531F91A" w14:textId="77777777" w:rsidR="004E7AFE" w:rsidRPr="00F2434E" w:rsidRDefault="004E7AFE" w:rsidP="00C637E1">
      <w:pPr>
        <w:pStyle w:val="BodyText3"/>
        <w:rPr>
          <w:rFonts w:asciiTheme="majorBidi" w:hAnsiTheme="majorBidi" w:cstheme="majorBidi"/>
          <w:sz w:val="16"/>
          <w:szCs w:val="16"/>
          <w:lang w:eastAsia="en-US"/>
        </w:rPr>
      </w:pPr>
    </w:p>
    <w:p w14:paraId="192E62AB" w14:textId="74373D2B" w:rsidR="004E7AFE" w:rsidRPr="00105C38" w:rsidRDefault="004E7AFE" w:rsidP="00852A7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Number of </w:t>
      </w:r>
      <w:r w:rsidR="005C18C4"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Palestinian Population by Country of Residence, </w:t>
      </w:r>
      <w:r w:rsidR="00DD34F3" w:rsidRPr="00105C38">
        <w:rPr>
          <w:rFonts w:asciiTheme="majorBidi" w:hAnsiTheme="majorBidi" w:cstheme="majorBidi"/>
          <w:b/>
          <w:bCs/>
          <w:sz w:val="28"/>
          <w:szCs w:val="28"/>
        </w:rPr>
        <w:t>Mid-</w:t>
      </w:r>
      <w:r w:rsidR="009B3E2C" w:rsidRPr="00105C38">
        <w:rPr>
          <w:rFonts w:asciiTheme="majorBidi" w:hAnsiTheme="majorBidi" w:cstheme="majorBidi"/>
          <w:b/>
          <w:bCs/>
          <w:sz w:val="28"/>
          <w:szCs w:val="28"/>
          <w:rtl/>
        </w:rPr>
        <w:t>20</w:t>
      </w:r>
      <w:r w:rsidR="00852A71" w:rsidRPr="00105C38">
        <w:rPr>
          <w:rFonts w:asciiTheme="majorBidi" w:hAnsiTheme="majorBidi" w:cstheme="majorBidi"/>
          <w:b/>
          <w:bCs/>
          <w:sz w:val="28"/>
          <w:szCs w:val="28"/>
          <w:rtl/>
        </w:rPr>
        <w:t>22</w:t>
      </w:r>
    </w:p>
    <w:tbl>
      <w:tblPr>
        <w:tblStyle w:val="TableGrid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86519F" w:rsidRPr="00F2434E" w14:paraId="4B744940" w14:textId="77777777" w:rsidTr="004E7AFE">
        <w:tc>
          <w:tcPr>
            <w:tcW w:w="7938" w:type="dxa"/>
          </w:tcPr>
          <w:p w14:paraId="238BF64A" w14:textId="77777777" w:rsidR="004E7AFE" w:rsidRPr="00F2434E" w:rsidRDefault="004E7AFE" w:rsidP="00F2434E">
            <w:pPr>
              <w:pStyle w:val="BodyText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20E6A98B" wp14:editId="6FB2CEDB">
                  <wp:extent cx="4953000" cy="2050793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2BC7EBEC" w14:textId="77777777" w:rsidR="00472CF8" w:rsidRDefault="00A81E32" w:rsidP="00105C38">
      <w:pPr>
        <w:pStyle w:val="BodyText3"/>
        <w:ind w:left="1701" w:hanging="2410"/>
        <w:jc w:val="both"/>
        <w:rPr>
          <w:rFonts w:asciiTheme="majorBidi" w:hAnsiTheme="majorBidi" w:cstheme="majorBidi"/>
          <w:sz w:val="20"/>
          <w:szCs w:val="20"/>
        </w:rPr>
      </w:pPr>
      <w:r w:rsidRPr="00F2434E">
        <w:rPr>
          <w:rFonts w:asciiTheme="majorBidi" w:hAnsiTheme="majorBidi" w:cstheme="majorBidi"/>
          <w:b/>
          <w:bCs/>
          <w:sz w:val="26"/>
          <w:szCs w:val="26"/>
        </w:rPr>
        <w:t xml:space="preserve">     </w:t>
      </w:r>
      <w:r w:rsidR="00105C38">
        <w:rPr>
          <w:rFonts w:asciiTheme="majorBidi" w:hAnsiTheme="majorBidi" w:cstheme="majorBidi"/>
          <w:b/>
          <w:bCs/>
          <w:sz w:val="26"/>
          <w:szCs w:val="26"/>
        </w:rPr>
        <w:t xml:space="preserve">      </w:t>
      </w:r>
      <w:r w:rsidRPr="00F2434E">
        <w:rPr>
          <w:rFonts w:asciiTheme="majorBidi" w:hAnsiTheme="majorBidi" w:cstheme="majorBidi"/>
          <w:b/>
          <w:bCs/>
          <w:sz w:val="20"/>
          <w:szCs w:val="20"/>
        </w:rPr>
        <w:t xml:space="preserve">Source: Palestinian Central Bureau of Statistics, </w:t>
      </w:r>
      <w:r w:rsidR="00190ABC" w:rsidRPr="00F2434E">
        <w:rPr>
          <w:rFonts w:asciiTheme="majorBidi" w:hAnsiTheme="majorBidi" w:cstheme="majorBidi"/>
          <w:b/>
          <w:bCs/>
          <w:sz w:val="20"/>
          <w:szCs w:val="20"/>
          <w:rtl/>
        </w:rPr>
        <w:t>2022</w:t>
      </w:r>
      <w:r w:rsidRPr="00F2434E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F2434E">
        <w:rPr>
          <w:rFonts w:asciiTheme="majorBidi" w:hAnsiTheme="majorBidi" w:cstheme="majorBidi"/>
          <w:sz w:val="20"/>
          <w:szCs w:val="20"/>
        </w:rPr>
        <w:t xml:space="preserve">Revised </w:t>
      </w:r>
      <w:r w:rsidR="00864286" w:rsidRPr="00F2434E">
        <w:rPr>
          <w:rFonts w:asciiTheme="majorBidi" w:hAnsiTheme="majorBidi" w:cstheme="majorBidi"/>
          <w:sz w:val="20"/>
          <w:szCs w:val="20"/>
        </w:rPr>
        <w:t xml:space="preserve">Estimates </w:t>
      </w:r>
      <w:r w:rsidR="00BF5BFB" w:rsidRPr="00F2434E">
        <w:rPr>
          <w:rFonts w:asciiTheme="majorBidi" w:hAnsiTheme="majorBidi" w:cstheme="majorBidi"/>
          <w:sz w:val="20"/>
          <w:szCs w:val="20"/>
        </w:rPr>
        <w:t xml:space="preserve">are </w:t>
      </w:r>
      <w:r w:rsidRPr="00F2434E">
        <w:rPr>
          <w:rFonts w:asciiTheme="majorBidi" w:hAnsiTheme="majorBidi" w:cstheme="majorBidi"/>
          <w:sz w:val="20"/>
          <w:szCs w:val="20"/>
        </w:rPr>
        <w:t xml:space="preserve">based on the </w:t>
      </w:r>
      <w:r w:rsidR="00F62050" w:rsidRPr="00F2434E">
        <w:rPr>
          <w:rFonts w:asciiTheme="majorBidi" w:hAnsiTheme="majorBidi" w:cstheme="majorBidi"/>
          <w:sz w:val="20"/>
          <w:szCs w:val="20"/>
        </w:rPr>
        <w:t xml:space="preserve">Final Results </w:t>
      </w:r>
      <w:r w:rsidRPr="00F2434E">
        <w:rPr>
          <w:rFonts w:asciiTheme="majorBidi" w:hAnsiTheme="majorBidi" w:cstheme="majorBidi"/>
          <w:sz w:val="20"/>
          <w:szCs w:val="20"/>
        </w:rPr>
        <w:t xml:space="preserve">of </w:t>
      </w:r>
      <w:r w:rsidR="00BF5BFB" w:rsidRPr="00F2434E">
        <w:rPr>
          <w:rFonts w:asciiTheme="majorBidi" w:hAnsiTheme="majorBidi" w:cstheme="majorBidi"/>
          <w:sz w:val="20"/>
          <w:szCs w:val="20"/>
        </w:rPr>
        <w:t xml:space="preserve">the </w:t>
      </w:r>
      <w:r w:rsidR="00105C38">
        <w:rPr>
          <w:rFonts w:asciiTheme="majorBidi" w:hAnsiTheme="majorBidi" w:cstheme="majorBidi"/>
          <w:sz w:val="20"/>
          <w:szCs w:val="20"/>
        </w:rPr>
        <w:t xml:space="preserve">Population, </w:t>
      </w:r>
    </w:p>
    <w:p w14:paraId="472B0A52" w14:textId="28ECE739" w:rsidR="004E7AFE" w:rsidRPr="00F2434E" w:rsidRDefault="00472CF8" w:rsidP="00105C38">
      <w:pPr>
        <w:pStyle w:val="BodyText3"/>
        <w:ind w:left="1701" w:hanging="241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</w:t>
      </w:r>
      <w:r w:rsidR="00A81E32" w:rsidRPr="00F2434E">
        <w:rPr>
          <w:rFonts w:asciiTheme="majorBidi" w:hAnsiTheme="majorBidi" w:cstheme="majorBidi"/>
          <w:sz w:val="20"/>
          <w:szCs w:val="20"/>
        </w:rPr>
        <w:t>Housing and Establishments Census, 2017. Ramallah – Palestine</w:t>
      </w:r>
    </w:p>
    <w:p w14:paraId="5937BF1C" w14:textId="5359E3CD" w:rsidR="00A81E32" w:rsidRPr="00F2434E" w:rsidRDefault="00472CF8" w:rsidP="00A81E32">
      <w:pPr>
        <w:pStyle w:val="BodyText3"/>
        <w:ind w:left="1701" w:hanging="2410"/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</w:t>
      </w:r>
    </w:p>
    <w:p w14:paraId="4AAB6E69" w14:textId="5D781E83" w:rsidR="000B2FCD" w:rsidRPr="00105C38" w:rsidRDefault="00A81BEB" w:rsidP="00BF5BFB">
      <w:pPr>
        <w:pStyle w:val="BodyText3"/>
        <w:jc w:val="both"/>
        <w:rPr>
          <w:rFonts w:asciiTheme="majorBidi" w:hAnsiTheme="majorBidi" w:cstheme="majorBidi"/>
          <w:sz w:val="28"/>
          <w:szCs w:val="28"/>
          <w:lang w:eastAsia="en-US"/>
        </w:rPr>
      </w:pPr>
      <w:r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445A5A"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Palestinian Population </w:t>
      </w:r>
      <w:r w:rsidR="00445022" w:rsidRPr="00105C38">
        <w:rPr>
          <w:rFonts w:asciiTheme="majorBidi" w:hAnsiTheme="majorBidi" w:cstheme="majorBidi"/>
          <w:b/>
          <w:bCs/>
          <w:sz w:val="28"/>
          <w:szCs w:val="28"/>
        </w:rPr>
        <w:t>is Young</w:t>
      </w:r>
      <w:r w:rsidR="00BF5BFB"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: More </w:t>
      </w:r>
      <w:r w:rsidR="00445022"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than </w:t>
      </w:r>
      <w:r w:rsidR="00CD7153" w:rsidRPr="00105C38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FB217B" w:rsidRPr="00105C38">
        <w:rPr>
          <w:rFonts w:asciiTheme="majorBidi" w:hAnsiTheme="majorBidi" w:cstheme="majorBidi"/>
          <w:b/>
          <w:bCs/>
          <w:sz w:val="28"/>
          <w:szCs w:val="28"/>
        </w:rPr>
        <w:t>ne-</w:t>
      </w:r>
      <w:r w:rsidR="00445022"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third of the Population </w:t>
      </w:r>
      <w:r w:rsidR="00CD7153"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is Less </w:t>
      </w:r>
      <w:r w:rsidR="00445022" w:rsidRPr="00105C38">
        <w:rPr>
          <w:rFonts w:asciiTheme="majorBidi" w:hAnsiTheme="majorBidi" w:cstheme="majorBidi"/>
          <w:b/>
          <w:bCs/>
          <w:sz w:val="28"/>
          <w:szCs w:val="28"/>
        </w:rPr>
        <w:t>than 15 Years</w:t>
      </w:r>
    </w:p>
    <w:p w14:paraId="2DB798CC" w14:textId="64375F41" w:rsidR="00E60850" w:rsidRPr="00F2434E" w:rsidRDefault="00C94EDE" w:rsidP="00190ABC">
      <w:pPr>
        <w:pStyle w:val="BodyText2"/>
        <w:rPr>
          <w:rFonts w:asciiTheme="majorBidi" w:hAnsiTheme="majorBidi" w:cstheme="majorBidi"/>
          <w:color w:val="auto"/>
        </w:rPr>
      </w:pPr>
      <w:r w:rsidRPr="00F2434E">
        <w:rPr>
          <w:rFonts w:asciiTheme="majorBidi" w:hAnsiTheme="majorBidi" w:cstheme="majorBidi"/>
          <w:color w:val="auto"/>
        </w:rPr>
        <w:t>T</w:t>
      </w:r>
      <w:r w:rsidR="00E60850" w:rsidRPr="00F2434E">
        <w:rPr>
          <w:rFonts w:asciiTheme="majorBidi" w:hAnsiTheme="majorBidi" w:cstheme="majorBidi"/>
          <w:color w:val="auto"/>
        </w:rPr>
        <w:t>he percentage of individuals aged (0-14)</w:t>
      </w:r>
      <w:r w:rsidR="008D37A5" w:rsidRPr="00F2434E">
        <w:rPr>
          <w:rFonts w:asciiTheme="majorBidi" w:hAnsiTheme="majorBidi" w:cstheme="majorBidi"/>
          <w:color w:val="auto"/>
        </w:rPr>
        <w:t xml:space="preserve"> years</w:t>
      </w:r>
      <w:r w:rsidR="00E60850" w:rsidRPr="00F2434E">
        <w:rPr>
          <w:rFonts w:asciiTheme="majorBidi" w:hAnsiTheme="majorBidi" w:cstheme="majorBidi"/>
          <w:color w:val="auto"/>
        </w:rPr>
        <w:t xml:space="preserve"> constituted</w:t>
      </w:r>
      <w:r w:rsidR="009B221D" w:rsidRPr="00F2434E">
        <w:rPr>
          <w:rFonts w:asciiTheme="majorBidi" w:hAnsiTheme="majorBidi" w:cstheme="majorBidi"/>
          <w:color w:val="auto"/>
        </w:rPr>
        <w:t xml:space="preserve"> </w:t>
      </w:r>
      <w:r w:rsidR="00905D31" w:rsidRPr="00F2434E">
        <w:rPr>
          <w:rFonts w:asciiTheme="majorBidi" w:hAnsiTheme="majorBidi" w:cstheme="majorBidi"/>
          <w:color w:val="auto"/>
        </w:rPr>
        <w:t>38</w:t>
      </w:r>
      <w:r w:rsidR="00E60850" w:rsidRPr="00F2434E">
        <w:rPr>
          <w:rFonts w:asciiTheme="majorBidi" w:hAnsiTheme="majorBidi" w:cstheme="majorBidi"/>
          <w:color w:val="auto"/>
        </w:rPr>
        <w:t xml:space="preserve">% of the total population </w:t>
      </w:r>
      <w:r w:rsidR="00970B89" w:rsidRPr="00F2434E">
        <w:rPr>
          <w:rFonts w:asciiTheme="majorBidi" w:hAnsiTheme="majorBidi" w:cstheme="majorBidi"/>
          <w:color w:val="auto"/>
        </w:rPr>
        <w:t xml:space="preserve">in </w:t>
      </w:r>
      <w:r w:rsidR="009B3E2C" w:rsidRPr="00F2434E">
        <w:rPr>
          <w:rFonts w:asciiTheme="majorBidi" w:hAnsiTheme="majorBidi" w:cstheme="majorBidi"/>
          <w:color w:val="auto"/>
        </w:rPr>
        <w:t>mid-</w:t>
      </w:r>
      <w:r w:rsidR="00190ABC" w:rsidRPr="00F2434E">
        <w:rPr>
          <w:rFonts w:asciiTheme="majorBidi" w:hAnsiTheme="majorBidi" w:cstheme="majorBidi"/>
          <w:color w:val="auto"/>
          <w:rtl/>
        </w:rPr>
        <w:t>2022</w:t>
      </w:r>
      <w:r w:rsidR="00C456B6" w:rsidRPr="00F2434E">
        <w:rPr>
          <w:rFonts w:asciiTheme="majorBidi" w:hAnsiTheme="majorBidi" w:cstheme="majorBidi"/>
          <w:color w:val="auto"/>
        </w:rPr>
        <w:t>;</w:t>
      </w:r>
      <w:r w:rsidR="00905D31" w:rsidRPr="00F2434E">
        <w:rPr>
          <w:rFonts w:asciiTheme="majorBidi" w:hAnsiTheme="majorBidi" w:cstheme="majorBidi"/>
          <w:color w:val="auto"/>
        </w:rPr>
        <w:t xml:space="preserve"> </w:t>
      </w:r>
      <w:r w:rsidR="006C32BC" w:rsidRPr="00F2434E">
        <w:rPr>
          <w:rFonts w:asciiTheme="majorBidi" w:hAnsiTheme="majorBidi" w:cstheme="majorBidi"/>
          <w:color w:val="auto"/>
        </w:rPr>
        <w:t xml:space="preserve">of </w:t>
      </w:r>
      <w:r w:rsidR="00DD34F3" w:rsidRPr="00F2434E">
        <w:rPr>
          <w:rFonts w:asciiTheme="majorBidi" w:hAnsiTheme="majorBidi" w:cstheme="majorBidi"/>
          <w:color w:val="auto"/>
        </w:rPr>
        <w:t xml:space="preserve">whom </w:t>
      </w:r>
      <w:r w:rsidR="00B405D0" w:rsidRPr="00F2434E">
        <w:rPr>
          <w:rFonts w:asciiTheme="majorBidi" w:hAnsiTheme="majorBidi" w:cstheme="majorBidi"/>
          <w:color w:val="auto"/>
        </w:rPr>
        <w:t>36</w:t>
      </w:r>
      <w:r w:rsidR="00314CB2" w:rsidRPr="00F2434E">
        <w:rPr>
          <w:rFonts w:asciiTheme="majorBidi" w:hAnsiTheme="majorBidi" w:cstheme="majorBidi"/>
          <w:color w:val="auto"/>
        </w:rPr>
        <w:t xml:space="preserve">% in </w:t>
      </w:r>
      <w:r w:rsidR="007B5DF7" w:rsidRPr="00F2434E">
        <w:rPr>
          <w:rFonts w:asciiTheme="majorBidi" w:hAnsiTheme="majorBidi" w:cstheme="majorBidi"/>
          <w:color w:val="auto"/>
        </w:rPr>
        <w:t xml:space="preserve">the </w:t>
      </w:r>
      <w:r w:rsidR="00E60850" w:rsidRPr="00F2434E">
        <w:rPr>
          <w:rFonts w:asciiTheme="majorBidi" w:hAnsiTheme="majorBidi" w:cstheme="majorBidi"/>
          <w:color w:val="auto"/>
        </w:rPr>
        <w:t xml:space="preserve">West Bank and </w:t>
      </w:r>
      <w:r w:rsidR="00CE1260" w:rsidRPr="00F2434E">
        <w:rPr>
          <w:rFonts w:asciiTheme="majorBidi" w:hAnsiTheme="majorBidi" w:cstheme="majorBidi"/>
          <w:color w:val="auto"/>
        </w:rPr>
        <w:t>41</w:t>
      </w:r>
      <w:r w:rsidR="00AC0DD5" w:rsidRPr="00F2434E">
        <w:rPr>
          <w:rFonts w:asciiTheme="majorBidi" w:hAnsiTheme="majorBidi" w:cstheme="majorBidi"/>
          <w:color w:val="auto"/>
        </w:rPr>
        <w:t xml:space="preserve">% in Gaza Strip. </w:t>
      </w:r>
      <w:r w:rsidR="00E60850" w:rsidRPr="00F2434E">
        <w:rPr>
          <w:rFonts w:asciiTheme="majorBidi" w:hAnsiTheme="majorBidi" w:cstheme="majorBidi"/>
          <w:color w:val="auto"/>
        </w:rPr>
        <w:t>The</w:t>
      </w:r>
      <w:r w:rsidR="007F0FB2" w:rsidRPr="00F2434E">
        <w:rPr>
          <w:rFonts w:asciiTheme="majorBidi" w:hAnsiTheme="majorBidi" w:cstheme="majorBidi"/>
          <w:color w:val="auto"/>
        </w:rPr>
        <w:t xml:space="preserve"> percentage of</w:t>
      </w:r>
      <w:r w:rsidR="00E60850" w:rsidRPr="00F2434E">
        <w:rPr>
          <w:rFonts w:asciiTheme="majorBidi" w:hAnsiTheme="majorBidi" w:cstheme="majorBidi"/>
          <w:color w:val="auto"/>
        </w:rPr>
        <w:t xml:space="preserve"> elderly population aged (65 years and </w:t>
      </w:r>
      <w:r w:rsidR="0051753D" w:rsidRPr="00F2434E">
        <w:rPr>
          <w:rFonts w:asciiTheme="majorBidi" w:hAnsiTheme="majorBidi" w:cstheme="majorBidi"/>
          <w:color w:val="auto"/>
        </w:rPr>
        <w:t>above</w:t>
      </w:r>
      <w:r w:rsidR="001C08EC" w:rsidRPr="00F2434E">
        <w:rPr>
          <w:rFonts w:asciiTheme="majorBidi" w:hAnsiTheme="majorBidi" w:cstheme="majorBidi"/>
          <w:color w:val="auto"/>
        </w:rPr>
        <w:t>)</w:t>
      </w:r>
      <w:r w:rsidR="00E60850" w:rsidRPr="00F2434E">
        <w:rPr>
          <w:rFonts w:asciiTheme="majorBidi" w:hAnsiTheme="majorBidi" w:cstheme="majorBidi"/>
          <w:color w:val="auto"/>
        </w:rPr>
        <w:t xml:space="preserve"> </w:t>
      </w:r>
      <w:r w:rsidR="007F0FB2" w:rsidRPr="00F2434E">
        <w:rPr>
          <w:rFonts w:asciiTheme="majorBidi" w:hAnsiTheme="majorBidi" w:cstheme="majorBidi"/>
          <w:color w:val="auto"/>
        </w:rPr>
        <w:t xml:space="preserve">reached </w:t>
      </w:r>
      <w:r w:rsidR="00905D31" w:rsidRPr="00F2434E">
        <w:rPr>
          <w:rFonts w:asciiTheme="majorBidi" w:hAnsiTheme="majorBidi" w:cstheme="majorBidi"/>
          <w:color w:val="auto"/>
        </w:rPr>
        <w:t>3</w:t>
      </w:r>
      <w:r w:rsidR="00E60850" w:rsidRPr="00F2434E">
        <w:rPr>
          <w:rFonts w:asciiTheme="majorBidi" w:hAnsiTheme="majorBidi" w:cstheme="majorBidi"/>
          <w:color w:val="auto"/>
        </w:rPr>
        <w:t>% of the total population</w:t>
      </w:r>
      <w:r w:rsidR="00C456B6" w:rsidRPr="00F2434E">
        <w:rPr>
          <w:rFonts w:asciiTheme="majorBidi" w:hAnsiTheme="majorBidi" w:cstheme="majorBidi"/>
          <w:color w:val="auto"/>
        </w:rPr>
        <w:t>;</w:t>
      </w:r>
      <w:r w:rsidR="00AC0DD5" w:rsidRPr="00F2434E">
        <w:rPr>
          <w:rFonts w:asciiTheme="majorBidi" w:hAnsiTheme="majorBidi" w:cstheme="majorBidi"/>
          <w:color w:val="auto"/>
        </w:rPr>
        <w:t xml:space="preserve"> of </w:t>
      </w:r>
      <w:r w:rsidR="00DD34F3" w:rsidRPr="00F2434E">
        <w:rPr>
          <w:rFonts w:asciiTheme="majorBidi" w:hAnsiTheme="majorBidi" w:cstheme="majorBidi"/>
          <w:color w:val="auto"/>
        </w:rPr>
        <w:t xml:space="preserve">whom </w:t>
      </w:r>
      <w:r w:rsidR="00905D31" w:rsidRPr="00F2434E">
        <w:rPr>
          <w:rFonts w:asciiTheme="majorBidi" w:hAnsiTheme="majorBidi" w:cstheme="majorBidi"/>
          <w:color w:val="auto"/>
        </w:rPr>
        <w:t>4</w:t>
      </w:r>
      <w:r w:rsidR="00E60850" w:rsidRPr="00F2434E">
        <w:rPr>
          <w:rFonts w:asciiTheme="majorBidi" w:hAnsiTheme="majorBidi" w:cstheme="majorBidi"/>
          <w:color w:val="auto"/>
        </w:rPr>
        <w:t xml:space="preserve">% in the West Bank and </w:t>
      </w:r>
      <w:r w:rsidR="00905D31" w:rsidRPr="00F2434E">
        <w:rPr>
          <w:rFonts w:asciiTheme="majorBidi" w:hAnsiTheme="majorBidi" w:cstheme="majorBidi"/>
          <w:color w:val="auto"/>
        </w:rPr>
        <w:t>3</w:t>
      </w:r>
      <w:r w:rsidR="00E60850" w:rsidRPr="00F2434E">
        <w:rPr>
          <w:rFonts w:asciiTheme="majorBidi" w:hAnsiTheme="majorBidi" w:cstheme="majorBidi"/>
          <w:color w:val="auto"/>
        </w:rPr>
        <w:t xml:space="preserve">% in Gaza </w:t>
      </w:r>
      <w:r w:rsidR="00970B89" w:rsidRPr="00F2434E">
        <w:rPr>
          <w:rFonts w:asciiTheme="majorBidi" w:hAnsiTheme="majorBidi" w:cstheme="majorBidi"/>
          <w:color w:val="auto"/>
        </w:rPr>
        <w:t>Strip in</w:t>
      </w:r>
      <w:r w:rsidR="00905D31" w:rsidRPr="00F2434E">
        <w:rPr>
          <w:rFonts w:asciiTheme="majorBidi" w:hAnsiTheme="majorBidi" w:cstheme="majorBidi"/>
          <w:color w:val="auto"/>
        </w:rPr>
        <w:t xml:space="preserve"> </w:t>
      </w:r>
      <w:r w:rsidR="009B3E2C" w:rsidRPr="00F2434E">
        <w:rPr>
          <w:rFonts w:asciiTheme="majorBidi" w:hAnsiTheme="majorBidi" w:cstheme="majorBidi"/>
          <w:color w:val="auto"/>
        </w:rPr>
        <w:t>mid-</w:t>
      </w:r>
      <w:r w:rsidR="00190ABC" w:rsidRPr="00F2434E">
        <w:rPr>
          <w:rFonts w:asciiTheme="majorBidi" w:hAnsiTheme="majorBidi" w:cstheme="majorBidi"/>
          <w:color w:val="auto"/>
          <w:rtl/>
        </w:rPr>
        <w:t>2022</w:t>
      </w:r>
      <w:r w:rsidR="00AF1DEF" w:rsidRPr="00F2434E">
        <w:rPr>
          <w:rFonts w:asciiTheme="majorBidi" w:hAnsiTheme="majorBidi" w:cstheme="majorBidi"/>
          <w:color w:val="auto"/>
        </w:rPr>
        <w:t>.</w:t>
      </w:r>
      <w:r w:rsidR="00E60850" w:rsidRPr="00F2434E">
        <w:rPr>
          <w:rFonts w:asciiTheme="majorBidi" w:hAnsiTheme="majorBidi" w:cstheme="majorBidi"/>
          <w:color w:val="auto"/>
        </w:rPr>
        <w:t> </w:t>
      </w:r>
    </w:p>
    <w:p w14:paraId="776D9E1A" w14:textId="77777777" w:rsidR="007C0466" w:rsidRPr="00F2434E" w:rsidRDefault="007C0466" w:rsidP="00AC0DD5">
      <w:pPr>
        <w:pStyle w:val="BodyText2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14:paraId="0544CE45" w14:textId="3FEB436E" w:rsidR="0042273B" w:rsidRPr="00105C38" w:rsidRDefault="0042273B" w:rsidP="0090430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105C38">
        <w:rPr>
          <w:rFonts w:asciiTheme="majorBidi" w:hAnsiTheme="majorBidi" w:cstheme="majorBidi"/>
          <w:b/>
          <w:bCs/>
          <w:sz w:val="28"/>
          <w:szCs w:val="28"/>
        </w:rPr>
        <w:t>A Decline in Fertility Rates</w:t>
      </w:r>
    </w:p>
    <w:p w14:paraId="3BA9EEEE" w14:textId="41564369" w:rsidR="0042273B" w:rsidRPr="00F2434E" w:rsidRDefault="0042273B" w:rsidP="001C38C0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F2434E">
        <w:rPr>
          <w:rFonts w:asciiTheme="majorBidi" w:hAnsiTheme="majorBidi" w:cstheme="majorBidi"/>
          <w:sz w:val="26"/>
          <w:szCs w:val="26"/>
        </w:rPr>
        <w:t xml:space="preserve">The total fertility rate during (2017 – 2019) declined to reach 3.8 births, compared to 4.6 births </w:t>
      </w:r>
      <w:r w:rsidR="00B3690A" w:rsidRPr="00F2434E">
        <w:rPr>
          <w:rFonts w:asciiTheme="majorBidi" w:hAnsiTheme="majorBidi" w:cstheme="majorBidi"/>
          <w:sz w:val="26"/>
          <w:szCs w:val="26"/>
        </w:rPr>
        <w:t>during the period (1999-2003);</w:t>
      </w:r>
      <w:r w:rsidRPr="00F2434E">
        <w:rPr>
          <w:rFonts w:asciiTheme="majorBidi" w:hAnsiTheme="majorBidi" w:cstheme="majorBidi"/>
          <w:sz w:val="26"/>
          <w:szCs w:val="26"/>
        </w:rPr>
        <w:t xml:space="preserve"> 3.8 births in the West Bank and 3.9 births in Gaza Strip.</w:t>
      </w:r>
      <w:r w:rsidR="00B3690A" w:rsidRPr="00F2434E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B3690A" w:rsidRPr="00F2434E">
        <w:rPr>
          <w:rFonts w:asciiTheme="majorBidi" w:hAnsiTheme="majorBidi" w:cstheme="majorBidi"/>
          <w:sz w:val="26"/>
          <w:szCs w:val="26"/>
        </w:rPr>
        <w:t>On the other hand</w:t>
      </w:r>
      <w:r w:rsidR="009B3E2C" w:rsidRPr="00F2434E">
        <w:rPr>
          <w:rFonts w:asciiTheme="majorBidi" w:hAnsiTheme="majorBidi" w:cstheme="majorBidi"/>
          <w:sz w:val="26"/>
          <w:szCs w:val="26"/>
        </w:rPr>
        <w:t>,</w:t>
      </w:r>
      <w:r w:rsidR="00B3690A" w:rsidRPr="00F2434E">
        <w:rPr>
          <w:rFonts w:asciiTheme="majorBidi" w:hAnsiTheme="majorBidi" w:cstheme="majorBidi"/>
          <w:sz w:val="26"/>
          <w:szCs w:val="26"/>
        </w:rPr>
        <w:t xml:space="preserve"> fertility rate was 3.8 </w:t>
      </w:r>
      <w:r w:rsidR="007F0FB2" w:rsidRPr="00F2434E">
        <w:rPr>
          <w:rFonts w:asciiTheme="majorBidi" w:hAnsiTheme="majorBidi" w:cstheme="majorBidi"/>
          <w:sz w:val="26"/>
          <w:szCs w:val="26"/>
        </w:rPr>
        <w:t xml:space="preserve">births </w:t>
      </w:r>
      <w:r w:rsidR="00B3690A" w:rsidRPr="00F2434E">
        <w:rPr>
          <w:rFonts w:asciiTheme="majorBidi" w:hAnsiTheme="majorBidi" w:cstheme="majorBidi"/>
          <w:sz w:val="26"/>
          <w:szCs w:val="26"/>
        </w:rPr>
        <w:t>in urban</w:t>
      </w:r>
      <w:r w:rsidR="007F0FB2" w:rsidRPr="00F2434E">
        <w:rPr>
          <w:rFonts w:asciiTheme="majorBidi" w:hAnsiTheme="majorBidi" w:cstheme="majorBidi"/>
          <w:sz w:val="26"/>
          <w:szCs w:val="26"/>
        </w:rPr>
        <w:t xml:space="preserve"> areas</w:t>
      </w:r>
      <w:r w:rsidR="00B3690A" w:rsidRPr="00F2434E">
        <w:rPr>
          <w:rFonts w:asciiTheme="majorBidi" w:hAnsiTheme="majorBidi" w:cstheme="majorBidi"/>
          <w:sz w:val="26"/>
          <w:szCs w:val="26"/>
        </w:rPr>
        <w:t xml:space="preserve"> compared to 4.4 births in rural areas and 3.5 births in the Palestinian </w:t>
      </w:r>
      <w:r w:rsidR="007F0FB2" w:rsidRPr="00F2434E">
        <w:rPr>
          <w:rFonts w:asciiTheme="majorBidi" w:hAnsiTheme="majorBidi" w:cstheme="majorBidi"/>
          <w:sz w:val="26"/>
          <w:szCs w:val="26"/>
        </w:rPr>
        <w:t xml:space="preserve">refugee </w:t>
      </w:r>
      <w:r w:rsidR="00B3690A" w:rsidRPr="00F2434E">
        <w:rPr>
          <w:rFonts w:asciiTheme="majorBidi" w:hAnsiTheme="majorBidi" w:cstheme="majorBidi"/>
          <w:sz w:val="26"/>
          <w:szCs w:val="26"/>
        </w:rPr>
        <w:t>camps.</w:t>
      </w:r>
    </w:p>
    <w:p w14:paraId="6B49750C" w14:textId="79521679" w:rsidR="00105C38" w:rsidRDefault="00105C38" w:rsidP="0042273B">
      <w:pPr>
        <w:tabs>
          <w:tab w:val="left" w:pos="540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D350C4D" w14:textId="4CA7F775" w:rsidR="00105C38" w:rsidRDefault="00105C38" w:rsidP="0042273B">
      <w:pPr>
        <w:tabs>
          <w:tab w:val="left" w:pos="540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2CD0FB4" w14:textId="0ADA78C6" w:rsidR="00105C38" w:rsidRDefault="00105C38" w:rsidP="0042273B">
      <w:pPr>
        <w:tabs>
          <w:tab w:val="left" w:pos="540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A57FCDF" w14:textId="12118BD4" w:rsidR="00105C38" w:rsidRDefault="00105C38" w:rsidP="0042273B">
      <w:pPr>
        <w:tabs>
          <w:tab w:val="left" w:pos="540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757261A" w14:textId="40481066" w:rsidR="0042273B" w:rsidRPr="00105C38" w:rsidRDefault="0042273B" w:rsidP="0042273B">
      <w:pPr>
        <w:tabs>
          <w:tab w:val="left" w:pos="54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05C38">
        <w:rPr>
          <w:rFonts w:asciiTheme="majorBidi" w:hAnsiTheme="majorBidi" w:cstheme="majorBidi"/>
          <w:b/>
          <w:bCs/>
          <w:sz w:val="28"/>
          <w:szCs w:val="28"/>
        </w:rPr>
        <w:lastRenderedPageBreak/>
        <w:t>Fertility Rate in the State of Palestine, Selected Years</w:t>
      </w:r>
    </w:p>
    <w:p w14:paraId="72347713" w14:textId="77777777" w:rsidR="00F2434E" w:rsidRPr="00105C38" w:rsidRDefault="00F2434E" w:rsidP="0042273B">
      <w:pPr>
        <w:tabs>
          <w:tab w:val="left" w:pos="5400"/>
        </w:tabs>
        <w:jc w:val="center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4633444" w14:textId="77777777" w:rsidR="0042273B" w:rsidRPr="00F2434E" w:rsidRDefault="0042273B" w:rsidP="0042273B">
      <w:pPr>
        <w:pStyle w:val="BodyTextIndent"/>
        <w:tabs>
          <w:tab w:val="right" w:pos="8100"/>
        </w:tabs>
        <w:ind w:right="71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F2434E">
        <w:rPr>
          <w:rFonts w:asciiTheme="majorBidi" w:hAnsiTheme="majorBidi" w:cstheme="majorBidi"/>
          <w:noProof/>
          <w:sz w:val="26"/>
          <w:szCs w:val="26"/>
          <w:rtl/>
          <w:lang w:eastAsia="en-US"/>
        </w:rPr>
        <w:drawing>
          <wp:inline distT="0" distB="0" distL="0" distR="0" wp14:anchorId="2B20F1E7" wp14:editId="1FCEC3BD">
            <wp:extent cx="4180840" cy="1590675"/>
            <wp:effectExtent l="0" t="0" r="10160" b="9525"/>
            <wp:docPr id="6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4A405D" w14:textId="3F15E92C" w:rsidR="00891D2D" w:rsidRPr="00105C38" w:rsidRDefault="00A81E32" w:rsidP="00105C38">
      <w:pPr>
        <w:pStyle w:val="BodyTextIndent"/>
        <w:tabs>
          <w:tab w:val="right" w:pos="1843"/>
          <w:tab w:val="right" w:pos="8100"/>
        </w:tabs>
        <w:ind w:right="71"/>
        <w:jc w:val="both"/>
        <w:rPr>
          <w:rFonts w:asciiTheme="majorBidi" w:hAnsiTheme="majorBidi" w:cstheme="majorBidi"/>
          <w:sz w:val="20"/>
          <w:szCs w:val="20"/>
        </w:rPr>
      </w:pPr>
      <w:r w:rsidRPr="00F2434E">
        <w:rPr>
          <w:rFonts w:asciiTheme="majorBidi" w:hAnsiTheme="majorBidi" w:cstheme="majorBidi"/>
          <w:b/>
          <w:bCs/>
          <w:sz w:val="20"/>
          <w:szCs w:val="20"/>
        </w:rPr>
        <w:t xml:space="preserve">Source: Palestinian Central Bureau of Statistics, </w:t>
      </w:r>
      <w:r w:rsidR="00962155" w:rsidRPr="00F2434E">
        <w:rPr>
          <w:rFonts w:asciiTheme="majorBidi" w:hAnsiTheme="majorBidi" w:cstheme="majorBidi"/>
          <w:b/>
          <w:bCs/>
          <w:sz w:val="20"/>
          <w:szCs w:val="20"/>
          <w:rtl/>
        </w:rPr>
        <w:t>2022</w:t>
      </w:r>
      <w:r w:rsidRPr="00F2434E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F2434E">
        <w:rPr>
          <w:rFonts w:asciiTheme="majorBidi" w:hAnsiTheme="majorBidi" w:cstheme="majorBidi"/>
          <w:sz w:val="20"/>
          <w:szCs w:val="20"/>
        </w:rPr>
        <w:t xml:space="preserve"> Database of </w:t>
      </w:r>
      <w:r w:rsidR="009B3E2C" w:rsidRPr="00F2434E">
        <w:rPr>
          <w:rFonts w:asciiTheme="majorBidi" w:hAnsiTheme="majorBidi" w:cstheme="majorBidi"/>
          <w:sz w:val="20"/>
          <w:szCs w:val="20"/>
        </w:rPr>
        <w:t xml:space="preserve">the </w:t>
      </w:r>
      <w:r w:rsidRPr="00F2434E">
        <w:rPr>
          <w:rFonts w:asciiTheme="majorBidi" w:hAnsiTheme="majorBidi" w:cstheme="majorBidi"/>
          <w:sz w:val="20"/>
          <w:szCs w:val="20"/>
        </w:rPr>
        <w:t>Demographic and Health</w:t>
      </w:r>
      <w:r w:rsidR="00F2434E" w:rsidRPr="00F2434E">
        <w:rPr>
          <w:rFonts w:asciiTheme="majorBidi" w:hAnsiTheme="majorBidi" w:cstheme="majorBidi"/>
          <w:sz w:val="20"/>
          <w:szCs w:val="20"/>
        </w:rPr>
        <w:t xml:space="preserve"> </w:t>
      </w:r>
      <w:r w:rsidRPr="00F2434E">
        <w:rPr>
          <w:rFonts w:asciiTheme="majorBidi" w:hAnsiTheme="majorBidi" w:cstheme="majorBidi"/>
          <w:sz w:val="20"/>
          <w:szCs w:val="20"/>
        </w:rPr>
        <w:t>Survey, 2004.</w:t>
      </w:r>
      <w:r w:rsidR="00105C38">
        <w:rPr>
          <w:rFonts w:asciiTheme="majorBidi" w:hAnsiTheme="majorBidi" w:cstheme="majorBidi"/>
          <w:sz w:val="20"/>
          <w:szCs w:val="20"/>
        </w:rPr>
        <w:t xml:space="preserve">               </w:t>
      </w:r>
      <w:r w:rsidRPr="00F2434E">
        <w:rPr>
          <w:rFonts w:asciiTheme="majorBidi" w:hAnsiTheme="majorBidi" w:cstheme="majorBidi"/>
          <w:sz w:val="20"/>
          <w:szCs w:val="20"/>
        </w:rPr>
        <w:t>Ramallah - Palestine.</w:t>
      </w:r>
    </w:p>
    <w:p w14:paraId="3F1412DE" w14:textId="24414C73" w:rsidR="0042273B" w:rsidRPr="00F2434E" w:rsidRDefault="00891D2D" w:rsidP="00105C38">
      <w:pPr>
        <w:pStyle w:val="BodyTextIndent"/>
        <w:tabs>
          <w:tab w:val="right" w:pos="8100"/>
        </w:tabs>
        <w:ind w:right="71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F2434E">
        <w:rPr>
          <w:rFonts w:asciiTheme="majorBidi" w:hAnsiTheme="majorBidi" w:cstheme="majorBidi"/>
          <w:b/>
          <w:bCs/>
          <w:sz w:val="20"/>
          <w:szCs w:val="20"/>
        </w:rPr>
        <w:t xml:space="preserve">Source: Palestinian Central Bureau of Statistics, </w:t>
      </w:r>
      <w:r w:rsidR="00962155" w:rsidRPr="00F2434E">
        <w:rPr>
          <w:rFonts w:asciiTheme="majorBidi" w:hAnsiTheme="majorBidi" w:cstheme="majorBidi"/>
          <w:b/>
          <w:bCs/>
          <w:sz w:val="20"/>
          <w:szCs w:val="20"/>
          <w:rtl/>
        </w:rPr>
        <w:t>2022</w:t>
      </w:r>
      <w:r w:rsidRPr="00F2434E">
        <w:rPr>
          <w:rFonts w:asciiTheme="majorBidi" w:hAnsiTheme="majorBidi" w:cstheme="majorBidi"/>
          <w:b/>
          <w:bCs/>
          <w:sz w:val="20"/>
          <w:szCs w:val="20"/>
        </w:rPr>
        <w:t xml:space="preserve">. Database </w:t>
      </w:r>
      <w:r w:rsidR="009B3E2C" w:rsidRPr="00F2434E">
        <w:rPr>
          <w:rFonts w:asciiTheme="majorBidi" w:hAnsiTheme="majorBidi" w:cstheme="majorBidi"/>
          <w:b/>
          <w:bCs/>
          <w:sz w:val="20"/>
          <w:szCs w:val="20"/>
        </w:rPr>
        <w:t xml:space="preserve">of the </w:t>
      </w:r>
      <w:r w:rsidR="00105C38">
        <w:rPr>
          <w:rFonts w:asciiTheme="majorBidi" w:hAnsiTheme="majorBidi" w:cstheme="majorBidi"/>
          <w:b/>
          <w:bCs/>
          <w:sz w:val="20"/>
          <w:szCs w:val="20"/>
        </w:rPr>
        <w:t>Palestinian Multiple</w:t>
      </w:r>
      <w:r w:rsidR="00F2434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F2434E">
        <w:rPr>
          <w:rFonts w:asciiTheme="majorBidi" w:hAnsiTheme="majorBidi" w:cstheme="majorBidi"/>
          <w:b/>
          <w:bCs/>
          <w:sz w:val="20"/>
          <w:szCs w:val="20"/>
        </w:rPr>
        <w:t>Indicator Cluster Survey</w:t>
      </w:r>
      <w:r w:rsidR="00105C38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Pr="00F2434E">
        <w:rPr>
          <w:rFonts w:asciiTheme="majorBidi" w:hAnsiTheme="majorBidi" w:cstheme="majorBidi"/>
          <w:b/>
          <w:bCs/>
          <w:sz w:val="20"/>
          <w:szCs w:val="20"/>
        </w:rPr>
        <w:t xml:space="preserve">2019-2020. Ramallah - Palestine.  </w:t>
      </w:r>
    </w:p>
    <w:p w14:paraId="56322D29" w14:textId="77777777" w:rsidR="00F2434E" w:rsidRPr="00105C38" w:rsidRDefault="00F2434E" w:rsidP="00F32A55">
      <w:pPr>
        <w:bidi w:val="0"/>
        <w:jc w:val="lowKashida"/>
        <w:rPr>
          <w:rFonts w:asciiTheme="majorBidi" w:hAnsiTheme="majorBidi" w:cstheme="majorBidi"/>
          <w:b/>
          <w:bCs/>
          <w:sz w:val="8"/>
          <w:szCs w:val="8"/>
        </w:rPr>
      </w:pPr>
    </w:p>
    <w:p w14:paraId="34F7ED60" w14:textId="77777777" w:rsidR="00472CF8" w:rsidRPr="00472CF8" w:rsidRDefault="00472CF8" w:rsidP="00F2434E">
      <w:pPr>
        <w:bidi w:val="0"/>
        <w:jc w:val="lowKashida"/>
        <w:rPr>
          <w:rFonts w:asciiTheme="majorBidi" w:hAnsiTheme="majorBidi" w:cstheme="majorBidi"/>
          <w:b/>
          <w:bCs/>
          <w:sz w:val="16"/>
          <w:szCs w:val="16"/>
        </w:rPr>
      </w:pPr>
    </w:p>
    <w:p w14:paraId="39A5CF9E" w14:textId="3D8F13D0" w:rsidR="00337A34" w:rsidRPr="00105C38" w:rsidRDefault="00337A34" w:rsidP="00472CF8">
      <w:p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One out of </w:t>
      </w:r>
      <w:r w:rsidR="00F32A55"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Ten </w:t>
      </w:r>
      <w:r w:rsidRPr="00105C38">
        <w:rPr>
          <w:rFonts w:asciiTheme="majorBidi" w:hAnsiTheme="majorBidi" w:cstheme="majorBidi"/>
          <w:b/>
          <w:bCs/>
          <w:sz w:val="28"/>
          <w:szCs w:val="28"/>
        </w:rPr>
        <w:t>Households is Headed by a Female</w:t>
      </w:r>
    </w:p>
    <w:p w14:paraId="5CFC7F1E" w14:textId="77777777" w:rsidR="00337A34" w:rsidRPr="00F2434E" w:rsidRDefault="00337A34" w:rsidP="00337A34">
      <w:pPr>
        <w:shd w:val="clear" w:color="auto" w:fill="FFFFFF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F2434E">
        <w:rPr>
          <w:rFonts w:asciiTheme="majorBidi" w:hAnsiTheme="majorBidi" w:cstheme="majorBidi"/>
          <w:sz w:val="26"/>
          <w:szCs w:val="26"/>
        </w:rPr>
        <w:t xml:space="preserve">Results of the Labor Force Survey, </w:t>
      </w:r>
      <w:r w:rsidRPr="00F2434E">
        <w:rPr>
          <w:rFonts w:asciiTheme="majorBidi" w:hAnsiTheme="majorBidi" w:cstheme="majorBidi"/>
          <w:sz w:val="26"/>
          <w:szCs w:val="26"/>
          <w:rtl/>
        </w:rPr>
        <w:t>2021</w:t>
      </w:r>
      <w:r w:rsidRPr="00F2434E">
        <w:rPr>
          <w:rFonts w:asciiTheme="majorBidi" w:hAnsiTheme="majorBidi" w:cstheme="majorBidi"/>
          <w:sz w:val="26"/>
          <w:szCs w:val="26"/>
        </w:rPr>
        <w:t xml:space="preserve"> showed that 11% of the households were headed by females in Palestine (12% in the West Bank and </w:t>
      </w:r>
      <w:r w:rsidRPr="00F2434E">
        <w:rPr>
          <w:rFonts w:asciiTheme="majorBidi" w:hAnsiTheme="majorBidi" w:cstheme="majorBidi"/>
          <w:sz w:val="26"/>
          <w:szCs w:val="26"/>
          <w:rtl/>
        </w:rPr>
        <w:t>10</w:t>
      </w:r>
      <w:r w:rsidRPr="00F2434E">
        <w:rPr>
          <w:rFonts w:asciiTheme="majorBidi" w:hAnsiTheme="majorBidi" w:cstheme="majorBidi"/>
          <w:sz w:val="26"/>
          <w:szCs w:val="26"/>
        </w:rPr>
        <w:t xml:space="preserve">% in Gaza Strip). </w:t>
      </w:r>
    </w:p>
    <w:p w14:paraId="13398930" w14:textId="77777777" w:rsidR="00337A34" w:rsidRPr="00105C38" w:rsidRDefault="00337A34" w:rsidP="00337A34">
      <w:pPr>
        <w:shd w:val="clear" w:color="auto" w:fill="FFFFFF"/>
        <w:bidi w:val="0"/>
        <w:jc w:val="both"/>
        <w:rPr>
          <w:rFonts w:asciiTheme="majorBidi" w:hAnsiTheme="majorBidi" w:cstheme="majorBidi"/>
          <w:sz w:val="8"/>
          <w:szCs w:val="8"/>
        </w:rPr>
      </w:pPr>
    </w:p>
    <w:p w14:paraId="51539121" w14:textId="77777777" w:rsidR="00337A34" w:rsidRPr="00105C38" w:rsidRDefault="00337A34" w:rsidP="00337A34">
      <w:pPr>
        <w:bidi w:val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105C38">
        <w:rPr>
          <w:rFonts w:asciiTheme="majorBidi" w:hAnsiTheme="majorBidi" w:cstheme="majorBidi"/>
          <w:b/>
          <w:bCs/>
          <w:sz w:val="28"/>
          <w:szCs w:val="28"/>
        </w:rPr>
        <w:t>Constant Decline in the Average Household Size</w:t>
      </w:r>
    </w:p>
    <w:p w14:paraId="0DF37203" w14:textId="575628C6" w:rsidR="00337A34" w:rsidRPr="00F2434E" w:rsidRDefault="00337A34" w:rsidP="008A2227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F2434E">
        <w:rPr>
          <w:rFonts w:asciiTheme="majorBidi" w:hAnsiTheme="majorBidi" w:cstheme="majorBidi"/>
          <w:sz w:val="26"/>
          <w:szCs w:val="26"/>
        </w:rPr>
        <w:t xml:space="preserve">The results of both the Labor Force Survey, </w:t>
      </w:r>
      <w:r w:rsidRPr="00F2434E">
        <w:rPr>
          <w:rFonts w:asciiTheme="majorBidi" w:hAnsiTheme="majorBidi" w:cstheme="majorBidi"/>
          <w:sz w:val="26"/>
          <w:szCs w:val="26"/>
          <w:rtl/>
        </w:rPr>
        <w:t>2021</w:t>
      </w:r>
      <w:r w:rsidRPr="00F2434E">
        <w:rPr>
          <w:rFonts w:asciiTheme="majorBidi" w:hAnsiTheme="majorBidi" w:cstheme="majorBidi"/>
          <w:sz w:val="26"/>
          <w:szCs w:val="26"/>
        </w:rPr>
        <w:t xml:space="preserve"> and the Population, Housing and Establishments Census, 2017 indicated a decline in the average household size in Palestine compared to 2007. Thus, the average size of the household declined to 5.</w:t>
      </w:r>
      <w:r w:rsidRPr="00F2434E">
        <w:rPr>
          <w:rFonts w:asciiTheme="majorBidi" w:hAnsiTheme="majorBidi" w:cstheme="majorBidi"/>
          <w:sz w:val="26"/>
          <w:szCs w:val="26"/>
          <w:rtl/>
        </w:rPr>
        <w:t>0</w:t>
      </w:r>
      <w:r w:rsidRPr="00F2434E">
        <w:rPr>
          <w:rFonts w:asciiTheme="majorBidi" w:hAnsiTheme="majorBidi" w:cstheme="majorBidi"/>
          <w:sz w:val="26"/>
          <w:szCs w:val="26"/>
        </w:rPr>
        <w:t xml:space="preserve"> individuals in </w:t>
      </w:r>
      <w:r w:rsidRPr="00F2434E">
        <w:rPr>
          <w:rFonts w:asciiTheme="majorBidi" w:hAnsiTheme="majorBidi" w:cstheme="majorBidi"/>
          <w:sz w:val="26"/>
          <w:szCs w:val="26"/>
          <w:rtl/>
        </w:rPr>
        <w:t>2021</w:t>
      </w:r>
      <w:r w:rsidRPr="00F2434E">
        <w:rPr>
          <w:rFonts w:asciiTheme="majorBidi" w:hAnsiTheme="majorBidi" w:cstheme="majorBidi"/>
          <w:sz w:val="26"/>
          <w:szCs w:val="26"/>
        </w:rPr>
        <w:t xml:space="preserve"> compared to 5.8 individuals in 2007. On the other hand, the average household size in the West Bank declined to 4.</w:t>
      </w:r>
      <w:r w:rsidRPr="00F2434E">
        <w:rPr>
          <w:rFonts w:asciiTheme="majorBidi" w:hAnsiTheme="majorBidi" w:cstheme="majorBidi"/>
          <w:sz w:val="26"/>
          <w:szCs w:val="26"/>
          <w:rtl/>
        </w:rPr>
        <w:t>7</w:t>
      </w:r>
      <w:r w:rsidRPr="00F2434E">
        <w:rPr>
          <w:rFonts w:asciiTheme="majorBidi" w:hAnsiTheme="majorBidi" w:cstheme="majorBidi"/>
          <w:sz w:val="26"/>
          <w:szCs w:val="26"/>
        </w:rPr>
        <w:t xml:space="preserve"> individuals in </w:t>
      </w:r>
      <w:r w:rsidR="008A2227" w:rsidRPr="00F2434E">
        <w:rPr>
          <w:rFonts w:asciiTheme="majorBidi" w:hAnsiTheme="majorBidi" w:cstheme="majorBidi"/>
          <w:sz w:val="26"/>
          <w:szCs w:val="26"/>
          <w:rtl/>
        </w:rPr>
        <w:t>2021</w:t>
      </w:r>
      <w:r w:rsidRPr="00F2434E">
        <w:rPr>
          <w:rFonts w:asciiTheme="majorBidi" w:hAnsiTheme="majorBidi" w:cstheme="majorBidi"/>
          <w:sz w:val="26"/>
          <w:szCs w:val="26"/>
        </w:rPr>
        <w:t xml:space="preserve"> compared to 5.5 individuals in 2007. In Gaza Strip, the average household size declined to 5.</w:t>
      </w:r>
      <w:r w:rsidRPr="00F2434E">
        <w:rPr>
          <w:rFonts w:asciiTheme="majorBidi" w:hAnsiTheme="majorBidi" w:cstheme="majorBidi"/>
          <w:sz w:val="26"/>
          <w:szCs w:val="26"/>
          <w:rtl/>
        </w:rPr>
        <w:t>6</w:t>
      </w:r>
      <w:r w:rsidRPr="00F2434E">
        <w:rPr>
          <w:rFonts w:asciiTheme="majorBidi" w:hAnsiTheme="majorBidi" w:cstheme="majorBidi"/>
          <w:sz w:val="26"/>
          <w:szCs w:val="26"/>
        </w:rPr>
        <w:t xml:space="preserve"> in </w:t>
      </w:r>
      <w:r w:rsidRPr="00F2434E">
        <w:rPr>
          <w:rFonts w:asciiTheme="majorBidi" w:hAnsiTheme="majorBidi" w:cstheme="majorBidi"/>
          <w:sz w:val="26"/>
          <w:szCs w:val="26"/>
          <w:rtl/>
        </w:rPr>
        <w:t>2021</w:t>
      </w:r>
      <w:r w:rsidRPr="00F2434E">
        <w:rPr>
          <w:rFonts w:asciiTheme="majorBidi" w:hAnsiTheme="majorBidi" w:cstheme="majorBidi"/>
          <w:sz w:val="26"/>
          <w:szCs w:val="26"/>
        </w:rPr>
        <w:t xml:space="preserve"> compared to 6.5 in 2007.</w:t>
      </w:r>
    </w:p>
    <w:p w14:paraId="4F699A75" w14:textId="77777777" w:rsidR="00337A34" w:rsidRPr="00105C38" w:rsidRDefault="00337A34" w:rsidP="00337A34">
      <w:pPr>
        <w:bidi w:val="0"/>
        <w:jc w:val="lowKashida"/>
        <w:rPr>
          <w:rFonts w:asciiTheme="majorBidi" w:hAnsiTheme="majorBidi" w:cstheme="majorBidi"/>
          <w:sz w:val="8"/>
          <w:szCs w:val="8"/>
        </w:rPr>
      </w:pPr>
    </w:p>
    <w:p w14:paraId="21574B47" w14:textId="5C4D1604" w:rsidR="00337A34" w:rsidRPr="00105C38" w:rsidRDefault="00337A34" w:rsidP="0090430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The Average Household Size in Palestine by Region, </w:t>
      </w:r>
      <w:r w:rsidR="0090430D" w:rsidRPr="00105C38">
        <w:rPr>
          <w:rFonts w:asciiTheme="majorBidi" w:hAnsiTheme="majorBidi" w:cstheme="majorBidi"/>
          <w:b/>
          <w:bCs/>
          <w:sz w:val="28"/>
          <w:szCs w:val="28"/>
        </w:rPr>
        <w:t>2007-2021</w:t>
      </w:r>
    </w:p>
    <w:p w14:paraId="2CEFB54A" w14:textId="77777777" w:rsidR="00337A34" w:rsidRPr="00105C38" w:rsidRDefault="00337A34" w:rsidP="00337A34">
      <w:pPr>
        <w:jc w:val="center"/>
        <w:rPr>
          <w:rFonts w:asciiTheme="majorBidi" w:hAnsiTheme="majorBidi" w:cstheme="majorBidi"/>
          <w:b/>
          <w:bCs/>
          <w:noProof/>
          <w:sz w:val="8"/>
          <w:szCs w:val="8"/>
          <w:rtl/>
        </w:rPr>
      </w:pPr>
      <w:r w:rsidRPr="00F2434E">
        <w:rPr>
          <w:rFonts w:asciiTheme="majorBidi" w:hAnsiTheme="majorBidi" w:cstheme="majorBidi"/>
          <w:b/>
          <w:bCs/>
          <w:noProof/>
          <w:sz w:val="26"/>
          <w:szCs w:val="26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8"/>
      </w:tblGrid>
      <w:tr w:rsidR="00337A34" w:rsidRPr="00F2434E" w14:paraId="4C3CB8C9" w14:textId="77777777" w:rsidTr="00105C38">
        <w:trPr>
          <w:trHeight w:val="2728"/>
          <w:jc w:val="center"/>
        </w:trPr>
        <w:tc>
          <w:tcPr>
            <w:tcW w:w="7438" w:type="dxa"/>
          </w:tcPr>
          <w:p w14:paraId="030AB134" w14:textId="77777777" w:rsidR="00337A34" w:rsidRPr="00F2434E" w:rsidRDefault="00337A34" w:rsidP="002C3FC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</w:rPr>
            </w:pPr>
            <w:r w:rsidRPr="00F2434E">
              <w:rPr>
                <w:rFonts w:asciiTheme="majorBidi" w:eastAsia="Calibr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A3D6A73" wp14:editId="338EE03A">
                  <wp:extent cx="4537075" cy="1647825"/>
                  <wp:effectExtent l="0" t="0" r="0" b="0"/>
                  <wp:docPr id="3" name="Ch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5089C6E5" w14:textId="4ED766DA" w:rsidR="00337A34" w:rsidRPr="00F2434E" w:rsidRDefault="00337A34" w:rsidP="00F2434E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b/>
          <w:bCs/>
          <w:snapToGrid w:val="0"/>
          <w:sz w:val="26"/>
          <w:szCs w:val="26"/>
          <w:rtl/>
          <w:lang w:eastAsia="ar-SA"/>
        </w:rPr>
      </w:pPr>
      <w:r w:rsidRPr="00F2434E">
        <w:rPr>
          <w:rFonts w:asciiTheme="majorBidi" w:hAnsiTheme="majorBidi" w:cstheme="majorBidi"/>
          <w:b/>
          <w:bCs/>
          <w:snapToGrid w:val="0"/>
          <w:sz w:val="20"/>
          <w:szCs w:val="20"/>
          <w:lang w:eastAsia="ar-SA"/>
        </w:rPr>
        <w:t>Source: Palestinian Central Bureau of Statistics, 202</w:t>
      </w:r>
      <w:r w:rsidRPr="00F2434E">
        <w:rPr>
          <w:rFonts w:asciiTheme="majorBidi" w:hAnsiTheme="majorBidi" w:cstheme="majorBidi"/>
          <w:b/>
          <w:bCs/>
          <w:snapToGrid w:val="0"/>
          <w:sz w:val="20"/>
          <w:szCs w:val="20"/>
          <w:rtl/>
          <w:lang w:eastAsia="ar-SA"/>
        </w:rPr>
        <w:t>2</w:t>
      </w:r>
      <w:r w:rsidRPr="00F2434E">
        <w:rPr>
          <w:rFonts w:asciiTheme="majorBidi" w:hAnsiTheme="majorBidi" w:cstheme="majorBidi"/>
          <w:b/>
          <w:bCs/>
          <w:snapToGrid w:val="0"/>
          <w:sz w:val="20"/>
          <w:szCs w:val="20"/>
          <w:lang w:eastAsia="ar-SA"/>
        </w:rPr>
        <w:t xml:space="preserve">. </w:t>
      </w:r>
      <w:r w:rsidRPr="00F2434E">
        <w:rPr>
          <w:rFonts w:asciiTheme="majorBidi" w:hAnsiTheme="majorBidi" w:cstheme="majorBidi"/>
          <w:snapToGrid w:val="0"/>
          <w:sz w:val="20"/>
          <w:szCs w:val="20"/>
          <w:lang w:eastAsia="ar-SA"/>
        </w:rPr>
        <w:t>Estimates</w:t>
      </w:r>
      <w:r w:rsidR="00514325" w:rsidRPr="00F2434E">
        <w:rPr>
          <w:rFonts w:asciiTheme="majorBidi" w:hAnsiTheme="majorBidi" w:cstheme="majorBidi"/>
          <w:snapToGrid w:val="0"/>
          <w:sz w:val="20"/>
          <w:szCs w:val="20"/>
          <w:lang w:eastAsia="ar-SA"/>
        </w:rPr>
        <w:t xml:space="preserve"> are</w:t>
      </w:r>
      <w:r w:rsidRPr="00F2434E">
        <w:rPr>
          <w:rFonts w:asciiTheme="majorBidi" w:hAnsiTheme="majorBidi" w:cstheme="majorBidi"/>
          <w:snapToGrid w:val="0"/>
          <w:sz w:val="20"/>
          <w:szCs w:val="20"/>
          <w:lang w:eastAsia="ar-SA"/>
        </w:rPr>
        <w:t xml:space="preserve"> based on the </w:t>
      </w:r>
      <w:r w:rsidR="00675901" w:rsidRPr="00F2434E">
        <w:rPr>
          <w:rFonts w:asciiTheme="majorBidi" w:hAnsiTheme="majorBidi" w:cstheme="majorBidi"/>
          <w:snapToGrid w:val="0"/>
          <w:sz w:val="20"/>
          <w:szCs w:val="20"/>
          <w:lang w:eastAsia="ar-SA"/>
        </w:rPr>
        <w:t xml:space="preserve">Results </w:t>
      </w:r>
      <w:r w:rsidRPr="00F2434E">
        <w:rPr>
          <w:rFonts w:asciiTheme="majorBidi" w:hAnsiTheme="majorBidi" w:cstheme="majorBidi"/>
          <w:snapToGrid w:val="0"/>
          <w:sz w:val="20"/>
          <w:szCs w:val="20"/>
          <w:lang w:eastAsia="ar-SA"/>
        </w:rPr>
        <w:t xml:space="preserve">of the Labor Force Survey and on the </w:t>
      </w:r>
      <w:r w:rsidR="00675901" w:rsidRPr="00F2434E">
        <w:rPr>
          <w:rFonts w:asciiTheme="majorBidi" w:hAnsiTheme="majorBidi" w:cstheme="majorBidi"/>
          <w:snapToGrid w:val="0"/>
          <w:sz w:val="20"/>
          <w:szCs w:val="20"/>
          <w:lang w:eastAsia="ar-SA"/>
        </w:rPr>
        <w:t xml:space="preserve">Final Results </w:t>
      </w:r>
      <w:r w:rsidRPr="00F2434E">
        <w:rPr>
          <w:rFonts w:asciiTheme="majorBidi" w:hAnsiTheme="majorBidi" w:cstheme="majorBidi"/>
          <w:snapToGrid w:val="0"/>
          <w:sz w:val="20"/>
          <w:szCs w:val="20"/>
          <w:lang w:eastAsia="ar-SA"/>
        </w:rPr>
        <w:t>of</w:t>
      </w:r>
      <w:r w:rsidR="00514325" w:rsidRPr="00F2434E">
        <w:rPr>
          <w:rFonts w:asciiTheme="majorBidi" w:hAnsiTheme="majorBidi" w:cstheme="majorBidi"/>
          <w:snapToGrid w:val="0"/>
          <w:sz w:val="20"/>
          <w:szCs w:val="20"/>
          <w:lang w:eastAsia="ar-SA"/>
        </w:rPr>
        <w:t xml:space="preserve"> the</w:t>
      </w:r>
      <w:r w:rsidRPr="00F2434E">
        <w:rPr>
          <w:rFonts w:asciiTheme="majorBidi" w:hAnsiTheme="majorBidi" w:cstheme="majorBidi"/>
          <w:snapToGrid w:val="0"/>
          <w:sz w:val="20"/>
          <w:szCs w:val="20"/>
          <w:lang w:eastAsia="ar-SA"/>
        </w:rPr>
        <w:t xml:space="preserve"> Population, Housing and Establishments Census, 2007, 202</w:t>
      </w:r>
      <w:r w:rsidRPr="00F2434E">
        <w:rPr>
          <w:rFonts w:asciiTheme="majorBidi" w:hAnsiTheme="majorBidi" w:cstheme="majorBidi"/>
          <w:snapToGrid w:val="0"/>
          <w:sz w:val="20"/>
          <w:szCs w:val="20"/>
          <w:rtl/>
          <w:lang w:eastAsia="ar-SA"/>
        </w:rPr>
        <w:t>1</w:t>
      </w:r>
      <w:r w:rsidRPr="00F2434E">
        <w:rPr>
          <w:rFonts w:asciiTheme="majorBidi" w:hAnsiTheme="majorBidi" w:cstheme="majorBidi"/>
          <w:snapToGrid w:val="0"/>
          <w:sz w:val="20"/>
          <w:szCs w:val="20"/>
          <w:lang w:eastAsia="ar-SA"/>
        </w:rPr>
        <w:t>. Ramallah - Palestine</w:t>
      </w:r>
      <w:r w:rsidRPr="00F2434E">
        <w:rPr>
          <w:rFonts w:asciiTheme="majorBidi" w:hAnsiTheme="majorBidi" w:cstheme="majorBidi"/>
          <w:snapToGrid w:val="0"/>
          <w:sz w:val="26"/>
          <w:szCs w:val="26"/>
          <w:rtl/>
          <w:lang w:eastAsia="ar-SA"/>
        </w:rPr>
        <w:t>.</w:t>
      </w:r>
    </w:p>
    <w:p w14:paraId="0DC1F9FE" w14:textId="1B2CC28E" w:rsidR="00576567" w:rsidRPr="00F2434E" w:rsidRDefault="00576567" w:rsidP="00F2434E">
      <w:pPr>
        <w:shd w:val="clear" w:color="auto" w:fill="FFFFFF"/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5CB1E21D" w14:textId="1D8DA0EB" w:rsidR="00576567" w:rsidRPr="00105C38" w:rsidRDefault="00576567" w:rsidP="008C5220">
      <w:pPr>
        <w:shd w:val="clear" w:color="auto" w:fill="FFFFFF"/>
        <w:jc w:val="right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105C38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A </w:t>
      </w:r>
      <w:r w:rsidR="008C5220" w:rsidRPr="00105C38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Significant Increase </w:t>
      </w:r>
      <w:r w:rsidRPr="00105C38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in </w:t>
      </w:r>
      <w:r w:rsidR="008C5220" w:rsidRPr="00105C38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Smoking Rates </w:t>
      </w:r>
      <w:r w:rsidRPr="00105C38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and a </w:t>
      </w:r>
      <w:r w:rsidR="008C5220" w:rsidRPr="00105C38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Large Gap </w:t>
      </w:r>
      <w:r w:rsidRPr="00105C38">
        <w:rPr>
          <w:rFonts w:asciiTheme="majorBidi" w:eastAsia="Calibri" w:hAnsiTheme="majorBidi" w:cstheme="majorBidi"/>
          <w:b/>
          <w:bCs/>
          <w:sz w:val="28"/>
          <w:szCs w:val="28"/>
        </w:rPr>
        <w:t>between the West Bank and Gaza Strip</w:t>
      </w:r>
      <w:r w:rsidRPr="00105C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</w:p>
    <w:p w14:paraId="2F3C6D32" w14:textId="1BC098A9" w:rsidR="00576567" w:rsidRPr="00F2434E" w:rsidRDefault="00576567" w:rsidP="00AB5853">
      <w:pPr>
        <w:shd w:val="clear" w:color="auto" w:fill="FFFFFF"/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F2434E">
        <w:rPr>
          <w:rFonts w:asciiTheme="majorBidi" w:hAnsiTheme="majorBidi" w:cstheme="majorBidi"/>
          <w:sz w:val="26"/>
          <w:szCs w:val="26"/>
        </w:rPr>
        <w:t xml:space="preserve">Results of the </w:t>
      </w:r>
      <w:r w:rsidRPr="00F2434E">
        <w:rPr>
          <w:rFonts w:asciiTheme="majorBidi" w:eastAsia="Calibri" w:hAnsiTheme="majorBidi" w:cstheme="majorBidi"/>
          <w:sz w:val="26"/>
          <w:szCs w:val="26"/>
        </w:rPr>
        <w:t>Smoking and Tobacco Consumption Survey, 2021</w:t>
      </w:r>
      <w:r w:rsidRPr="00F2434E">
        <w:rPr>
          <w:rFonts w:asciiTheme="majorBidi" w:hAnsiTheme="majorBidi" w:cstheme="majorBidi"/>
          <w:sz w:val="26"/>
          <w:szCs w:val="26"/>
        </w:rPr>
        <w:t xml:space="preserve"> showed that </w:t>
      </w:r>
      <w:r w:rsidRPr="00F2434E">
        <w:rPr>
          <w:rFonts w:asciiTheme="majorBidi" w:eastAsia="Calibri" w:hAnsiTheme="majorBidi" w:cstheme="majorBidi"/>
          <w:sz w:val="26"/>
          <w:szCs w:val="26"/>
        </w:rPr>
        <w:t>the percentage of individuals aged 18 years and above who smoke one or more products of smoked tobacco (manufactured cigarettes, hand-rolled cigarettes, cigars, and water- pipes) in Palestine increased to about 31% of the total individuals aged 18 years and above in the year 2021, while this percentage was about 23% for 2010. At the region’s level, the results of the survey indicated a large gap between the West Bank and Gaza Strip. There’s a clear increase in the prevalence of smoking among individuals aged 18 and above in the West Bank</w:t>
      </w:r>
      <w:r w:rsidR="00AB5853" w:rsidRPr="00F2434E">
        <w:rPr>
          <w:rFonts w:asciiTheme="majorBidi" w:eastAsia="Calibri" w:hAnsiTheme="majorBidi" w:cstheme="majorBidi"/>
          <w:sz w:val="26"/>
          <w:szCs w:val="26"/>
        </w:rPr>
        <w:t xml:space="preserve">,  as </w:t>
      </w:r>
      <w:r w:rsidR="0090430D" w:rsidRPr="00F2434E">
        <w:rPr>
          <w:rFonts w:asciiTheme="majorBidi" w:eastAsia="Calibri" w:hAnsiTheme="majorBidi" w:cstheme="majorBidi"/>
          <w:sz w:val="26"/>
          <w:szCs w:val="26"/>
        </w:rPr>
        <w:t>it reached about 40% in the West Bank, compared to 17% in Gaza Strip</w:t>
      </w:r>
      <w:r w:rsidR="00AB5853" w:rsidRPr="00F2434E">
        <w:rPr>
          <w:rFonts w:asciiTheme="majorBidi" w:eastAsia="Calibri" w:hAnsiTheme="majorBidi" w:cstheme="majorBidi"/>
          <w:sz w:val="26"/>
          <w:szCs w:val="26"/>
        </w:rPr>
        <w:t xml:space="preserve"> in 2021</w:t>
      </w:r>
      <w:r w:rsidR="0090430D" w:rsidRPr="00F2434E">
        <w:rPr>
          <w:rFonts w:asciiTheme="majorBidi" w:eastAsia="Calibri" w:hAnsiTheme="majorBidi" w:cstheme="majorBidi"/>
          <w:sz w:val="26"/>
          <w:szCs w:val="26"/>
        </w:rPr>
        <w:t>.</w:t>
      </w:r>
    </w:p>
    <w:p w14:paraId="1945D1DB" w14:textId="43A0EB9D" w:rsidR="00F2434E" w:rsidRPr="00F2434E" w:rsidRDefault="00576567" w:rsidP="00B95969">
      <w:pPr>
        <w:shd w:val="clear" w:color="auto" w:fill="FFFFFF"/>
        <w:bidi w:val="0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F2434E">
        <w:rPr>
          <w:rFonts w:asciiTheme="majorBidi" w:eastAsia="Calibri" w:hAnsiTheme="majorBidi" w:cstheme="majorBidi"/>
          <w:b/>
          <w:bCs/>
          <w:sz w:val="28"/>
          <w:szCs w:val="28"/>
        </w:rPr>
        <w:lastRenderedPageBreak/>
        <w:t xml:space="preserve">Percentage of </w:t>
      </w:r>
      <w:r w:rsidR="00F4785F"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Smoking </w:t>
      </w:r>
      <w:r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among </w:t>
      </w:r>
      <w:r w:rsidR="00F4785F"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Individuals Aged </w:t>
      </w:r>
      <w:r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(18 </w:t>
      </w:r>
      <w:r w:rsidR="00F4785F"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Years </w:t>
      </w:r>
      <w:r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and </w:t>
      </w:r>
      <w:r w:rsidR="00F4785F" w:rsidRPr="00F2434E">
        <w:rPr>
          <w:rFonts w:asciiTheme="majorBidi" w:eastAsia="Calibri" w:hAnsiTheme="majorBidi" w:cstheme="majorBidi"/>
          <w:b/>
          <w:bCs/>
          <w:sz w:val="28"/>
          <w:szCs w:val="28"/>
        </w:rPr>
        <w:t>Above</w:t>
      </w:r>
      <w:r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) by </w:t>
      </w:r>
      <w:r w:rsidR="00F4785F" w:rsidRPr="00F2434E">
        <w:rPr>
          <w:rFonts w:asciiTheme="majorBidi" w:eastAsia="Calibri" w:hAnsiTheme="majorBidi" w:cstheme="majorBidi"/>
          <w:b/>
          <w:bCs/>
          <w:sz w:val="28"/>
          <w:szCs w:val="28"/>
        </w:rPr>
        <w:t>Region</w:t>
      </w:r>
    </w:p>
    <w:p w14:paraId="75B6F249" w14:textId="16D9602C" w:rsidR="00576567" w:rsidRPr="00F2434E" w:rsidRDefault="00576567" w:rsidP="00F2434E">
      <w:pPr>
        <w:shd w:val="clear" w:color="auto" w:fill="FFFFFF"/>
        <w:bidi w:val="0"/>
        <w:jc w:val="center"/>
        <w:rPr>
          <w:rFonts w:asciiTheme="majorBidi" w:eastAsia="Calibri" w:hAnsiTheme="majorBidi" w:cstheme="majorBidi"/>
          <w:b/>
          <w:bCs/>
          <w:sz w:val="26"/>
          <w:szCs w:val="26"/>
        </w:rPr>
      </w:pPr>
      <w:r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and </w:t>
      </w:r>
      <w:r w:rsidR="00F4785F"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Sex </w:t>
      </w:r>
      <w:r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for the </w:t>
      </w:r>
      <w:r w:rsidR="00F4785F" w:rsidRPr="00F243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Years </w:t>
      </w:r>
      <w:r w:rsidRPr="00F2434E">
        <w:rPr>
          <w:rFonts w:asciiTheme="majorBidi" w:eastAsia="Calibri" w:hAnsiTheme="majorBidi" w:cstheme="majorBidi"/>
          <w:b/>
          <w:bCs/>
          <w:sz w:val="28"/>
          <w:szCs w:val="28"/>
        </w:rPr>
        <w:t>2010, 2021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281"/>
        <w:gridCol w:w="1281"/>
        <w:gridCol w:w="1281"/>
        <w:gridCol w:w="1282"/>
        <w:gridCol w:w="1281"/>
        <w:gridCol w:w="1162"/>
        <w:gridCol w:w="1549"/>
      </w:tblGrid>
      <w:tr w:rsidR="00B75978" w:rsidRPr="00F2434E" w14:paraId="605AF3F3" w14:textId="77777777" w:rsidTr="00F2434E">
        <w:trPr>
          <w:trHeight w:val="433"/>
          <w:jc w:val="center"/>
        </w:trPr>
        <w:tc>
          <w:tcPr>
            <w:tcW w:w="2568" w:type="dxa"/>
            <w:gridSpan w:val="3"/>
            <w:vAlign w:val="center"/>
          </w:tcPr>
          <w:p w14:paraId="6BE25C9F" w14:textId="77777777" w:rsidR="00B75978" w:rsidRPr="00F2434E" w:rsidRDefault="00B75978" w:rsidP="0000407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Females</w:t>
            </w:r>
          </w:p>
        </w:tc>
        <w:tc>
          <w:tcPr>
            <w:tcW w:w="2563" w:type="dxa"/>
            <w:gridSpan w:val="2"/>
          </w:tcPr>
          <w:p w14:paraId="660830AD" w14:textId="77777777" w:rsidR="00B75978" w:rsidRPr="00F2434E" w:rsidRDefault="00B75978" w:rsidP="0000407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Males</w:t>
            </w:r>
          </w:p>
        </w:tc>
        <w:tc>
          <w:tcPr>
            <w:tcW w:w="2443" w:type="dxa"/>
            <w:gridSpan w:val="2"/>
            <w:vAlign w:val="center"/>
          </w:tcPr>
          <w:p w14:paraId="634052DC" w14:textId="77777777" w:rsidR="00B75978" w:rsidRPr="00F2434E" w:rsidRDefault="00B75978" w:rsidP="0000407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Both sexes</w:t>
            </w:r>
          </w:p>
        </w:tc>
        <w:tc>
          <w:tcPr>
            <w:tcW w:w="1549" w:type="dxa"/>
            <w:vMerge w:val="restart"/>
          </w:tcPr>
          <w:p w14:paraId="35B79EFC" w14:textId="77777777" w:rsidR="00B75978" w:rsidRPr="00F2434E" w:rsidRDefault="00B75978" w:rsidP="0000407E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Region</w:t>
            </w:r>
          </w:p>
        </w:tc>
      </w:tr>
      <w:tr w:rsidR="00B75978" w:rsidRPr="00F2434E" w14:paraId="61CD8355" w14:textId="77777777" w:rsidTr="00F2434E">
        <w:trPr>
          <w:gridBefore w:val="1"/>
          <w:wBefore w:w="6" w:type="dxa"/>
          <w:trHeight w:val="412"/>
          <w:jc w:val="center"/>
        </w:trPr>
        <w:tc>
          <w:tcPr>
            <w:tcW w:w="1281" w:type="dxa"/>
          </w:tcPr>
          <w:p w14:paraId="1C4D9948" w14:textId="77777777" w:rsidR="00B75978" w:rsidRPr="00F2434E" w:rsidRDefault="00B75978" w:rsidP="0000407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</w:rPr>
              <w:t>2021</w:t>
            </w:r>
          </w:p>
        </w:tc>
        <w:tc>
          <w:tcPr>
            <w:tcW w:w="1281" w:type="dxa"/>
          </w:tcPr>
          <w:p w14:paraId="67FE1720" w14:textId="77777777" w:rsidR="00B75978" w:rsidRPr="00F2434E" w:rsidRDefault="00B75978" w:rsidP="0000407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</w:rPr>
              <w:t>2010</w:t>
            </w:r>
          </w:p>
        </w:tc>
        <w:tc>
          <w:tcPr>
            <w:tcW w:w="1281" w:type="dxa"/>
          </w:tcPr>
          <w:p w14:paraId="19CA1AC4" w14:textId="77777777" w:rsidR="00B75978" w:rsidRPr="00F2434E" w:rsidRDefault="00B75978" w:rsidP="0000407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</w:rPr>
              <w:t>2021</w:t>
            </w:r>
          </w:p>
        </w:tc>
        <w:tc>
          <w:tcPr>
            <w:tcW w:w="1282" w:type="dxa"/>
          </w:tcPr>
          <w:p w14:paraId="79719981" w14:textId="77777777" w:rsidR="00B75978" w:rsidRPr="00F2434E" w:rsidRDefault="00B75978" w:rsidP="0000407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</w:rPr>
              <w:t>2010</w:t>
            </w:r>
          </w:p>
        </w:tc>
        <w:tc>
          <w:tcPr>
            <w:tcW w:w="1281" w:type="dxa"/>
          </w:tcPr>
          <w:p w14:paraId="161AF4EF" w14:textId="77777777" w:rsidR="00B75978" w:rsidRPr="00F2434E" w:rsidRDefault="00B75978" w:rsidP="0000407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</w:rPr>
              <w:t>2021</w:t>
            </w:r>
          </w:p>
        </w:tc>
        <w:tc>
          <w:tcPr>
            <w:tcW w:w="1162" w:type="dxa"/>
          </w:tcPr>
          <w:p w14:paraId="23332D19" w14:textId="77777777" w:rsidR="00B75978" w:rsidRPr="00F2434E" w:rsidRDefault="00B75978" w:rsidP="0000407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</w:rPr>
              <w:t>2010</w:t>
            </w:r>
          </w:p>
        </w:tc>
        <w:tc>
          <w:tcPr>
            <w:tcW w:w="1549" w:type="dxa"/>
            <w:vMerge/>
          </w:tcPr>
          <w:p w14:paraId="7D55DB5D" w14:textId="77777777" w:rsidR="00B75978" w:rsidRPr="00F2434E" w:rsidRDefault="00B75978" w:rsidP="0000407E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75978" w:rsidRPr="00F2434E" w14:paraId="644E5543" w14:textId="77777777" w:rsidTr="00F2434E">
        <w:trPr>
          <w:gridBefore w:val="1"/>
          <w:wBefore w:w="6" w:type="dxa"/>
          <w:trHeight w:val="433"/>
          <w:jc w:val="center"/>
        </w:trPr>
        <w:tc>
          <w:tcPr>
            <w:tcW w:w="1281" w:type="dxa"/>
            <w:vAlign w:val="center"/>
          </w:tcPr>
          <w:p w14:paraId="24343A28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7.7</w:t>
            </w:r>
          </w:p>
        </w:tc>
        <w:tc>
          <w:tcPr>
            <w:tcW w:w="1281" w:type="dxa"/>
            <w:vAlign w:val="center"/>
          </w:tcPr>
          <w:p w14:paraId="02A7E80D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  <w:t>2.3</w:t>
            </w:r>
          </w:p>
        </w:tc>
        <w:tc>
          <w:tcPr>
            <w:tcW w:w="1281" w:type="dxa"/>
            <w:vAlign w:val="center"/>
          </w:tcPr>
          <w:p w14:paraId="7E7DF430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54.4</w:t>
            </w:r>
          </w:p>
        </w:tc>
        <w:tc>
          <w:tcPr>
            <w:tcW w:w="1282" w:type="dxa"/>
            <w:vAlign w:val="center"/>
          </w:tcPr>
          <w:p w14:paraId="410DE1DB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  <w:t>41.9</w:t>
            </w:r>
          </w:p>
        </w:tc>
        <w:tc>
          <w:tcPr>
            <w:tcW w:w="1281" w:type="dxa"/>
            <w:vAlign w:val="center"/>
          </w:tcPr>
          <w:p w14:paraId="4C9E683F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31.3</w:t>
            </w:r>
          </w:p>
        </w:tc>
        <w:tc>
          <w:tcPr>
            <w:tcW w:w="1162" w:type="dxa"/>
            <w:vAlign w:val="center"/>
          </w:tcPr>
          <w:p w14:paraId="741222FB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22.5</w:t>
            </w:r>
          </w:p>
        </w:tc>
        <w:tc>
          <w:tcPr>
            <w:tcW w:w="1549" w:type="dxa"/>
          </w:tcPr>
          <w:p w14:paraId="76D4FF2D" w14:textId="77777777" w:rsidR="00B75978" w:rsidRPr="00F2434E" w:rsidRDefault="00B75978" w:rsidP="0000407E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Palestine</w:t>
            </w:r>
          </w:p>
        </w:tc>
      </w:tr>
      <w:tr w:rsidR="00B75978" w:rsidRPr="00F2434E" w14:paraId="55A8A880" w14:textId="77777777" w:rsidTr="00F2434E">
        <w:trPr>
          <w:gridBefore w:val="1"/>
          <w:wBefore w:w="6" w:type="dxa"/>
          <w:trHeight w:val="412"/>
          <w:jc w:val="center"/>
        </w:trPr>
        <w:tc>
          <w:tcPr>
            <w:tcW w:w="1281" w:type="dxa"/>
            <w:vAlign w:val="center"/>
          </w:tcPr>
          <w:p w14:paraId="2C29C52E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</w:rPr>
              <w:t>12.2</w:t>
            </w:r>
          </w:p>
        </w:tc>
        <w:tc>
          <w:tcPr>
            <w:tcW w:w="1281" w:type="dxa"/>
            <w:vAlign w:val="center"/>
          </w:tcPr>
          <w:p w14:paraId="597E4762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  <w:lang w:eastAsia="ar-SA"/>
              </w:rPr>
              <w:t>3.5</w:t>
            </w:r>
          </w:p>
        </w:tc>
        <w:tc>
          <w:tcPr>
            <w:tcW w:w="1281" w:type="dxa"/>
            <w:vAlign w:val="center"/>
          </w:tcPr>
          <w:p w14:paraId="5C8553FD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</w:rPr>
              <w:t>67.2</w:t>
            </w:r>
          </w:p>
        </w:tc>
        <w:tc>
          <w:tcPr>
            <w:tcW w:w="1282" w:type="dxa"/>
            <w:vAlign w:val="center"/>
          </w:tcPr>
          <w:p w14:paraId="01F40581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  <w:lang w:eastAsia="ar-SA"/>
              </w:rPr>
              <w:t>49.5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983CB42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</w:rPr>
              <w:t>40.1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0194898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</w:rPr>
              <w:t>25.5</w:t>
            </w:r>
          </w:p>
        </w:tc>
        <w:tc>
          <w:tcPr>
            <w:tcW w:w="1549" w:type="dxa"/>
          </w:tcPr>
          <w:p w14:paraId="0502C0BC" w14:textId="77777777" w:rsidR="00B75978" w:rsidRPr="00F2434E" w:rsidRDefault="00B75978" w:rsidP="0000407E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West Bank</w:t>
            </w:r>
          </w:p>
        </w:tc>
      </w:tr>
      <w:tr w:rsidR="00B75978" w:rsidRPr="00F2434E" w14:paraId="6D8D4378" w14:textId="77777777" w:rsidTr="00F2434E">
        <w:trPr>
          <w:gridBefore w:val="1"/>
          <w:wBefore w:w="6" w:type="dxa"/>
          <w:trHeight w:val="433"/>
          <w:jc w:val="center"/>
        </w:trPr>
        <w:tc>
          <w:tcPr>
            <w:tcW w:w="1281" w:type="dxa"/>
            <w:vAlign w:val="center"/>
          </w:tcPr>
          <w:p w14:paraId="42552189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</w:rPr>
              <w:t>0.5</w:t>
            </w:r>
          </w:p>
        </w:tc>
        <w:tc>
          <w:tcPr>
            <w:tcW w:w="1281" w:type="dxa"/>
            <w:vAlign w:val="center"/>
          </w:tcPr>
          <w:p w14:paraId="56F45DA2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  <w:lang w:eastAsia="ar-SA"/>
              </w:rPr>
              <w:t>0.2</w:t>
            </w:r>
          </w:p>
        </w:tc>
        <w:tc>
          <w:tcPr>
            <w:tcW w:w="1281" w:type="dxa"/>
            <w:vAlign w:val="center"/>
          </w:tcPr>
          <w:p w14:paraId="77B8FA06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</w:rPr>
              <w:t>33.3</w:t>
            </w:r>
          </w:p>
        </w:tc>
        <w:tc>
          <w:tcPr>
            <w:tcW w:w="1282" w:type="dxa"/>
            <w:vAlign w:val="center"/>
          </w:tcPr>
          <w:p w14:paraId="0E5CA0C8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  <w:lang w:eastAsia="ar-SA"/>
              </w:rPr>
              <w:t>28.2</w:t>
            </w:r>
          </w:p>
        </w:tc>
        <w:tc>
          <w:tcPr>
            <w:tcW w:w="1281" w:type="dxa"/>
            <w:vAlign w:val="center"/>
          </w:tcPr>
          <w:p w14:paraId="1290E204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</w:rPr>
              <w:t>17.0</w:t>
            </w:r>
          </w:p>
        </w:tc>
        <w:tc>
          <w:tcPr>
            <w:tcW w:w="1162" w:type="dxa"/>
            <w:vAlign w:val="center"/>
          </w:tcPr>
          <w:p w14:paraId="5B3B6042" w14:textId="77777777" w:rsidR="00B75978" w:rsidRPr="00F2434E" w:rsidRDefault="00B75978" w:rsidP="0000407E">
            <w:pPr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2434E">
              <w:rPr>
                <w:rFonts w:asciiTheme="majorBidi" w:hAnsiTheme="majorBidi" w:cstheme="majorBidi"/>
                <w:sz w:val="26"/>
                <w:szCs w:val="26"/>
                <w:rtl/>
              </w:rPr>
              <w:t>14.6</w:t>
            </w:r>
          </w:p>
        </w:tc>
        <w:tc>
          <w:tcPr>
            <w:tcW w:w="1549" w:type="dxa"/>
          </w:tcPr>
          <w:p w14:paraId="0FE8B5A5" w14:textId="77777777" w:rsidR="00B75978" w:rsidRPr="00F2434E" w:rsidRDefault="00B75978" w:rsidP="0000407E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Gaza Strip</w:t>
            </w:r>
          </w:p>
        </w:tc>
      </w:tr>
    </w:tbl>
    <w:p w14:paraId="6A828AF3" w14:textId="77777777" w:rsidR="00576567" w:rsidRPr="00F2434E" w:rsidRDefault="00576567" w:rsidP="00576567">
      <w:pPr>
        <w:shd w:val="clear" w:color="auto" w:fill="FFFFFF"/>
        <w:bidi w:val="0"/>
        <w:jc w:val="both"/>
        <w:rPr>
          <w:rFonts w:asciiTheme="majorBidi" w:eastAsia="Calibri" w:hAnsiTheme="majorBidi" w:cstheme="majorBidi"/>
          <w:sz w:val="16"/>
          <w:szCs w:val="16"/>
        </w:rPr>
      </w:pPr>
    </w:p>
    <w:p w14:paraId="688EE833" w14:textId="40AA260E" w:rsidR="00B3690A" w:rsidRPr="00F2434E" w:rsidRDefault="00B3690A" w:rsidP="00900703">
      <w:pPr>
        <w:bidi w:val="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434E">
        <w:rPr>
          <w:rFonts w:asciiTheme="majorBidi" w:hAnsiTheme="majorBidi" w:cstheme="majorBidi"/>
          <w:b/>
          <w:bCs/>
          <w:sz w:val="28"/>
          <w:szCs w:val="28"/>
        </w:rPr>
        <w:t xml:space="preserve">13% of </w:t>
      </w:r>
      <w:r w:rsidR="00900703" w:rsidRPr="00F2434E">
        <w:rPr>
          <w:rFonts w:asciiTheme="majorBidi" w:hAnsiTheme="majorBidi" w:cstheme="majorBidi"/>
          <w:b/>
          <w:bCs/>
          <w:sz w:val="28"/>
          <w:szCs w:val="28"/>
        </w:rPr>
        <w:t xml:space="preserve">Women </w:t>
      </w:r>
      <w:r w:rsidRPr="00F2434E">
        <w:rPr>
          <w:rFonts w:asciiTheme="majorBidi" w:hAnsiTheme="majorBidi" w:cstheme="majorBidi"/>
          <w:b/>
          <w:bCs/>
          <w:sz w:val="28"/>
          <w:szCs w:val="28"/>
        </w:rPr>
        <w:t xml:space="preserve">in Palestine have </w:t>
      </w:r>
      <w:r w:rsidR="00900703" w:rsidRPr="00F2434E">
        <w:rPr>
          <w:rFonts w:asciiTheme="majorBidi" w:hAnsiTheme="majorBidi" w:cstheme="majorBidi"/>
          <w:b/>
          <w:bCs/>
          <w:sz w:val="28"/>
          <w:szCs w:val="28"/>
        </w:rPr>
        <w:t xml:space="preserve">Unmet Needs </w:t>
      </w:r>
      <w:r w:rsidRPr="00F2434E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 w:rsidR="00900703" w:rsidRPr="00F2434E">
        <w:rPr>
          <w:rFonts w:asciiTheme="majorBidi" w:hAnsiTheme="majorBidi" w:cstheme="majorBidi"/>
          <w:b/>
          <w:bCs/>
          <w:sz w:val="28"/>
          <w:szCs w:val="28"/>
        </w:rPr>
        <w:t>Family Planning</w:t>
      </w:r>
    </w:p>
    <w:p w14:paraId="4D6EDE66" w14:textId="269FA9BD" w:rsidR="00B3690A" w:rsidRPr="00F2434E" w:rsidRDefault="009B3E2C" w:rsidP="00442F04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F2434E">
        <w:rPr>
          <w:rFonts w:asciiTheme="majorBidi" w:hAnsiTheme="majorBidi" w:cstheme="majorBidi"/>
          <w:sz w:val="26"/>
          <w:szCs w:val="26"/>
        </w:rPr>
        <w:t>D</w:t>
      </w:r>
      <w:r w:rsidR="00B3690A" w:rsidRPr="00F2434E">
        <w:rPr>
          <w:rFonts w:asciiTheme="majorBidi" w:hAnsiTheme="majorBidi" w:cstheme="majorBidi"/>
          <w:sz w:val="26"/>
          <w:szCs w:val="26"/>
        </w:rPr>
        <w:t xml:space="preserve">ata of the </w:t>
      </w:r>
      <w:r w:rsidR="007F0FB2" w:rsidRPr="00F2434E">
        <w:rPr>
          <w:rFonts w:asciiTheme="majorBidi" w:hAnsiTheme="majorBidi" w:cstheme="majorBidi"/>
          <w:sz w:val="26"/>
          <w:szCs w:val="26"/>
        </w:rPr>
        <w:t xml:space="preserve">Palestinian Multiple </w:t>
      </w:r>
      <w:r w:rsidR="00536726" w:rsidRPr="00F2434E">
        <w:rPr>
          <w:rFonts w:asciiTheme="majorBidi" w:hAnsiTheme="majorBidi" w:cstheme="majorBidi"/>
          <w:sz w:val="26"/>
          <w:szCs w:val="26"/>
        </w:rPr>
        <w:t xml:space="preserve">Indicator </w:t>
      </w:r>
      <w:r w:rsidR="007F0FB2" w:rsidRPr="00F2434E">
        <w:rPr>
          <w:rFonts w:asciiTheme="majorBidi" w:hAnsiTheme="majorBidi" w:cstheme="majorBidi"/>
          <w:sz w:val="26"/>
          <w:szCs w:val="26"/>
        </w:rPr>
        <w:t>Cluster Survey 2019-2020 (</w:t>
      </w:r>
      <w:r w:rsidRPr="00F2434E">
        <w:rPr>
          <w:rFonts w:asciiTheme="majorBidi" w:hAnsiTheme="majorBidi" w:cstheme="majorBidi"/>
          <w:sz w:val="26"/>
          <w:szCs w:val="26"/>
        </w:rPr>
        <w:t>PMICS6</w:t>
      </w:r>
      <w:r w:rsidR="007F0FB2" w:rsidRPr="00F2434E">
        <w:rPr>
          <w:rFonts w:asciiTheme="majorBidi" w:hAnsiTheme="majorBidi" w:cstheme="majorBidi"/>
          <w:sz w:val="26"/>
          <w:szCs w:val="26"/>
        </w:rPr>
        <w:t>)</w:t>
      </w:r>
      <w:r w:rsidRPr="00F2434E">
        <w:rPr>
          <w:rFonts w:asciiTheme="majorBidi" w:hAnsiTheme="majorBidi" w:cstheme="majorBidi"/>
          <w:sz w:val="26"/>
          <w:szCs w:val="26"/>
        </w:rPr>
        <w:t xml:space="preserve"> </w:t>
      </w:r>
      <w:r w:rsidR="00B3690A" w:rsidRPr="00F2434E">
        <w:rPr>
          <w:rFonts w:asciiTheme="majorBidi" w:hAnsiTheme="majorBidi" w:cstheme="majorBidi"/>
          <w:sz w:val="26"/>
          <w:szCs w:val="26"/>
        </w:rPr>
        <w:t xml:space="preserve">indicated that the percentage of women in the age group </w:t>
      </w:r>
      <w:r w:rsidR="006E3C0E" w:rsidRPr="00F2434E">
        <w:rPr>
          <w:rFonts w:asciiTheme="majorBidi" w:hAnsiTheme="majorBidi" w:cstheme="majorBidi"/>
          <w:sz w:val="26"/>
          <w:szCs w:val="26"/>
        </w:rPr>
        <w:t>(</w:t>
      </w:r>
      <w:r w:rsidR="00B3690A" w:rsidRPr="00F2434E">
        <w:rPr>
          <w:rFonts w:asciiTheme="majorBidi" w:hAnsiTheme="majorBidi" w:cstheme="majorBidi"/>
          <w:sz w:val="26"/>
          <w:szCs w:val="26"/>
        </w:rPr>
        <w:t>15-49 years</w:t>
      </w:r>
      <w:r w:rsidR="006E3C0E" w:rsidRPr="00F2434E">
        <w:rPr>
          <w:rFonts w:asciiTheme="majorBidi" w:hAnsiTheme="majorBidi" w:cstheme="majorBidi"/>
          <w:sz w:val="26"/>
          <w:szCs w:val="26"/>
        </w:rPr>
        <w:t>)</w:t>
      </w:r>
      <w:r w:rsidR="00B3690A" w:rsidRPr="00F2434E">
        <w:rPr>
          <w:rFonts w:asciiTheme="majorBidi" w:hAnsiTheme="majorBidi" w:cstheme="majorBidi"/>
          <w:sz w:val="26"/>
          <w:szCs w:val="26"/>
        </w:rPr>
        <w:t xml:space="preserve"> who are currently married, able to have children and wish to space their pregnancies</w:t>
      </w:r>
      <w:r w:rsidR="006E3C0E" w:rsidRPr="00F2434E">
        <w:rPr>
          <w:rFonts w:asciiTheme="majorBidi" w:hAnsiTheme="majorBidi" w:cstheme="majorBidi"/>
          <w:sz w:val="26"/>
          <w:szCs w:val="26"/>
        </w:rPr>
        <w:t>,</w:t>
      </w:r>
      <w:r w:rsidR="00B3690A" w:rsidRPr="00F2434E">
        <w:rPr>
          <w:rFonts w:asciiTheme="majorBidi" w:hAnsiTheme="majorBidi" w:cstheme="majorBidi"/>
          <w:sz w:val="26"/>
          <w:szCs w:val="26"/>
        </w:rPr>
        <w:t xml:space="preserve"> or reduce the number of children and do not use any means of family planning in Palestine reached 13</w:t>
      </w:r>
      <w:r w:rsidR="006E3C0E" w:rsidRPr="00F2434E">
        <w:rPr>
          <w:rFonts w:asciiTheme="majorBidi" w:hAnsiTheme="majorBidi" w:cstheme="majorBidi"/>
          <w:sz w:val="26"/>
          <w:szCs w:val="26"/>
        </w:rPr>
        <w:t xml:space="preserve">% </w:t>
      </w:r>
      <w:r w:rsidR="00536726" w:rsidRPr="00F2434E">
        <w:rPr>
          <w:rFonts w:asciiTheme="majorBidi" w:hAnsiTheme="majorBidi" w:cstheme="majorBidi"/>
          <w:sz w:val="26"/>
          <w:szCs w:val="26"/>
        </w:rPr>
        <w:t>(</w:t>
      </w:r>
      <w:r w:rsidRPr="00F2434E">
        <w:rPr>
          <w:rFonts w:asciiTheme="majorBidi" w:hAnsiTheme="majorBidi" w:cstheme="majorBidi"/>
          <w:sz w:val="26"/>
          <w:szCs w:val="26"/>
        </w:rPr>
        <w:t>14</w:t>
      </w:r>
      <w:r w:rsidR="00B3690A" w:rsidRPr="00F2434E">
        <w:rPr>
          <w:rFonts w:asciiTheme="majorBidi" w:hAnsiTheme="majorBidi" w:cstheme="majorBidi"/>
          <w:sz w:val="26"/>
          <w:szCs w:val="26"/>
        </w:rPr>
        <w:t>%</w:t>
      </w:r>
      <w:r w:rsidRPr="00F2434E">
        <w:rPr>
          <w:rFonts w:asciiTheme="majorBidi" w:hAnsiTheme="majorBidi" w:cstheme="majorBidi"/>
          <w:sz w:val="26"/>
          <w:szCs w:val="26"/>
        </w:rPr>
        <w:t xml:space="preserve"> in the West Bank </w:t>
      </w:r>
      <w:r w:rsidR="00B3690A" w:rsidRPr="00F2434E">
        <w:rPr>
          <w:rFonts w:asciiTheme="majorBidi" w:hAnsiTheme="majorBidi" w:cstheme="majorBidi"/>
          <w:sz w:val="26"/>
          <w:szCs w:val="26"/>
        </w:rPr>
        <w:t>compared to 12% in Gaza Strip</w:t>
      </w:r>
      <w:r w:rsidR="00536726" w:rsidRPr="00F2434E">
        <w:rPr>
          <w:rFonts w:asciiTheme="majorBidi" w:hAnsiTheme="majorBidi" w:cstheme="majorBidi"/>
          <w:sz w:val="26"/>
          <w:szCs w:val="26"/>
        </w:rPr>
        <w:t>)</w:t>
      </w:r>
      <w:r w:rsidR="00B3690A" w:rsidRPr="00F2434E">
        <w:rPr>
          <w:rFonts w:asciiTheme="majorBidi" w:hAnsiTheme="majorBidi" w:cstheme="majorBidi"/>
          <w:sz w:val="26"/>
          <w:szCs w:val="26"/>
        </w:rPr>
        <w:t>.</w:t>
      </w:r>
    </w:p>
    <w:p w14:paraId="261381F9" w14:textId="07188F4C" w:rsidR="00576567" w:rsidRPr="00F2434E" w:rsidRDefault="00576567" w:rsidP="00576567">
      <w:pPr>
        <w:bidi w:val="0"/>
        <w:jc w:val="lowKashida"/>
        <w:rPr>
          <w:rFonts w:asciiTheme="majorBidi" w:hAnsiTheme="majorBidi" w:cstheme="majorBidi"/>
          <w:sz w:val="16"/>
          <w:szCs w:val="16"/>
          <w:rtl/>
        </w:rPr>
      </w:pPr>
    </w:p>
    <w:p w14:paraId="6B1D9713" w14:textId="2BFE5C15" w:rsidR="00B3690A" w:rsidRPr="00F2434E" w:rsidRDefault="00B3690A" w:rsidP="00582213">
      <w:pPr>
        <w:bidi w:val="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434E">
        <w:rPr>
          <w:rFonts w:asciiTheme="majorBidi" w:hAnsiTheme="majorBidi" w:cstheme="majorBidi"/>
          <w:b/>
          <w:bCs/>
          <w:sz w:val="28"/>
          <w:szCs w:val="28"/>
        </w:rPr>
        <w:t xml:space="preserve">95% of </w:t>
      </w:r>
      <w:r w:rsidR="00582213" w:rsidRPr="00F2434E">
        <w:rPr>
          <w:rFonts w:asciiTheme="majorBidi" w:hAnsiTheme="majorBidi" w:cstheme="majorBidi"/>
          <w:b/>
          <w:bCs/>
          <w:sz w:val="28"/>
          <w:szCs w:val="28"/>
        </w:rPr>
        <w:t xml:space="preserve">Women </w:t>
      </w:r>
      <w:r w:rsidRPr="00F2434E">
        <w:rPr>
          <w:rFonts w:asciiTheme="majorBidi" w:hAnsiTheme="majorBidi" w:cstheme="majorBidi"/>
          <w:b/>
          <w:bCs/>
          <w:sz w:val="28"/>
          <w:szCs w:val="28"/>
        </w:rPr>
        <w:t xml:space="preserve">in Palestine </w:t>
      </w:r>
      <w:r w:rsidR="00582213" w:rsidRPr="00F2434E">
        <w:rPr>
          <w:rFonts w:asciiTheme="majorBidi" w:hAnsiTheme="majorBidi" w:cstheme="majorBidi"/>
          <w:b/>
          <w:bCs/>
          <w:sz w:val="28"/>
          <w:szCs w:val="28"/>
        </w:rPr>
        <w:t>Received Prenatal Health Care</w:t>
      </w:r>
    </w:p>
    <w:p w14:paraId="6939A2F2" w14:textId="525775F5" w:rsidR="00B3690A" w:rsidRPr="00F2434E" w:rsidRDefault="009B3E2C" w:rsidP="000F49EE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F2434E">
        <w:rPr>
          <w:rFonts w:asciiTheme="majorBidi" w:hAnsiTheme="majorBidi" w:cstheme="majorBidi"/>
          <w:sz w:val="26"/>
          <w:szCs w:val="26"/>
        </w:rPr>
        <w:t>R</w:t>
      </w:r>
      <w:r w:rsidR="00B3690A" w:rsidRPr="00F2434E">
        <w:rPr>
          <w:rFonts w:asciiTheme="majorBidi" w:hAnsiTheme="majorBidi" w:cstheme="majorBidi"/>
          <w:sz w:val="26"/>
          <w:szCs w:val="26"/>
        </w:rPr>
        <w:t xml:space="preserve">esults of the </w:t>
      </w:r>
      <w:r w:rsidRPr="00F2434E">
        <w:rPr>
          <w:rFonts w:asciiTheme="majorBidi" w:hAnsiTheme="majorBidi" w:cstheme="majorBidi"/>
          <w:sz w:val="26"/>
          <w:szCs w:val="26"/>
        </w:rPr>
        <w:t>PMICS</w:t>
      </w:r>
      <w:r w:rsidR="006E3C0E" w:rsidRPr="00F2434E">
        <w:rPr>
          <w:rFonts w:asciiTheme="majorBidi" w:hAnsiTheme="majorBidi" w:cstheme="majorBidi"/>
          <w:sz w:val="26"/>
          <w:szCs w:val="26"/>
        </w:rPr>
        <w:t>6</w:t>
      </w:r>
      <w:r w:rsidR="00B3690A" w:rsidRPr="00F2434E">
        <w:rPr>
          <w:rFonts w:asciiTheme="majorBidi" w:hAnsiTheme="majorBidi" w:cstheme="majorBidi"/>
          <w:sz w:val="26"/>
          <w:szCs w:val="26"/>
        </w:rPr>
        <w:t xml:space="preserve"> </w:t>
      </w:r>
      <w:r w:rsidR="00B3690A" w:rsidRPr="00F2434E">
        <w:rPr>
          <w:rFonts w:asciiTheme="majorBidi" w:hAnsiTheme="majorBidi" w:cstheme="majorBidi"/>
          <w:sz w:val="26"/>
          <w:szCs w:val="26"/>
          <w:rtl/>
        </w:rPr>
        <w:t>)</w:t>
      </w:r>
      <w:r w:rsidR="00B3690A" w:rsidRPr="00F2434E">
        <w:rPr>
          <w:rFonts w:asciiTheme="majorBidi" w:hAnsiTheme="majorBidi" w:cstheme="majorBidi"/>
          <w:sz w:val="26"/>
          <w:szCs w:val="26"/>
        </w:rPr>
        <w:t>2019-2020</w:t>
      </w:r>
      <w:r w:rsidR="00B3690A" w:rsidRPr="00F2434E">
        <w:rPr>
          <w:rFonts w:asciiTheme="majorBidi" w:hAnsiTheme="majorBidi" w:cstheme="majorBidi"/>
          <w:sz w:val="26"/>
          <w:szCs w:val="26"/>
          <w:rtl/>
        </w:rPr>
        <w:t>(</w:t>
      </w:r>
      <w:r w:rsidR="00B3690A" w:rsidRPr="00F2434E">
        <w:rPr>
          <w:rFonts w:asciiTheme="majorBidi" w:hAnsiTheme="majorBidi" w:cstheme="majorBidi"/>
          <w:sz w:val="26"/>
          <w:szCs w:val="26"/>
        </w:rPr>
        <w:t xml:space="preserve"> </w:t>
      </w:r>
      <w:r w:rsidR="006E3C0E" w:rsidRPr="00F2434E">
        <w:rPr>
          <w:rFonts w:asciiTheme="majorBidi" w:hAnsiTheme="majorBidi" w:cstheme="majorBidi"/>
          <w:sz w:val="26"/>
          <w:szCs w:val="26"/>
        </w:rPr>
        <w:t xml:space="preserve">showed </w:t>
      </w:r>
      <w:r w:rsidR="00B3690A" w:rsidRPr="00F2434E">
        <w:rPr>
          <w:rFonts w:asciiTheme="majorBidi" w:hAnsiTheme="majorBidi" w:cstheme="majorBidi"/>
          <w:sz w:val="26"/>
          <w:szCs w:val="26"/>
        </w:rPr>
        <w:t xml:space="preserve">that about 95% of women aged 15-49 years received </w:t>
      </w:r>
      <w:r w:rsidR="000F49EE" w:rsidRPr="00F2434E">
        <w:rPr>
          <w:rFonts w:asciiTheme="majorBidi" w:hAnsiTheme="majorBidi" w:cstheme="majorBidi"/>
          <w:sz w:val="26"/>
          <w:szCs w:val="26"/>
        </w:rPr>
        <w:t xml:space="preserve">prenatal </w:t>
      </w:r>
      <w:r w:rsidR="00B3690A" w:rsidRPr="00F2434E">
        <w:rPr>
          <w:rFonts w:asciiTheme="majorBidi" w:hAnsiTheme="majorBidi" w:cstheme="majorBidi"/>
          <w:sz w:val="26"/>
          <w:szCs w:val="26"/>
        </w:rPr>
        <w:t>health care at least four times by a health care provider during pregnancy; and about 73% of women in the same age received health care eight times or more during pregnancy.</w:t>
      </w:r>
    </w:p>
    <w:p w14:paraId="632CFF3E" w14:textId="77777777" w:rsidR="00B3690A" w:rsidRPr="00F2434E" w:rsidRDefault="00B3690A" w:rsidP="00B3690A">
      <w:pPr>
        <w:bidi w:val="0"/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207BF441" w14:textId="77777777" w:rsidR="006602EE" w:rsidRPr="00F2434E" w:rsidRDefault="006602EE" w:rsidP="006602EE">
      <w:pPr>
        <w:pStyle w:val="BodyText3"/>
        <w:rPr>
          <w:rFonts w:asciiTheme="majorBidi" w:hAnsiTheme="majorBidi" w:cstheme="majorBidi"/>
          <w:b/>
          <w:bCs/>
          <w:sz w:val="28"/>
          <w:szCs w:val="28"/>
        </w:rPr>
      </w:pPr>
      <w:r w:rsidRPr="00F2434E">
        <w:rPr>
          <w:rFonts w:asciiTheme="majorBidi" w:hAnsiTheme="majorBidi" w:cstheme="majorBidi"/>
          <w:b/>
          <w:bCs/>
          <w:sz w:val="28"/>
          <w:szCs w:val="28"/>
        </w:rPr>
        <w:t>Low Illiteracy Rate in Palestine</w:t>
      </w:r>
    </w:p>
    <w:p w14:paraId="4E562F50" w14:textId="7B9378B4" w:rsidR="006602EE" w:rsidRPr="00F2434E" w:rsidRDefault="006602EE" w:rsidP="008C5220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F2434E">
        <w:rPr>
          <w:rFonts w:asciiTheme="majorBidi" w:hAnsiTheme="majorBidi" w:cstheme="majorBidi"/>
          <w:sz w:val="26"/>
          <w:szCs w:val="26"/>
        </w:rPr>
        <w:t>The Labor Force Survey</w:t>
      </w:r>
      <w:r w:rsidR="001229DD" w:rsidRPr="00F2434E">
        <w:rPr>
          <w:rFonts w:asciiTheme="majorBidi" w:hAnsiTheme="majorBidi" w:cstheme="majorBidi"/>
          <w:sz w:val="26"/>
          <w:szCs w:val="26"/>
        </w:rPr>
        <w:t>,</w:t>
      </w:r>
      <w:r w:rsidRPr="00F2434E">
        <w:rPr>
          <w:rFonts w:asciiTheme="majorBidi" w:hAnsiTheme="majorBidi" w:cstheme="majorBidi"/>
          <w:sz w:val="26"/>
          <w:szCs w:val="26"/>
        </w:rPr>
        <w:t xml:space="preserve"> 2021 data showed that illiteracy rate among individuals (15 years and above) was 2.3%. The illiteracy gap is significantly noticed among males and females with percentages of 1.2% and 3.5%, respectively</w:t>
      </w:r>
      <w:r w:rsidR="001229DD" w:rsidRPr="00F2434E">
        <w:rPr>
          <w:rFonts w:asciiTheme="majorBidi" w:hAnsiTheme="majorBidi" w:cstheme="majorBidi"/>
          <w:sz w:val="26"/>
          <w:szCs w:val="26"/>
        </w:rPr>
        <w:t xml:space="preserve">.  </w:t>
      </w:r>
      <w:r w:rsidR="00EC0DBA" w:rsidRPr="00F2434E">
        <w:rPr>
          <w:rFonts w:asciiTheme="majorBidi" w:hAnsiTheme="majorBidi" w:cstheme="majorBidi"/>
          <w:sz w:val="26"/>
          <w:szCs w:val="26"/>
        </w:rPr>
        <w:t xml:space="preserve">Data </w:t>
      </w:r>
      <w:r w:rsidR="0090430D" w:rsidRPr="00F2434E">
        <w:rPr>
          <w:rFonts w:asciiTheme="majorBidi" w:hAnsiTheme="majorBidi" w:cstheme="majorBidi"/>
          <w:sz w:val="26"/>
          <w:szCs w:val="26"/>
        </w:rPr>
        <w:t xml:space="preserve">also indicated that the percentage of individuals (aged 15 years and above), who have completed university education (bachelor degree and above) was 17% </w:t>
      </w:r>
      <w:r w:rsidR="00F4785F" w:rsidRPr="00F2434E">
        <w:rPr>
          <w:rFonts w:asciiTheme="majorBidi" w:hAnsiTheme="majorBidi" w:cstheme="majorBidi"/>
          <w:sz w:val="26"/>
          <w:szCs w:val="26"/>
        </w:rPr>
        <w:t>(</w:t>
      </w:r>
      <w:r w:rsidR="00B233E5" w:rsidRPr="00F2434E">
        <w:rPr>
          <w:rFonts w:asciiTheme="majorBidi" w:hAnsiTheme="majorBidi" w:cstheme="majorBidi"/>
          <w:sz w:val="26"/>
          <w:szCs w:val="26"/>
        </w:rPr>
        <w:t>16% for males and 19% for females</w:t>
      </w:r>
      <w:r w:rsidR="00F4785F" w:rsidRPr="00F2434E">
        <w:rPr>
          <w:rFonts w:asciiTheme="majorBidi" w:hAnsiTheme="majorBidi" w:cstheme="majorBidi"/>
          <w:sz w:val="26"/>
          <w:szCs w:val="26"/>
        </w:rPr>
        <w:t>)</w:t>
      </w:r>
      <w:r w:rsidR="00B233E5" w:rsidRPr="00F2434E">
        <w:rPr>
          <w:rFonts w:asciiTheme="majorBidi" w:hAnsiTheme="majorBidi" w:cstheme="majorBidi"/>
          <w:sz w:val="26"/>
          <w:szCs w:val="26"/>
        </w:rPr>
        <w:t xml:space="preserve"> </w:t>
      </w:r>
      <w:r w:rsidR="0090430D" w:rsidRPr="00F2434E">
        <w:rPr>
          <w:rFonts w:asciiTheme="majorBidi" w:hAnsiTheme="majorBidi" w:cstheme="majorBidi"/>
          <w:sz w:val="26"/>
          <w:szCs w:val="26"/>
        </w:rPr>
        <w:t xml:space="preserve">while the percentage of individuals who didn't complete any stage of education reached </w:t>
      </w:r>
      <w:r w:rsidR="00B233E5" w:rsidRPr="00F2434E">
        <w:rPr>
          <w:rFonts w:asciiTheme="majorBidi" w:hAnsiTheme="majorBidi" w:cstheme="majorBidi"/>
          <w:sz w:val="26"/>
          <w:szCs w:val="26"/>
          <w:rtl/>
        </w:rPr>
        <w:t>7</w:t>
      </w:r>
      <w:r w:rsidR="0090430D" w:rsidRPr="00F2434E">
        <w:rPr>
          <w:rFonts w:asciiTheme="majorBidi" w:hAnsiTheme="majorBidi" w:cstheme="majorBidi"/>
          <w:sz w:val="26"/>
          <w:szCs w:val="26"/>
        </w:rPr>
        <w:t>%</w:t>
      </w:r>
      <w:r w:rsidR="005646F6" w:rsidRPr="00F2434E">
        <w:rPr>
          <w:rFonts w:asciiTheme="majorBidi" w:hAnsiTheme="majorBidi" w:cstheme="majorBidi"/>
          <w:sz w:val="26"/>
          <w:szCs w:val="26"/>
        </w:rPr>
        <w:t xml:space="preserve"> </w:t>
      </w:r>
      <w:r w:rsidR="00F4785F" w:rsidRPr="00F2434E">
        <w:rPr>
          <w:rFonts w:asciiTheme="majorBidi" w:hAnsiTheme="majorBidi" w:cstheme="majorBidi"/>
          <w:sz w:val="26"/>
          <w:szCs w:val="26"/>
        </w:rPr>
        <w:t>(</w:t>
      </w:r>
      <w:r w:rsidR="00B233E5" w:rsidRPr="00F2434E">
        <w:rPr>
          <w:rFonts w:asciiTheme="majorBidi" w:hAnsiTheme="majorBidi" w:cstheme="majorBidi"/>
          <w:sz w:val="26"/>
          <w:szCs w:val="26"/>
        </w:rPr>
        <w:t>6% for males and 9% for females</w:t>
      </w:r>
      <w:r w:rsidR="00F4785F" w:rsidRPr="00F2434E">
        <w:rPr>
          <w:rFonts w:asciiTheme="majorBidi" w:hAnsiTheme="majorBidi" w:cstheme="majorBidi"/>
          <w:sz w:val="26"/>
          <w:szCs w:val="26"/>
        </w:rPr>
        <w:t>)</w:t>
      </w:r>
      <w:r w:rsidR="00B233E5" w:rsidRPr="00F2434E">
        <w:rPr>
          <w:rFonts w:asciiTheme="majorBidi" w:hAnsiTheme="majorBidi" w:cstheme="majorBidi"/>
          <w:sz w:val="26"/>
          <w:szCs w:val="26"/>
        </w:rPr>
        <w:t>.</w:t>
      </w:r>
    </w:p>
    <w:p w14:paraId="5B61F7C3" w14:textId="77777777" w:rsidR="006602EE" w:rsidRPr="00F2434E" w:rsidRDefault="006602EE" w:rsidP="006602EE">
      <w:pPr>
        <w:bidi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16A04405" w14:textId="7DBBEB7F" w:rsidR="006602EE" w:rsidRPr="00105C38" w:rsidRDefault="006602EE" w:rsidP="00105C3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Illiteracy Rates among Palestinian Population (15 </w:t>
      </w:r>
      <w:r w:rsidR="00F4785F"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Years </w:t>
      </w:r>
      <w:r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="00F4785F" w:rsidRPr="00105C38">
        <w:rPr>
          <w:rFonts w:asciiTheme="majorBidi" w:hAnsiTheme="majorBidi" w:cstheme="majorBidi"/>
          <w:b/>
          <w:bCs/>
          <w:sz w:val="28"/>
          <w:szCs w:val="28"/>
        </w:rPr>
        <w:t>Above</w:t>
      </w:r>
      <w:r w:rsidRPr="00105C38">
        <w:rPr>
          <w:rFonts w:asciiTheme="majorBidi" w:hAnsiTheme="majorBidi" w:cstheme="majorBidi"/>
          <w:b/>
          <w:bCs/>
          <w:sz w:val="28"/>
          <w:szCs w:val="28"/>
        </w:rPr>
        <w:t>) in Palestine by Sex: 2000-2021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253"/>
      </w:tblGrid>
      <w:tr w:rsidR="0086519F" w:rsidRPr="00F2434E" w14:paraId="42FBD88D" w14:textId="77777777" w:rsidTr="00472CF8">
        <w:tc>
          <w:tcPr>
            <w:tcW w:w="9253" w:type="dxa"/>
          </w:tcPr>
          <w:p w14:paraId="1D5E3AA0" w14:textId="77777777" w:rsidR="006602EE" w:rsidRPr="00F2434E" w:rsidRDefault="006602EE" w:rsidP="001018F3">
            <w:pPr>
              <w:pStyle w:val="BodyText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434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40FA9D21" wp14:editId="0BB8A175">
                  <wp:extent cx="5629275" cy="219075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2FD7A813" w14:textId="05DDA36C" w:rsidR="006602EE" w:rsidRPr="00105C38" w:rsidRDefault="006602EE" w:rsidP="00105C38">
      <w:pPr>
        <w:pStyle w:val="BodyTextIndent"/>
        <w:tabs>
          <w:tab w:val="right" w:pos="8100"/>
        </w:tabs>
        <w:ind w:right="71"/>
        <w:jc w:val="both"/>
        <w:rPr>
          <w:rFonts w:asciiTheme="majorBidi" w:hAnsiTheme="majorBidi" w:cstheme="majorBidi"/>
          <w:sz w:val="20"/>
          <w:szCs w:val="20"/>
          <w:rtl/>
        </w:rPr>
      </w:pPr>
      <w:r w:rsidRPr="00105C38">
        <w:rPr>
          <w:rFonts w:asciiTheme="majorBidi" w:hAnsiTheme="majorBidi" w:cstheme="majorBidi"/>
          <w:b/>
          <w:bCs/>
          <w:sz w:val="20"/>
          <w:szCs w:val="20"/>
        </w:rPr>
        <w:t xml:space="preserve">Source: Palestinian Central Bureau of Statistics, 2022. </w:t>
      </w:r>
      <w:r w:rsidRPr="00105C38">
        <w:rPr>
          <w:rFonts w:asciiTheme="majorBidi" w:hAnsiTheme="majorBidi" w:cstheme="majorBidi"/>
          <w:sz w:val="20"/>
          <w:szCs w:val="20"/>
        </w:rPr>
        <w:t xml:space="preserve">Database of the Labor Force </w:t>
      </w:r>
      <w:r w:rsidR="00105C38" w:rsidRPr="00105C38">
        <w:rPr>
          <w:rFonts w:asciiTheme="majorBidi" w:hAnsiTheme="majorBidi" w:cstheme="majorBidi"/>
          <w:sz w:val="20"/>
          <w:szCs w:val="20"/>
        </w:rPr>
        <w:t xml:space="preserve">  </w:t>
      </w:r>
      <w:r w:rsidRPr="00105C38">
        <w:rPr>
          <w:rFonts w:asciiTheme="majorBidi" w:hAnsiTheme="majorBidi" w:cstheme="majorBidi"/>
          <w:sz w:val="20"/>
          <w:szCs w:val="20"/>
        </w:rPr>
        <w:t xml:space="preserve">Survey 2000-2021. Ramallah - </w:t>
      </w:r>
      <w:r w:rsidR="00105C38">
        <w:rPr>
          <w:rFonts w:asciiTheme="majorBidi" w:hAnsiTheme="majorBidi" w:cstheme="majorBidi"/>
          <w:sz w:val="20"/>
          <w:szCs w:val="20"/>
        </w:rPr>
        <w:t xml:space="preserve"> </w:t>
      </w:r>
      <w:r w:rsidRPr="00105C38">
        <w:rPr>
          <w:rFonts w:asciiTheme="majorBidi" w:hAnsiTheme="majorBidi" w:cstheme="majorBidi"/>
          <w:sz w:val="20"/>
          <w:szCs w:val="20"/>
        </w:rPr>
        <w:t>Palestine.</w:t>
      </w:r>
    </w:p>
    <w:p w14:paraId="1DB2AE55" w14:textId="2FBF18CB" w:rsidR="00472CF8" w:rsidRPr="00472CF8" w:rsidRDefault="00472CF8" w:rsidP="00472CF8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b/>
          <w:bCs/>
          <w:snapToGrid w:val="0"/>
          <w:sz w:val="16"/>
          <w:szCs w:val="16"/>
          <w:lang w:eastAsia="ar-SA"/>
        </w:rPr>
      </w:pPr>
    </w:p>
    <w:p w14:paraId="48CFFE9B" w14:textId="77777777" w:rsidR="00472CF8" w:rsidRDefault="00472CF8" w:rsidP="00472CF8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</w:pPr>
    </w:p>
    <w:p w14:paraId="61369E5B" w14:textId="77777777" w:rsidR="00472CF8" w:rsidRDefault="00472CF8" w:rsidP="00472CF8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</w:pPr>
    </w:p>
    <w:p w14:paraId="582E5FFA" w14:textId="77777777" w:rsidR="00472CF8" w:rsidRDefault="00472CF8" w:rsidP="00472CF8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</w:pPr>
    </w:p>
    <w:p w14:paraId="7CF685AF" w14:textId="77777777" w:rsidR="00C513BB" w:rsidRDefault="00C513BB" w:rsidP="00472CF8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</w:pPr>
    </w:p>
    <w:p w14:paraId="2367D5A1" w14:textId="2FD5AF7C" w:rsidR="006602EE" w:rsidRPr="00105C38" w:rsidRDefault="006602EE" w:rsidP="00C513BB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</w:pPr>
      <w:r w:rsidRPr="00105C38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  <w:lastRenderedPageBreak/>
        <w:t>About One-fourth of the Labor Force Participants were Unemployed</w:t>
      </w:r>
    </w:p>
    <w:p w14:paraId="617B55C8" w14:textId="77777777" w:rsidR="006602EE" w:rsidRPr="00F2434E" w:rsidRDefault="006602EE" w:rsidP="006602EE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snapToGrid w:val="0"/>
          <w:sz w:val="26"/>
          <w:szCs w:val="26"/>
          <w:lang w:eastAsia="ar-SA"/>
        </w:rPr>
      </w:pP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Results also showed that more than one-fourth of the participants in the labour force were unemployed in 2021, where the percentage reached 26% (16% in the West Bank and 47% in Gaza Strip). Accordingly, unemployment rate reached 43% among females compared to 22% among males. </w:t>
      </w:r>
    </w:p>
    <w:p w14:paraId="29EED823" w14:textId="77777777" w:rsidR="00472CF8" w:rsidRPr="00472CF8" w:rsidRDefault="00472CF8" w:rsidP="00472CF8">
      <w:pPr>
        <w:bidi w:val="0"/>
        <w:rPr>
          <w:rFonts w:asciiTheme="majorBidi" w:hAnsiTheme="majorBidi" w:cstheme="majorBidi"/>
          <w:b/>
          <w:bCs/>
          <w:snapToGrid w:val="0"/>
          <w:sz w:val="16"/>
          <w:szCs w:val="16"/>
          <w:lang w:eastAsia="ar-SA"/>
        </w:rPr>
      </w:pPr>
      <w:r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/>
        </w:rPr>
        <w:t xml:space="preserve"> </w:t>
      </w:r>
    </w:p>
    <w:p w14:paraId="5F1C753C" w14:textId="082C636C" w:rsidR="006602EE" w:rsidRPr="00105C38" w:rsidRDefault="006602EE" w:rsidP="00105C3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Unemployment Rate among Labour Force Participants (15 </w:t>
      </w:r>
      <w:r w:rsidR="00F4785F"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Years </w:t>
      </w:r>
      <w:r w:rsidRPr="00105C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="00F4785F" w:rsidRPr="00105C38">
        <w:rPr>
          <w:rFonts w:asciiTheme="majorBidi" w:hAnsiTheme="majorBidi" w:cstheme="majorBidi"/>
          <w:b/>
          <w:bCs/>
          <w:sz w:val="28"/>
          <w:szCs w:val="28"/>
        </w:rPr>
        <w:t>Above</w:t>
      </w:r>
      <w:r w:rsidRPr="00105C38">
        <w:rPr>
          <w:rFonts w:asciiTheme="majorBidi" w:hAnsiTheme="majorBidi" w:cstheme="majorBidi"/>
          <w:b/>
          <w:bCs/>
          <w:sz w:val="28"/>
          <w:szCs w:val="28"/>
        </w:rPr>
        <w:t>) in Palestine by Region: 2015-2021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5"/>
      </w:tblGrid>
      <w:tr w:rsidR="0086519F" w:rsidRPr="00F2434E" w14:paraId="2D29DAB2" w14:textId="77777777" w:rsidTr="00105C38">
        <w:tc>
          <w:tcPr>
            <w:tcW w:w="9185" w:type="dxa"/>
          </w:tcPr>
          <w:p w14:paraId="61CA68F8" w14:textId="75DCBADC" w:rsidR="006602EE" w:rsidRPr="00F2434E" w:rsidRDefault="006602EE" w:rsidP="006602EE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eastAsia="ar-SA"/>
              </w:rPr>
            </w:pPr>
            <w:r w:rsidRPr="00F2434E">
              <w:rPr>
                <w:rFonts w:asciiTheme="majorBidi" w:eastAsia="Calibr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3B64AFF" wp14:editId="51B4AB38">
                  <wp:extent cx="4919980" cy="1962785"/>
                  <wp:effectExtent l="0" t="0" r="0" b="0"/>
                  <wp:docPr id="5" name="Char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39B7A805" w14:textId="1227EDEC" w:rsidR="006602EE" w:rsidRPr="00F2434E" w:rsidRDefault="00105C38" w:rsidP="00105C38">
      <w:pPr>
        <w:bidi w:val="0"/>
        <w:ind w:hanging="567"/>
        <w:rPr>
          <w:rFonts w:asciiTheme="majorBidi" w:hAnsiTheme="majorBidi" w:cstheme="majorBidi"/>
          <w:sz w:val="26"/>
          <w:szCs w:val="26"/>
          <w:lang w:eastAsia="ar-SA"/>
        </w:rPr>
      </w:pPr>
      <w:r>
        <w:rPr>
          <w:rFonts w:asciiTheme="majorBidi" w:hAnsiTheme="majorBidi" w:cstheme="majorBidi"/>
          <w:b/>
          <w:bCs/>
          <w:sz w:val="20"/>
          <w:szCs w:val="20"/>
          <w:lang w:eastAsia="ar-SA"/>
        </w:rPr>
        <w:t xml:space="preserve">                 </w:t>
      </w:r>
      <w:r w:rsidR="006602EE" w:rsidRPr="00105C38">
        <w:rPr>
          <w:rFonts w:asciiTheme="majorBidi" w:hAnsiTheme="majorBidi" w:cstheme="majorBidi"/>
          <w:b/>
          <w:bCs/>
          <w:sz w:val="20"/>
          <w:szCs w:val="20"/>
          <w:lang w:eastAsia="ar-SA"/>
        </w:rPr>
        <w:t xml:space="preserve">Source: Palestinian Central Bureau of Statistics, 2022. </w:t>
      </w:r>
      <w:r w:rsidR="006602EE" w:rsidRPr="00105C38">
        <w:rPr>
          <w:rFonts w:asciiTheme="majorBidi" w:hAnsiTheme="majorBidi" w:cstheme="majorBidi"/>
          <w:sz w:val="20"/>
          <w:szCs w:val="20"/>
          <w:lang w:eastAsia="ar-SA"/>
        </w:rPr>
        <w:t>Database</w:t>
      </w:r>
      <w:r w:rsidR="006602EE" w:rsidRPr="00105C38">
        <w:rPr>
          <w:rFonts w:asciiTheme="majorBidi" w:hAnsiTheme="majorBidi" w:cstheme="majorBidi"/>
          <w:sz w:val="20"/>
          <w:szCs w:val="20"/>
          <w:rtl/>
          <w:lang w:eastAsia="ar-SA"/>
        </w:rPr>
        <w:t xml:space="preserve"> </w:t>
      </w:r>
      <w:r w:rsidR="006602EE" w:rsidRPr="00105C38">
        <w:rPr>
          <w:rFonts w:asciiTheme="majorBidi" w:hAnsiTheme="majorBidi" w:cstheme="majorBidi"/>
          <w:sz w:val="20"/>
          <w:szCs w:val="20"/>
          <w:lang w:eastAsia="ar-SA"/>
        </w:rPr>
        <w:t xml:space="preserve">of the Labor Force Survey </w:t>
      </w:r>
      <w:r w:rsidR="006602EE" w:rsidRPr="00105C38">
        <w:rPr>
          <w:rFonts w:asciiTheme="majorBidi" w:hAnsiTheme="majorBidi" w:cstheme="majorBidi"/>
          <w:sz w:val="20"/>
          <w:szCs w:val="20"/>
          <w:rtl/>
          <w:lang w:eastAsia="ar-SA"/>
        </w:rPr>
        <w:t xml:space="preserve"> </w:t>
      </w:r>
      <w:r w:rsidR="006602EE" w:rsidRPr="00105C38">
        <w:rPr>
          <w:rFonts w:asciiTheme="majorBidi" w:hAnsiTheme="majorBidi" w:cstheme="majorBidi"/>
          <w:sz w:val="20"/>
          <w:szCs w:val="20"/>
          <w:lang w:eastAsia="ar-SA"/>
        </w:rPr>
        <w:t>2021. Ramallah - Palestine</w:t>
      </w:r>
      <w:r w:rsidR="006602EE" w:rsidRPr="00F2434E">
        <w:rPr>
          <w:rFonts w:asciiTheme="majorBidi" w:hAnsiTheme="majorBidi" w:cstheme="majorBidi"/>
          <w:sz w:val="26"/>
          <w:szCs w:val="26"/>
          <w:lang w:eastAsia="ar-SA"/>
        </w:rPr>
        <w:t>.</w:t>
      </w:r>
    </w:p>
    <w:p w14:paraId="55B59AFC" w14:textId="77777777" w:rsidR="006602EE" w:rsidRPr="00105C38" w:rsidRDefault="006602EE" w:rsidP="006602EE">
      <w:pPr>
        <w:bidi w:val="0"/>
        <w:rPr>
          <w:rFonts w:asciiTheme="majorBidi" w:hAnsiTheme="majorBidi" w:cstheme="majorBidi"/>
          <w:sz w:val="16"/>
          <w:szCs w:val="16"/>
          <w:lang w:eastAsia="ar-SA"/>
        </w:rPr>
      </w:pPr>
    </w:p>
    <w:p w14:paraId="10BFF9C5" w14:textId="5C4074A6" w:rsidR="000B2C39" w:rsidRPr="00F2434E" w:rsidRDefault="000B2C39" w:rsidP="00F4785F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/>
        </w:rPr>
      </w:pPr>
      <w:r w:rsidRPr="00F2434E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/>
        </w:rPr>
        <w:t xml:space="preserve">Around 91% of Palestinian Households have </w:t>
      </w:r>
      <w:r w:rsidR="00F4785F" w:rsidRPr="00F2434E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/>
        </w:rPr>
        <w:t xml:space="preserve">Access </w:t>
      </w:r>
      <w:r w:rsidRPr="00F2434E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/>
        </w:rPr>
        <w:t xml:space="preserve">to </w:t>
      </w:r>
      <w:r w:rsidR="00F4785F" w:rsidRPr="00F2434E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/>
        </w:rPr>
        <w:t xml:space="preserve">Internet </w:t>
      </w:r>
      <w:r w:rsidRPr="00F2434E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/>
        </w:rPr>
        <w:t xml:space="preserve">at their </w:t>
      </w:r>
      <w:r w:rsidR="00F4785F" w:rsidRPr="00F2434E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/>
        </w:rPr>
        <w:t>Homes</w:t>
      </w:r>
    </w:p>
    <w:p w14:paraId="692AEDFB" w14:textId="1CE436E4" w:rsidR="000B2C39" w:rsidRPr="00F2434E" w:rsidRDefault="000B2C39" w:rsidP="008C5220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snapToGrid w:val="0"/>
          <w:sz w:val="26"/>
          <w:szCs w:val="26"/>
          <w:lang w:eastAsia="ar-SA"/>
        </w:rPr>
      </w:pP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>During the first quarter of 2022, around 91% of households stated that they have access to internet service at home or one of their household members</w:t>
      </w:r>
      <w:r w:rsidR="00047E06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 has access to the internet </w:t>
      </w: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>(91% in the West Bank and 90% in Gaza Strip). Meanwhile</w:t>
      </w:r>
      <w:r w:rsidR="00047E06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>,</w:t>
      </w: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 the percentage of individuals (10 years and above) who used the internet from anywhere reached 88% in Palestine (91% in the West Bank and 83% in Gaza Strip)</w:t>
      </w:r>
      <w:r w:rsidR="00337A34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 </w:t>
      </w:r>
      <w:r w:rsidR="00E7038B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with </w:t>
      </w: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no differences </w:t>
      </w:r>
      <w:r w:rsidR="008C5220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on </w:t>
      </w: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>the</w:t>
      </w:r>
      <w:r w:rsidR="00E7038B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 level of</w:t>
      </w: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 sex.</w:t>
      </w:r>
    </w:p>
    <w:p w14:paraId="2D5561B5" w14:textId="77777777" w:rsidR="00337A34" w:rsidRPr="00105C38" w:rsidRDefault="00337A34" w:rsidP="00337A34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snapToGrid w:val="0"/>
          <w:sz w:val="16"/>
          <w:szCs w:val="16"/>
          <w:lang w:eastAsia="ar-SA"/>
        </w:rPr>
      </w:pPr>
    </w:p>
    <w:p w14:paraId="2EF8A9B9" w14:textId="452F9504" w:rsidR="000B2C39" w:rsidRPr="00F2434E" w:rsidRDefault="00E7038B" w:rsidP="00780DF3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snapToGrid w:val="0"/>
          <w:sz w:val="26"/>
          <w:szCs w:val="26"/>
          <w:lang w:eastAsia="ar-SA"/>
        </w:rPr>
      </w:pP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>D</w:t>
      </w:r>
      <w:r w:rsidR="000B2C39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ata also showed that the percentage of individuals (10 years and above) who own a </w:t>
      </w: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mobile </w:t>
      </w:r>
      <w:r w:rsidR="000B2C39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>phone is 78% (85% in the West Bank and 68% in Gaza Strip</w:t>
      </w: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>). Also,</w:t>
      </w:r>
      <w:r w:rsidR="000B2C39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 the percentage of individuals (10 years and above) who own a smartphone is 71% (82% in the West Bank and 56% in Gaza Strip) </w:t>
      </w: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with </w:t>
      </w:r>
      <w:r w:rsidR="00337A34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no differences </w:t>
      </w:r>
      <w:r w:rsidR="008C5220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on </w:t>
      </w:r>
      <w:r w:rsidR="000B2C39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>the</w:t>
      </w:r>
      <w:r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 level of</w:t>
      </w:r>
      <w:r w:rsidR="000B2C39" w:rsidRPr="00F2434E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 sex</w:t>
      </w:r>
      <w:r w:rsidR="00DE6C98" w:rsidRPr="00F2434E">
        <w:rPr>
          <w:rFonts w:asciiTheme="majorBidi" w:hAnsiTheme="majorBidi" w:cstheme="majorBidi"/>
          <w:snapToGrid w:val="0"/>
          <w:sz w:val="26"/>
          <w:szCs w:val="26"/>
          <w:rtl/>
          <w:lang w:eastAsia="ar-SA"/>
        </w:rPr>
        <w:t>.</w:t>
      </w:r>
    </w:p>
    <w:p w14:paraId="6F7358FE" w14:textId="589A7D66" w:rsidR="00F65EC6" w:rsidRDefault="00F65EC6" w:rsidP="00F65EC6">
      <w:pPr>
        <w:bidi w:val="0"/>
        <w:jc w:val="both"/>
        <w:rPr>
          <w:rFonts w:asciiTheme="majorBidi" w:hAnsiTheme="majorBidi" w:cstheme="majorBidi"/>
          <w:sz w:val="26"/>
          <w:szCs w:val="26"/>
          <w:lang w:eastAsia="ar-SA"/>
        </w:rPr>
      </w:pPr>
    </w:p>
    <w:p w14:paraId="39C9A692" w14:textId="77777777" w:rsidR="00105C38" w:rsidRPr="00F2434E" w:rsidRDefault="00105C38" w:rsidP="00105C38">
      <w:pPr>
        <w:bidi w:val="0"/>
        <w:jc w:val="both"/>
        <w:rPr>
          <w:rFonts w:asciiTheme="majorBidi" w:hAnsiTheme="majorBidi" w:cstheme="majorBidi"/>
          <w:sz w:val="26"/>
          <w:szCs w:val="26"/>
          <w:lang w:eastAsia="ar-SA"/>
        </w:rPr>
      </w:pPr>
    </w:p>
    <w:p w14:paraId="29F7C253" w14:textId="77777777" w:rsidR="0089334E" w:rsidRPr="00F2434E" w:rsidRDefault="0089334E" w:rsidP="00ED3D2B">
      <w:pPr>
        <w:pStyle w:val="FootnoteText"/>
        <w:bidi w:val="0"/>
        <w:rPr>
          <w:rFonts w:asciiTheme="majorBidi" w:hAnsiTheme="majorBidi" w:cstheme="majorBidi"/>
          <w:sz w:val="26"/>
          <w:szCs w:val="26"/>
        </w:rPr>
      </w:pPr>
    </w:p>
    <w:sectPr w:rsidR="0089334E" w:rsidRPr="00F2434E" w:rsidSect="00472CF8">
      <w:headerReference w:type="default" r:id="rId13"/>
      <w:footerReference w:type="even" r:id="rId14"/>
      <w:footerReference w:type="default" r:id="rId15"/>
      <w:pgSz w:w="11906" w:h="16838"/>
      <w:pgMar w:top="720" w:right="720" w:bottom="720" w:left="851" w:header="284" w:footer="253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A0AC" w14:textId="77777777" w:rsidR="003A757E" w:rsidRDefault="003A757E">
      <w:r>
        <w:separator/>
      </w:r>
    </w:p>
  </w:endnote>
  <w:endnote w:type="continuationSeparator" w:id="0">
    <w:p w14:paraId="75B1D65E" w14:textId="77777777" w:rsidR="003A757E" w:rsidRDefault="003A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81B6" w14:textId="77777777" w:rsidR="005F581B" w:rsidRDefault="00424FA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F58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A1BFC36" w14:textId="77777777" w:rsidR="005F581B" w:rsidRDefault="005F581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E755" w14:textId="5B2AA390" w:rsidR="005F581B" w:rsidRDefault="00424FA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F58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34718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F4C725C" w14:textId="77777777" w:rsidR="005F581B" w:rsidRDefault="005F581B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359C7" w14:textId="77777777" w:rsidR="003A757E" w:rsidRDefault="003A757E">
      <w:r>
        <w:separator/>
      </w:r>
    </w:p>
  </w:footnote>
  <w:footnote w:type="continuationSeparator" w:id="0">
    <w:p w14:paraId="379ABD32" w14:textId="77777777" w:rsidR="003A757E" w:rsidRDefault="003A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010" w:type="dxa"/>
      <w:jc w:val="center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652"/>
      <w:gridCol w:w="3868"/>
      <w:gridCol w:w="3490"/>
    </w:tblGrid>
    <w:tr w:rsidR="00B95969" w:rsidRPr="00B95969" w14:paraId="064C05CD" w14:textId="77777777" w:rsidTr="00B95969">
      <w:trPr>
        <w:trHeight w:val="926"/>
        <w:jc w:val="center"/>
      </w:trPr>
      <w:tc>
        <w:tcPr>
          <w:tcW w:w="2652" w:type="dxa"/>
          <w:vAlign w:val="center"/>
        </w:tcPr>
        <w:p w14:paraId="209F1864" w14:textId="6FEAE2AD" w:rsidR="00B95969" w:rsidRPr="00B95969" w:rsidRDefault="00B95969" w:rsidP="00B95969">
          <w:pPr>
            <w:tabs>
              <w:tab w:val="center" w:pos="4320"/>
              <w:tab w:val="right" w:pos="8640"/>
            </w:tabs>
            <w:bidi w:val="0"/>
            <w:jc w:val="center"/>
            <w:rPr>
              <w:rFonts w:cs="Simplified Arabic"/>
              <w:snapToGrid w:val="0"/>
              <w:sz w:val="20"/>
              <w:szCs w:val="20"/>
            </w:rPr>
          </w:pPr>
          <w:r w:rsidRPr="00B95969">
            <w:rPr>
              <w:rFonts w:cs="Simplified Arabic"/>
              <w:snapToGrid w:val="0"/>
              <w:sz w:val="20"/>
              <w:szCs w:val="20"/>
            </w:rPr>
            <w:t xml:space="preserve">Published in: </w:t>
          </w:r>
          <w:r>
            <w:rPr>
              <w:rFonts w:cs="Simplified Arabic"/>
              <w:snapToGrid w:val="0"/>
              <w:sz w:val="20"/>
              <w:szCs w:val="20"/>
            </w:rPr>
            <w:t>07</w:t>
          </w:r>
          <w:r w:rsidRPr="00B95969">
            <w:rPr>
              <w:rFonts w:cs="Simplified Arabic"/>
              <w:snapToGrid w:val="0"/>
              <w:sz w:val="20"/>
              <w:szCs w:val="20"/>
            </w:rPr>
            <w:t>/</w:t>
          </w:r>
          <w:r>
            <w:rPr>
              <w:rFonts w:cs="Simplified Arabic"/>
              <w:snapToGrid w:val="0"/>
              <w:sz w:val="20"/>
              <w:szCs w:val="20"/>
            </w:rPr>
            <w:t>07</w:t>
          </w:r>
          <w:r w:rsidRPr="00B95969">
            <w:rPr>
              <w:rFonts w:cs="Simplified Arabic"/>
              <w:snapToGrid w:val="0"/>
              <w:sz w:val="20"/>
              <w:szCs w:val="20"/>
            </w:rPr>
            <w:t>/2022</w:t>
          </w:r>
        </w:p>
      </w:tc>
      <w:tc>
        <w:tcPr>
          <w:tcW w:w="3868" w:type="dxa"/>
        </w:tcPr>
        <w:p w14:paraId="12778674" w14:textId="77777777" w:rsidR="00B95969" w:rsidRPr="00B95969" w:rsidRDefault="00B95969" w:rsidP="00B95969">
          <w:pPr>
            <w:tabs>
              <w:tab w:val="center" w:pos="4320"/>
              <w:tab w:val="right" w:pos="8640"/>
            </w:tabs>
            <w:jc w:val="center"/>
            <w:rPr>
              <w:rFonts w:cs="Traditional Arabic"/>
              <w:snapToGrid w:val="0"/>
              <w:sz w:val="20"/>
              <w:szCs w:val="20"/>
              <w:rtl/>
            </w:rPr>
          </w:pPr>
          <w:r w:rsidRPr="00B95969">
            <w:rPr>
              <w:rFonts w:ascii="Arial" w:hAnsi="Arial" w:cs="Arial"/>
              <w:snapToGrid w:val="0"/>
              <w:color w:val="1F497D"/>
            </w:rPr>
            <w:fldChar w:fldCharType="begin"/>
          </w:r>
          <w:r w:rsidRPr="00B95969">
            <w:rPr>
              <w:rFonts w:ascii="Arial" w:hAnsi="Arial" w:cs="Arial"/>
              <w:snapToGrid w:val="0"/>
              <w:color w:val="1F497D"/>
            </w:rPr>
            <w:instrText xml:space="preserve"> INCLUDEPICTURE  "cid:image001.png@01CF5D60.9EF76250" \* MERGEFORMATINET </w:instrText>
          </w:r>
          <w:r w:rsidRPr="00B95969">
            <w:rPr>
              <w:rFonts w:ascii="Arial" w:hAnsi="Arial" w:cs="Arial"/>
              <w:snapToGrid w:val="0"/>
              <w:color w:val="1F497D"/>
            </w:rPr>
            <w:fldChar w:fldCharType="separate"/>
          </w:r>
          <w:r w:rsidRPr="00B95969">
            <w:rPr>
              <w:rFonts w:ascii="Arial" w:hAnsi="Arial" w:cs="Arial"/>
              <w:snapToGrid w:val="0"/>
              <w:color w:val="1F497D"/>
              <w:sz w:val="20"/>
              <w:szCs w:val="20"/>
            </w:rPr>
            <w:fldChar w:fldCharType="begin"/>
          </w:r>
          <w:r w:rsidRPr="00B95969">
            <w:rPr>
              <w:rFonts w:ascii="Arial" w:hAnsi="Arial" w:cs="Arial"/>
              <w:snapToGrid w:val="0"/>
              <w:color w:val="1F497D"/>
              <w:sz w:val="20"/>
              <w:szCs w:val="20"/>
            </w:rPr>
            <w:instrText xml:space="preserve"> INCLUDEPICTURE  "cid:image001.png@01CF5D60.9EF76250" \* MERGEFORMATINET </w:instrText>
          </w:r>
          <w:r w:rsidRPr="00B95969">
            <w:rPr>
              <w:rFonts w:ascii="Arial" w:hAnsi="Arial" w:cs="Arial"/>
              <w:snapToGrid w:val="0"/>
              <w:color w:val="1F497D"/>
              <w:sz w:val="20"/>
              <w:szCs w:val="20"/>
            </w:rPr>
            <w:fldChar w:fldCharType="separate"/>
          </w:r>
          <w:r w:rsidR="003A757E">
            <w:rPr>
              <w:rFonts w:ascii="Arial" w:hAnsi="Arial" w:cs="Arial"/>
              <w:snapToGrid w:val="0"/>
              <w:color w:val="1F497D"/>
              <w:sz w:val="20"/>
              <w:szCs w:val="20"/>
            </w:rPr>
            <w:fldChar w:fldCharType="begin"/>
          </w:r>
          <w:r w:rsidR="003A757E">
            <w:rPr>
              <w:rFonts w:ascii="Arial" w:hAnsi="Arial" w:cs="Arial"/>
              <w:snapToGrid w:val="0"/>
              <w:color w:val="1F497D"/>
              <w:sz w:val="20"/>
              <w:szCs w:val="20"/>
            </w:rPr>
            <w:instrText xml:space="preserve"> </w:instrText>
          </w:r>
          <w:r w:rsidR="003A757E">
            <w:rPr>
              <w:rFonts w:ascii="Arial" w:hAnsi="Arial" w:cs="Arial"/>
              <w:snapToGrid w:val="0"/>
              <w:color w:val="1F497D"/>
              <w:sz w:val="20"/>
              <w:szCs w:val="20"/>
            </w:rPr>
            <w:instrText>INCLUDEPICTURE  "cid:image001.png@01CF5D60.9EF76250" \* MERGEFORMATINET</w:instrText>
          </w:r>
          <w:r w:rsidR="003A757E">
            <w:rPr>
              <w:rFonts w:ascii="Arial" w:hAnsi="Arial" w:cs="Arial"/>
              <w:snapToGrid w:val="0"/>
              <w:color w:val="1F497D"/>
              <w:sz w:val="20"/>
              <w:szCs w:val="20"/>
            </w:rPr>
            <w:instrText xml:space="preserve"> </w:instrText>
          </w:r>
          <w:r w:rsidR="003A757E">
            <w:rPr>
              <w:rFonts w:ascii="Arial" w:hAnsi="Arial" w:cs="Arial"/>
              <w:snapToGrid w:val="0"/>
              <w:color w:val="1F497D"/>
              <w:sz w:val="20"/>
              <w:szCs w:val="20"/>
            </w:rPr>
            <w:fldChar w:fldCharType="separate"/>
          </w:r>
          <w:r w:rsidR="00E34718">
            <w:rPr>
              <w:rFonts w:ascii="Arial" w:hAnsi="Arial" w:cs="Arial"/>
              <w:snapToGrid w:val="0"/>
              <w:color w:val="1F497D"/>
              <w:sz w:val="20"/>
              <w:szCs w:val="20"/>
            </w:rPr>
            <w:pict w14:anchorId="18DE3B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L-cmyk-small.gif" style="width:41.9pt;height:54.8pt">
                <v:imagedata r:id="rId1" r:href="rId2"/>
              </v:shape>
            </w:pict>
          </w:r>
          <w:r w:rsidR="003A757E">
            <w:rPr>
              <w:rFonts w:ascii="Arial" w:hAnsi="Arial" w:cs="Arial"/>
              <w:snapToGrid w:val="0"/>
              <w:color w:val="1F497D"/>
              <w:sz w:val="20"/>
              <w:szCs w:val="20"/>
            </w:rPr>
            <w:fldChar w:fldCharType="end"/>
          </w:r>
          <w:r w:rsidRPr="00B95969">
            <w:rPr>
              <w:rFonts w:ascii="Arial" w:hAnsi="Arial" w:cs="Arial"/>
              <w:snapToGrid w:val="0"/>
              <w:color w:val="1F497D"/>
              <w:sz w:val="20"/>
              <w:szCs w:val="20"/>
            </w:rPr>
            <w:fldChar w:fldCharType="end"/>
          </w:r>
          <w:r w:rsidRPr="00B95969">
            <w:rPr>
              <w:rFonts w:ascii="Arial" w:hAnsi="Arial" w:cs="Arial"/>
              <w:snapToGrid w:val="0"/>
              <w:color w:val="1F497D"/>
              <w:sz w:val="20"/>
              <w:szCs w:val="20"/>
            </w:rPr>
            <w:fldChar w:fldCharType="end"/>
          </w:r>
        </w:p>
      </w:tc>
      <w:tc>
        <w:tcPr>
          <w:tcW w:w="3490" w:type="dxa"/>
          <w:vAlign w:val="center"/>
        </w:tcPr>
        <w:p w14:paraId="0E6DC69E" w14:textId="77777777" w:rsidR="00B95969" w:rsidRPr="00B95969" w:rsidRDefault="00B95969" w:rsidP="00B95969">
          <w:pPr>
            <w:keepNext/>
            <w:jc w:val="center"/>
            <w:outlineLvl w:val="0"/>
            <w:rPr>
              <w:b/>
              <w:bCs/>
            </w:rPr>
          </w:pPr>
          <w:r w:rsidRPr="00B95969">
            <w:rPr>
              <w:b/>
              <w:bCs/>
            </w:rPr>
            <w:t>Palestine</w:t>
          </w:r>
        </w:p>
        <w:p w14:paraId="246950E6" w14:textId="77777777" w:rsidR="00B95969" w:rsidRPr="00B95969" w:rsidRDefault="00B95969" w:rsidP="00B95969">
          <w:pPr>
            <w:keepNext/>
            <w:jc w:val="center"/>
            <w:outlineLvl w:val="0"/>
            <w:rPr>
              <w:b/>
              <w:bCs/>
            </w:rPr>
          </w:pPr>
          <w:r w:rsidRPr="00B95969">
            <w:rPr>
              <w:b/>
              <w:bCs/>
            </w:rPr>
            <w:t>Palestinian Central Bureau</w:t>
          </w:r>
        </w:p>
        <w:p w14:paraId="7751558D" w14:textId="77777777" w:rsidR="00B95969" w:rsidRPr="00B95969" w:rsidRDefault="00B95969" w:rsidP="00B95969">
          <w:pPr>
            <w:tabs>
              <w:tab w:val="center" w:pos="4320"/>
              <w:tab w:val="right" w:pos="8640"/>
            </w:tabs>
            <w:jc w:val="center"/>
            <w:rPr>
              <w:rFonts w:cs="Simplified Arabic"/>
              <w:snapToGrid w:val="0"/>
              <w:sz w:val="22"/>
              <w:szCs w:val="22"/>
              <w:rtl/>
            </w:rPr>
          </w:pPr>
          <w:r w:rsidRPr="00B95969">
            <w:rPr>
              <w:rFonts w:cs="Simplified Arabic"/>
              <w:b/>
              <w:bCs/>
              <w:snapToGrid w:val="0"/>
              <w:sz w:val="28"/>
              <w:szCs w:val="28"/>
            </w:rPr>
            <w:t>of Statistics</w:t>
          </w:r>
        </w:p>
      </w:tc>
    </w:tr>
  </w:tbl>
  <w:p w14:paraId="65171BAB" w14:textId="77777777" w:rsidR="00B95969" w:rsidRPr="00B95969" w:rsidRDefault="00B95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0F1E"/>
    <w:multiLevelType w:val="hybridMultilevel"/>
    <w:tmpl w:val="3F18063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2F7600CC"/>
    <w:multiLevelType w:val="hybridMultilevel"/>
    <w:tmpl w:val="9DAC4EE8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33CE1B89"/>
    <w:multiLevelType w:val="hybridMultilevel"/>
    <w:tmpl w:val="F7FADE1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383F0A85"/>
    <w:multiLevelType w:val="hybridMultilevel"/>
    <w:tmpl w:val="91BA373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54"/>
    <w:rsid w:val="000021E8"/>
    <w:rsid w:val="000063A3"/>
    <w:rsid w:val="000128D6"/>
    <w:rsid w:val="000220F0"/>
    <w:rsid w:val="00023EB9"/>
    <w:rsid w:val="0003189B"/>
    <w:rsid w:val="00034057"/>
    <w:rsid w:val="00035F1A"/>
    <w:rsid w:val="000411CE"/>
    <w:rsid w:val="0004322D"/>
    <w:rsid w:val="00043318"/>
    <w:rsid w:val="000474B2"/>
    <w:rsid w:val="00047E06"/>
    <w:rsid w:val="000552B4"/>
    <w:rsid w:val="000612A9"/>
    <w:rsid w:val="000702B4"/>
    <w:rsid w:val="000708A2"/>
    <w:rsid w:val="000736D0"/>
    <w:rsid w:val="000814BC"/>
    <w:rsid w:val="000829A7"/>
    <w:rsid w:val="00084CBD"/>
    <w:rsid w:val="00084E8A"/>
    <w:rsid w:val="00085617"/>
    <w:rsid w:val="00087EA1"/>
    <w:rsid w:val="00090FCD"/>
    <w:rsid w:val="00097AC0"/>
    <w:rsid w:val="000A0915"/>
    <w:rsid w:val="000B074E"/>
    <w:rsid w:val="000B2980"/>
    <w:rsid w:val="000B2C39"/>
    <w:rsid w:val="000B2FCD"/>
    <w:rsid w:val="000B394D"/>
    <w:rsid w:val="000B55C9"/>
    <w:rsid w:val="000C017A"/>
    <w:rsid w:val="000C1BBB"/>
    <w:rsid w:val="000C622E"/>
    <w:rsid w:val="000D2A9B"/>
    <w:rsid w:val="000D2BC8"/>
    <w:rsid w:val="000E21E9"/>
    <w:rsid w:val="000E6F3E"/>
    <w:rsid w:val="000E7A7D"/>
    <w:rsid w:val="000F278C"/>
    <w:rsid w:val="000F3265"/>
    <w:rsid w:val="000F3CA9"/>
    <w:rsid w:val="000F4450"/>
    <w:rsid w:val="000F49EE"/>
    <w:rsid w:val="000F5280"/>
    <w:rsid w:val="000F56FD"/>
    <w:rsid w:val="000F7AC7"/>
    <w:rsid w:val="001019B4"/>
    <w:rsid w:val="00104478"/>
    <w:rsid w:val="00105C38"/>
    <w:rsid w:val="00106C47"/>
    <w:rsid w:val="001105C8"/>
    <w:rsid w:val="00110FAE"/>
    <w:rsid w:val="00114250"/>
    <w:rsid w:val="00117F8A"/>
    <w:rsid w:val="0012124F"/>
    <w:rsid w:val="00121640"/>
    <w:rsid w:val="001229DD"/>
    <w:rsid w:val="00122A5D"/>
    <w:rsid w:val="00124D3D"/>
    <w:rsid w:val="0012688C"/>
    <w:rsid w:val="00133849"/>
    <w:rsid w:val="00133E61"/>
    <w:rsid w:val="00143BFD"/>
    <w:rsid w:val="001457B6"/>
    <w:rsid w:val="00146248"/>
    <w:rsid w:val="00146ECF"/>
    <w:rsid w:val="00160010"/>
    <w:rsid w:val="00165F13"/>
    <w:rsid w:val="00173F9E"/>
    <w:rsid w:val="001769C9"/>
    <w:rsid w:val="0018284B"/>
    <w:rsid w:val="0018326B"/>
    <w:rsid w:val="00184C57"/>
    <w:rsid w:val="00184DC8"/>
    <w:rsid w:val="00190ABC"/>
    <w:rsid w:val="00191C74"/>
    <w:rsid w:val="001945DD"/>
    <w:rsid w:val="00196FA1"/>
    <w:rsid w:val="001A1DE8"/>
    <w:rsid w:val="001A59A3"/>
    <w:rsid w:val="001B14FE"/>
    <w:rsid w:val="001B2A04"/>
    <w:rsid w:val="001B34B4"/>
    <w:rsid w:val="001B357A"/>
    <w:rsid w:val="001C08EC"/>
    <w:rsid w:val="001C0CEE"/>
    <w:rsid w:val="001C1EEC"/>
    <w:rsid w:val="001C38C0"/>
    <w:rsid w:val="001C3E97"/>
    <w:rsid w:val="001C527C"/>
    <w:rsid w:val="001C5D06"/>
    <w:rsid w:val="001C6801"/>
    <w:rsid w:val="001E2718"/>
    <w:rsid w:val="001F3FA2"/>
    <w:rsid w:val="001F5B63"/>
    <w:rsid w:val="001F69AE"/>
    <w:rsid w:val="00203ECE"/>
    <w:rsid w:val="0020497F"/>
    <w:rsid w:val="00205541"/>
    <w:rsid w:val="00206F8A"/>
    <w:rsid w:val="002074BE"/>
    <w:rsid w:val="00210098"/>
    <w:rsid w:val="0021158F"/>
    <w:rsid w:val="002146B2"/>
    <w:rsid w:val="00226149"/>
    <w:rsid w:val="0022733D"/>
    <w:rsid w:val="00233A74"/>
    <w:rsid w:val="00234AD2"/>
    <w:rsid w:val="00237115"/>
    <w:rsid w:val="00244FD5"/>
    <w:rsid w:val="002454B1"/>
    <w:rsid w:val="002503B6"/>
    <w:rsid w:val="00254E4F"/>
    <w:rsid w:val="00254EAD"/>
    <w:rsid w:val="0025574C"/>
    <w:rsid w:val="002626E5"/>
    <w:rsid w:val="002667C1"/>
    <w:rsid w:val="00277661"/>
    <w:rsid w:val="002830A5"/>
    <w:rsid w:val="002842C3"/>
    <w:rsid w:val="00284528"/>
    <w:rsid w:val="002862A4"/>
    <w:rsid w:val="002876CB"/>
    <w:rsid w:val="00287C28"/>
    <w:rsid w:val="002908C4"/>
    <w:rsid w:val="00290C02"/>
    <w:rsid w:val="00290EE6"/>
    <w:rsid w:val="00291304"/>
    <w:rsid w:val="00294AF4"/>
    <w:rsid w:val="00296AB5"/>
    <w:rsid w:val="002971EC"/>
    <w:rsid w:val="002973F3"/>
    <w:rsid w:val="002A0C43"/>
    <w:rsid w:val="002A1BB0"/>
    <w:rsid w:val="002A5EA8"/>
    <w:rsid w:val="002D2891"/>
    <w:rsid w:val="002D40CE"/>
    <w:rsid w:val="002E1A34"/>
    <w:rsid w:val="002E5089"/>
    <w:rsid w:val="002F4A16"/>
    <w:rsid w:val="00301013"/>
    <w:rsid w:val="00301A1E"/>
    <w:rsid w:val="00313146"/>
    <w:rsid w:val="00314CB2"/>
    <w:rsid w:val="003162E7"/>
    <w:rsid w:val="0033328E"/>
    <w:rsid w:val="00337835"/>
    <w:rsid w:val="00337A34"/>
    <w:rsid w:val="00340F00"/>
    <w:rsid w:val="003476CF"/>
    <w:rsid w:val="00354616"/>
    <w:rsid w:val="003605DE"/>
    <w:rsid w:val="003707D0"/>
    <w:rsid w:val="00372130"/>
    <w:rsid w:val="00372533"/>
    <w:rsid w:val="00385420"/>
    <w:rsid w:val="0038550A"/>
    <w:rsid w:val="00387F92"/>
    <w:rsid w:val="0039254F"/>
    <w:rsid w:val="003A1E9B"/>
    <w:rsid w:val="003A45FD"/>
    <w:rsid w:val="003A757E"/>
    <w:rsid w:val="003B056F"/>
    <w:rsid w:val="003C14ED"/>
    <w:rsid w:val="003C174B"/>
    <w:rsid w:val="003C1E90"/>
    <w:rsid w:val="003C34A4"/>
    <w:rsid w:val="003C5F49"/>
    <w:rsid w:val="003D24F6"/>
    <w:rsid w:val="003D3CA9"/>
    <w:rsid w:val="003D562A"/>
    <w:rsid w:val="003D66BB"/>
    <w:rsid w:val="003E32D9"/>
    <w:rsid w:val="003E38CB"/>
    <w:rsid w:val="003E66B2"/>
    <w:rsid w:val="003F0C0A"/>
    <w:rsid w:val="003F475E"/>
    <w:rsid w:val="00400A9E"/>
    <w:rsid w:val="004043E7"/>
    <w:rsid w:val="00405149"/>
    <w:rsid w:val="004060E9"/>
    <w:rsid w:val="00406EAD"/>
    <w:rsid w:val="00410A2D"/>
    <w:rsid w:val="004155EB"/>
    <w:rsid w:val="00420BB4"/>
    <w:rsid w:val="00420BEC"/>
    <w:rsid w:val="0042184E"/>
    <w:rsid w:val="0042273B"/>
    <w:rsid w:val="00422E31"/>
    <w:rsid w:val="00424FAF"/>
    <w:rsid w:val="004276FC"/>
    <w:rsid w:val="00431160"/>
    <w:rsid w:val="0043526D"/>
    <w:rsid w:val="00435E3F"/>
    <w:rsid w:val="004416E0"/>
    <w:rsid w:val="00442F04"/>
    <w:rsid w:val="00445022"/>
    <w:rsid w:val="00445A5A"/>
    <w:rsid w:val="00451728"/>
    <w:rsid w:val="0045441B"/>
    <w:rsid w:val="00454540"/>
    <w:rsid w:val="004547A7"/>
    <w:rsid w:val="00457B46"/>
    <w:rsid w:val="00460538"/>
    <w:rsid w:val="0046124E"/>
    <w:rsid w:val="00464D20"/>
    <w:rsid w:val="004654CB"/>
    <w:rsid w:val="00466C4A"/>
    <w:rsid w:val="0047165F"/>
    <w:rsid w:val="00472CF8"/>
    <w:rsid w:val="00474EA9"/>
    <w:rsid w:val="00482CE8"/>
    <w:rsid w:val="004871D9"/>
    <w:rsid w:val="004933DD"/>
    <w:rsid w:val="0049430C"/>
    <w:rsid w:val="004961DB"/>
    <w:rsid w:val="004A054E"/>
    <w:rsid w:val="004A14F3"/>
    <w:rsid w:val="004A5626"/>
    <w:rsid w:val="004B3515"/>
    <w:rsid w:val="004B3612"/>
    <w:rsid w:val="004B7DBD"/>
    <w:rsid w:val="004C2EE9"/>
    <w:rsid w:val="004C3E67"/>
    <w:rsid w:val="004D61F1"/>
    <w:rsid w:val="004D7A59"/>
    <w:rsid w:val="004D7B63"/>
    <w:rsid w:val="004E3F7C"/>
    <w:rsid w:val="004E4EC8"/>
    <w:rsid w:val="004E7AFE"/>
    <w:rsid w:val="004F777F"/>
    <w:rsid w:val="004F7DD0"/>
    <w:rsid w:val="00503831"/>
    <w:rsid w:val="00504880"/>
    <w:rsid w:val="00504DD3"/>
    <w:rsid w:val="00504FB6"/>
    <w:rsid w:val="005059DD"/>
    <w:rsid w:val="00514325"/>
    <w:rsid w:val="00516A40"/>
    <w:rsid w:val="0051753D"/>
    <w:rsid w:val="0052005B"/>
    <w:rsid w:val="0052443C"/>
    <w:rsid w:val="00526017"/>
    <w:rsid w:val="0052758A"/>
    <w:rsid w:val="0053039A"/>
    <w:rsid w:val="00530D3B"/>
    <w:rsid w:val="00531F97"/>
    <w:rsid w:val="00536726"/>
    <w:rsid w:val="00537638"/>
    <w:rsid w:val="005409C2"/>
    <w:rsid w:val="005417CD"/>
    <w:rsid w:val="00541BCF"/>
    <w:rsid w:val="0054695E"/>
    <w:rsid w:val="00546EF9"/>
    <w:rsid w:val="00547623"/>
    <w:rsid w:val="00547D78"/>
    <w:rsid w:val="005646F6"/>
    <w:rsid w:val="00564711"/>
    <w:rsid w:val="005654E2"/>
    <w:rsid w:val="00565508"/>
    <w:rsid w:val="00576567"/>
    <w:rsid w:val="00582213"/>
    <w:rsid w:val="005A08A5"/>
    <w:rsid w:val="005A4D23"/>
    <w:rsid w:val="005A6027"/>
    <w:rsid w:val="005A620E"/>
    <w:rsid w:val="005A6242"/>
    <w:rsid w:val="005B067C"/>
    <w:rsid w:val="005B14AC"/>
    <w:rsid w:val="005B1B1C"/>
    <w:rsid w:val="005B47F5"/>
    <w:rsid w:val="005B7E46"/>
    <w:rsid w:val="005C15E8"/>
    <w:rsid w:val="005C18C4"/>
    <w:rsid w:val="005C4FB8"/>
    <w:rsid w:val="005C680C"/>
    <w:rsid w:val="005D1FFE"/>
    <w:rsid w:val="005D5CF0"/>
    <w:rsid w:val="005E1EE1"/>
    <w:rsid w:val="005E1FF4"/>
    <w:rsid w:val="005E2853"/>
    <w:rsid w:val="005E3CC5"/>
    <w:rsid w:val="005E421C"/>
    <w:rsid w:val="005E6A32"/>
    <w:rsid w:val="005F2C10"/>
    <w:rsid w:val="005F581B"/>
    <w:rsid w:val="005F5E4E"/>
    <w:rsid w:val="005F68EF"/>
    <w:rsid w:val="006054D9"/>
    <w:rsid w:val="00606B94"/>
    <w:rsid w:val="00607C0C"/>
    <w:rsid w:val="00623759"/>
    <w:rsid w:val="00637B92"/>
    <w:rsid w:val="00641BD1"/>
    <w:rsid w:val="006438BC"/>
    <w:rsid w:val="00645709"/>
    <w:rsid w:val="00650E75"/>
    <w:rsid w:val="00653B8D"/>
    <w:rsid w:val="00656940"/>
    <w:rsid w:val="0065694A"/>
    <w:rsid w:val="006602EE"/>
    <w:rsid w:val="00660945"/>
    <w:rsid w:val="00671838"/>
    <w:rsid w:val="00674530"/>
    <w:rsid w:val="00675901"/>
    <w:rsid w:val="006808F9"/>
    <w:rsid w:val="00681A79"/>
    <w:rsid w:val="006867CD"/>
    <w:rsid w:val="006A0607"/>
    <w:rsid w:val="006A06EF"/>
    <w:rsid w:val="006A342F"/>
    <w:rsid w:val="006B6CD0"/>
    <w:rsid w:val="006B747B"/>
    <w:rsid w:val="006C1904"/>
    <w:rsid w:val="006C32BC"/>
    <w:rsid w:val="006C5F32"/>
    <w:rsid w:val="006D0BA4"/>
    <w:rsid w:val="006D5D12"/>
    <w:rsid w:val="006D5E0C"/>
    <w:rsid w:val="006D67D3"/>
    <w:rsid w:val="006D78C6"/>
    <w:rsid w:val="006E1103"/>
    <w:rsid w:val="006E3C0E"/>
    <w:rsid w:val="006E4C5C"/>
    <w:rsid w:val="006F00F6"/>
    <w:rsid w:val="006F2ED2"/>
    <w:rsid w:val="006F438B"/>
    <w:rsid w:val="006F598A"/>
    <w:rsid w:val="006F7163"/>
    <w:rsid w:val="006F79B3"/>
    <w:rsid w:val="006F79CE"/>
    <w:rsid w:val="00706707"/>
    <w:rsid w:val="007133C4"/>
    <w:rsid w:val="00731F6D"/>
    <w:rsid w:val="00732205"/>
    <w:rsid w:val="007330DA"/>
    <w:rsid w:val="007348B1"/>
    <w:rsid w:val="00735F7F"/>
    <w:rsid w:val="00736382"/>
    <w:rsid w:val="007511DD"/>
    <w:rsid w:val="00755D59"/>
    <w:rsid w:val="00762580"/>
    <w:rsid w:val="00766ADB"/>
    <w:rsid w:val="007738DA"/>
    <w:rsid w:val="0077511E"/>
    <w:rsid w:val="00780D6E"/>
    <w:rsid w:val="00780DF3"/>
    <w:rsid w:val="00782856"/>
    <w:rsid w:val="00791110"/>
    <w:rsid w:val="00796C73"/>
    <w:rsid w:val="007B1575"/>
    <w:rsid w:val="007B4C9B"/>
    <w:rsid w:val="007B5DF7"/>
    <w:rsid w:val="007C0466"/>
    <w:rsid w:val="007C2848"/>
    <w:rsid w:val="007C2A66"/>
    <w:rsid w:val="007C326F"/>
    <w:rsid w:val="007C655F"/>
    <w:rsid w:val="007D460C"/>
    <w:rsid w:val="007F0402"/>
    <w:rsid w:val="007F0FB2"/>
    <w:rsid w:val="007F5D67"/>
    <w:rsid w:val="007F6815"/>
    <w:rsid w:val="00802D34"/>
    <w:rsid w:val="00804A00"/>
    <w:rsid w:val="008101F2"/>
    <w:rsid w:val="00810401"/>
    <w:rsid w:val="00821C4C"/>
    <w:rsid w:val="00824C92"/>
    <w:rsid w:val="00826F69"/>
    <w:rsid w:val="00830D01"/>
    <w:rsid w:val="00831283"/>
    <w:rsid w:val="00831950"/>
    <w:rsid w:val="008376C4"/>
    <w:rsid w:val="00837A54"/>
    <w:rsid w:val="008409A6"/>
    <w:rsid w:val="00841622"/>
    <w:rsid w:val="00843122"/>
    <w:rsid w:val="00850BC4"/>
    <w:rsid w:val="00852A71"/>
    <w:rsid w:val="00854733"/>
    <w:rsid w:val="00854A3D"/>
    <w:rsid w:val="008564C0"/>
    <w:rsid w:val="0086267C"/>
    <w:rsid w:val="008634AB"/>
    <w:rsid w:val="00864286"/>
    <w:rsid w:val="0086519F"/>
    <w:rsid w:val="008667F7"/>
    <w:rsid w:val="00867B70"/>
    <w:rsid w:val="00871BA0"/>
    <w:rsid w:val="008720C3"/>
    <w:rsid w:val="00883D38"/>
    <w:rsid w:val="00884C33"/>
    <w:rsid w:val="00891D2D"/>
    <w:rsid w:val="0089334E"/>
    <w:rsid w:val="0089424D"/>
    <w:rsid w:val="008A0E63"/>
    <w:rsid w:val="008A2227"/>
    <w:rsid w:val="008A2B21"/>
    <w:rsid w:val="008A3D39"/>
    <w:rsid w:val="008A49E1"/>
    <w:rsid w:val="008C14F0"/>
    <w:rsid w:val="008C5005"/>
    <w:rsid w:val="008C5220"/>
    <w:rsid w:val="008C560D"/>
    <w:rsid w:val="008C7A3A"/>
    <w:rsid w:val="008D37A5"/>
    <w:rsid w:val="008D3E6C"/>
    <w:rsid w:val="008D6C56"/>
    <w:rsid w:val="008E0125"/>
    <w:rsid w:val="008E0B4E"/>
    <w:rsid w:val="008F22E1"/>
    <w:rsid w:val="009000AE"/>
    <w:rsid w:val="00900703"/>
    <w:rsid w:val="009015EC"/>
    <w:rsid w:val="0090430D"/>
    <w:rsid w:val="00905D31"/>
    <w:rsid w:val="00911F37"/>
    <w:rsid w:val="00925C77"/>
    <w:rsid w:val="00930451"/>
    <w:rsid w:val="00930A4C"/>
    <w:rsid w:val="00936DDB"/>
    <w:rsid w:val="00940175"/>
    <w:rsid w:val="00943FC5"/>
    <w:rsid w:val="00960F5F"/>
    <w:rsid w:val="00962155"/>
    <w:rsid w:val="009658B8"/>
    <w:rsid w:val="00970B89"/>
    <w:rsid w:val="00971727"/>
    <w:rsid w:val="009757B8"/>
    <w:rsid w:val="00975F53"/>
    <w:rsid w:val="00976C8F"/>
    <w:rsid w:val="00985FE8"/>
    <w:rsid w:val="0098753A"/>
    <w:rsid w:val="00987FB6"/>
    <w:rsid w:val="00990C9A"/>
    <w:rsid w:val="00992104"/>
    <w:rsid w:val="00992AB3"/>
    <w:rsid w:val="0099424F"/>
    <w:rsid w:val="009967D4"/>
    <w:rsid w:val="009A63A7"/>
    <w:rsid w:val="009B1A86"/>
    <w:rsid w:val="009B221D"/>
    <w:rsid w:val="009B3E2C"/>
    <w:rsid w:val="009B3EC9"/>
    <w:rsid w:val="009B5077"/>
    <w:rsid w:val="009B6A06"/>
    <w:rsid w:val="009B73B8"/>
    <w:rsid w:val="009C0510"/>
    <w:rsid w:val="009D202A"/>
    <w:rsid w:val="009E3541"/>
    <w:rsid w:val="009E3576"/>
    <w:rsid w:val="009E3CF8"/>
    <w:rsid w:val="009F01EC"/>
    <w:rsid w:val="009F0CD1"/>
    <w:rsid w:val="00A1328D"/>
    <w:rsid w:val="00A13C75"/>
    <w:rsid w:val="00A1616B"/>
    <w:rsid w:val="00A21082"/>
    <w:rsid w:val="00A22AD9"/>
    <w:rsid w:val="00A22E3D"/>
    <w:rsid w:val="00A23B82"/>
    <w:rsid w:val="00A23CB3"/>
    <w:rsid w:val="00A23DA5"/>
    <w:rsid w:val="00A25BA3"/>
    <w:rsid w:val="00A26E92"/>
    <w:rsid w:val="00A4589A"/>
    <w:rsid w:val="00A46934"/>
    <w:rsid w:val="00A61F4E"/>
    <w:rsid w:val="00A62ED3"/>
    <w:rsid w:val="00A66A25"/>
    <w:rsid w:val="00A70158"/>
    <w:rsid w:val="00A72F52"/>
    <w:rsid w:val="00A76340"/>
    <w:rsid w:val="00A81BEB"/>
    <w:rsid w:val="00A81E32"/>
    <w:rsid w:val="00A87107"/>
    <w:rsid w:val="00A87A0F"/>
    <w:rsid w:val="00A92846"/>
    <w:rsid w:val="00A92C2B"/>
    <w:rsid w:val="00A95A6E"/>
    <w:rsid w:val="00A9657B"/>
    <w:rsid w:val="00A96EF5"/>
    <w:rsid w:val="00AA2FCB"/>
    <w:rsid w:val="00AA4DE9"/>
    <w:rsid w:val="00AA6C06"/>
    <w:rsid w:val="00AB2846"/>
    <w:rsid w:val="00AB5853"/>
    <w:rsid w:val="00AB7521"/>
    <w:rsid w:val="00AC0DD5"/>
    <w:rsid w:val="00AC67C7"/>
    <w:rsid w:val="00AC72B8"/>
    <w:rsid w:val="00AD259E"/>
    <w:rsid w:val="00AD546E"/>
    <w:rsid w:val="00AD6178"/>
    <w:rsid w:val="00AF1DEF"/>
    <w:rsid w:val="00AF29A7"/>
    <w:rsid w:val="00AF2E22"/>
    <w:rsid w:val="00AF62F4"/>
    <w:rsid w:val="00AF789D"/>
    <w:rsid w:val="00B02896"/>
    <w:rsid w:val="00B040B0"/>
    <w:rsid w:val="00B06ECA"/>
    <w:rsid w:val="00B11ECD"/>
    <w:rsid w:val="00B11F17"/>
    <w:rsid w:val="00B13985"/>
    <w:rsid w:val="00B149AA"/>
    <w:rsid w:val="00B16891"/>
    <w:rsid w:val="00B16E70"/>
    <w:rsid w:val="00B2131C"/>
    <w:rsid w:val="00B21A2C"/>
    <w:rsid w:val="00B233E5"/>
    <w:rsid w:val="00B30D06"/>
    <w:rsid w:val="00B322F8"/>
    <w:rsid w:val="00B36296"/>
    <w:rsid w:val="00B3690A"/>
    <w:rsid w:val="00B3774C"/>
    <w:rsid w:val="00B405D0"/>
    <w:rsid w:val="00B45B04"/>
    <w:rsid w:val="00B45CF7"/>
    <w:rsid w:val="00B4632B"/>
    <w:rsid w:val="00B57302"/>
    <w:rsid w:val="00B63626"/>
    <w:rsid w:val="00B64BAA"/>
    <w:rsid w:val="00B72D92"/>
    <w:rsid w:val="00B731AF"/>
    <w:rsid w:val="00B75978"/>
    <w:rsid w:val="00B84142"/>
    <w:rsid w:val="00B8451D"/>
    <w:rsid w:val="00B869D6"/>
    <w:rsid w:val="00B87A73"/>
    <w:rsid w:val="00B95969"/>
    <w:rsid w:val="00B96DB3"/>
    <w:rsid w:val="00BA3B8D"/>
    <w:rsid w:val="00BB1782"/>
    <w:rsid w:val="00BB225E"/>
    <w:rsid w:val="00BB2397"/>
    <w:rsid w:val="00BB28DD"/>
    <w:rsid w:val="00BB3175"/>
    <w:rsid w:val="00BB64B8"/>
    <w:rsid w:val="00BC0705"/>
    <w:rsid w:val="00BC1407"/>
    <w:rsid w:val="00BC17BE"/>
    <w:rsid w:val="00BC5096"/>
    <w:rsid w:val="00BD5B75"/>
    <w:rsid w:val="00BD7A77"/>
    <w:rsid w:val="00BE39A8"/>
    <w:rsid w:val="00BE418B"/>
    <w:rsid w:val="00BF0317"/>
    <w:rsid w:val="00BF0978"/>
    <w:rsid w:val="00BF1027"/>
    <w:rsid w:val="00BF10DD"/>
    <w:rsid w:val="00BF21FD"/>
    <w:rsid w:val="00BF5BFB"/>
    <w:rsid w:val="00BF5F7A"/>
    <w:rsid w:val="00BF72C5"/>
    <w:rsid w:val="00C0114B"/>
    <w:rsid w:val="00C10CC2"/>
    <w:rsid w:val="00C15E11"/>
    <w:rsid w:val="00C21AF5"/>
    <w:rsid w:val="00C25E15"/>
    <w:rsid w:val="00C436CD"/>
    <w:rsid w:val="00C456B6"/>
    <w:rsid w:val="00C45C54"/>
    <w:rsid w:val="00C46EF4"/>
    <w:rsid w:val="00C513BB"/>
    <w:rsid w:val="00C51845"/>
    <w:rsid w:val="00C52246"/>
    <w:rsid w:val="00C6200C"/>
    <w:rsid w:val="00C637E1"/>
    <w:rsid w:val="00C6388C"/>
    <w:rsid w:val="00C72C41"/>
    <w:rsid w:val="00C731B5"/>
    <w:rsid w:val="00C8423B"/>
    <w:rsid w:val="00C879F0"/>
    <w:rsid w:val="00C93887"/>
    <w:rsid w:val="00C94016"/>
    <w:rsid w:val="00C94EDE"/>
    <w:rsid w:val="00C96210"/>
    <w:rsid w:val="00CA033D"/>
    <w:rsid w:val="00CA2F95"/>
    <w:rsid w:val="00CA5CD9"/>
    <w:rsid w:val="00CB5E49"/>
    <w:rsid w:val="00CC058D"/>
    <w:rsid w:val="00CC1183"/>
    <w:rsid w:val="00CC1FE3"/>
    <w:rsid w:val="00CC201D"/>
    <w:rsid w:val="00CC3D29"/>
    <w:rsid w:val="00CC562C"/>
    <w:rsid w:val="00CC59FF"/>
    <w:rsid w:val="00CC7829"/>
    <w:rsid w:val="00CD7153"/>
    <w:rsid w:val="00CE1260"/>
    <w:rsid w:val="00CE6A0D"/>
    <w:rsid w:val="00CE7700"/>
    <w:rsid w:val="00D045D9"/>
    <w:rsid w:val="00D04C79"/>
    <w:rsid w:val="00D0709F"/>
    <w:rsid w:val="00D1037C"/>
    <w:rsid w:val="00D14B0E"/>
    <w:rsid w:val="00D2315A"/>
    <w:rsid w:val="00D24B67"/>
    <w:rsid w:val="00D302FF"/>
    <w:rsid w:val="00D3058A"/>
    <w:rsid w:val="00D305B4"/>
    <w:rsid w:val="00D3264A"/>
    <w:rsid w:val="00D35968"/>
    <w:rsid w:val="00D37A99"/>
    <w:rsid w:val="00D37C5B"/>
    <w:rsid w:val="00D40C05"/>
    <w:rsid w:val="00D45167"/>
    <w:rsid w:val="00D60E89"/>
    <w:rsid w:val="00D73991"/>
    <w:rsid w:val="00D73D08"/>
    <w:rsid w:val="00D80400"/>
    <w:rsid w:val="00D819C9"/>
    <w:rsid w:val="00D872E9"/>
    <w:rsid w:val="00D95859"/>
    <w:rsid w:val="00DA01B5"/>
    <w:rsid w:val="00DA34AA"/>
    <w:rsid w:val="00DA79DB"/>
    <w:rsid w:val="00DB4F4A"/>
    <w:rsid w:val="00DB5236"/>
    <w:rsid w:val="00DB591A"/>
    <w:rsid w:val="00DC341F"/>
    <w:rsid w:val="00DC543A"/>
    <w:rsid w:val="00DC6358"/>
    <w:rsid w:val="00DD34F3"/>
    <w:rsid w:val="00DE51B9"/>
    <w:rsid w:val="00DE5287"/>
    <w:rsid w:val="00DE6629"/>
    <w:rsid w:val="00DE6C98"/>
    <w:rsid w:val="00DE7A04"/>
    <w:rsid w:val="00DF248A"/>
    <w:rsid w:val="00DF2681"/>
    <w:rsid w:val="00E00991"/>
    <w:rsid w:val="00E024BC"/>
    <w:rsid w:val="00E044D8"/>
    <w:rsid w:val="00E05400"/>
    <w:rsid w:val="00E07B5C"/>
    <w:rsid w:val="00E10A3E"/>
    <w:rsid w:val="00E16285"/>
    <w:rsid w:val="00E17334"/>
    <w:rsid w:val="00E234E7"/>
    <w:rsid w:val="00E34718"/>
    <w:rsid w:val="00E356B0"/>
    <w:rsid w:val="00E37538"/>
    <w:rsid w:val="00E37E34"/>
    <w:rsid w:val="00E40B2B"/>
    <w:rsid w:val="00E46093"/>
    <w:rsid w:val="00E50540"/>
    <w:rsid w:val="00E52505"/>
    <w:rsid w:val="00E546AB"/>
    <w:rsid w:val="00E57102"/>
    <w:rsid w:val="00E60850"/>
    <w:rsid w:val="00E61A62"/>
    <w:rsid w:val="00E65418"/>
    <w:rsid w:val="00E6792B"/>
    <w:rsid w:val="00E7038B"/>
    <w:rsid w:val="00E71BDA"/>
    <w:rsid w:val="00E770AF"/>
    <w:rsid w:val="00E80393"/>
    <w:rsid w:val="00E8074D"/>
    <w:rsid w:val="00E81C79"/>
    <w:rsid w:val="00E8656E"/>
    <w:rsid w:val="00E86FCD"/>
    <w:rsid w:val="00E976DD"/>
    <w:rsid w:val="00EA5A9D"/>
    <w:rsid w:val="00EA7DDC"/>
    <w:rsid w:val="00EB55AF"/>
    <w:rsid w:val="00EC0DBA"/>
    <w:rsid w:val="00EC2793"/>
    <w:rsid w:val="00EC3BDC"/>
    <w:rsid w:val="00EC41C6"/>
    <w:rsid w:val="00ED3D2B"/>
    <w:rsid w:val="00ED4E7C"/>
    <w:rsid w:val="00EE3228"/>
    <w:rsid w:val="00EE6165"/>
    <w:rsid w:val="00EE7540"/>
    <w:rsid w:val="00EF0A2B"/>
    <w:rsid w:val="00EF35B3"/>
    <w:rsid w:val="00EF3835"/>
    <w:rsid w:val="00EF7FB4"/>
    <w:rsid w:val="00F072EE"/>
    <w:rsid w:val="00F10A80"/>
    <w:rsid w:val="00F17442"/>
    <w:rsid w:val="00F1793C"/>
    <w:rsid w:val="00F2434E"/>
    <w:rsid w:val="00F24797"/>
    <w:rsid w:val="00F25D55"/>
    <w:rsid w:val="00F311E8"/>
    <w:rsid w:val="00F31D09"/>
    <w:rsid w:val="00F32A55"/>
    <w:rsid w:val="00F35837"/>
    <w:rsid w:val="00F37101"/>
    <w:rsid w:val="00F3791A"/>
    <w:rsid w:val="00F407B0"/>
    <w:rsid w:val="00F4545B"/>
    <w:rsid w:val="00F4785F"/>
    <w:rsid w:val="00F518F1"/>
    <w:rsid w:val="00F51C38"/>
    <w:rsid w:val="00F52144"/>
    <w:rsid w:val="00F528C8"/>
    <w:rsid w:val="00F556D1"/>
    <w:rsid w:val="00F56735"/>
    <w:rsid w:val="00F62050"/>
    <w:rsid w:val="00F620C3"/>
    <w:rsid w:val="00F64286"/>
    <w:rsid w:val="00F65EC6"/>
    <w:rsid w:val="00F75C00"/>
    <w:rsid w:val="00F80773"/>
    <w:rsid w:val="00F81A63"/>
    <w:rsid w:val="00F8678E"/>
    <w:rsid w:val="00F912C8"/>
    <w:rsid w:val="00F91F48"/>
    <w:rsid w:val="00F92FAD"/>
    <w:rsid w:val="00F93037"/>
    <w:rsid w:val="00F94F97"/>
    <w:rsid w:val="00FA1B76"/>
    <w:rsid w:val="00FA2605"/>
    <w:rsid w:val="00FA2801"/>
    <w:rsid w:val="00FA4BAC"/>
    <w:rsid w:val="00FA4C99"/>
    <w:rsid w:val="00FA680F"/>
    <w:rsid w:val="00FB027C"/>
    <w:rsid w:val="00FB217B"/>
    <w:rsid w:val="00FB3069"/>
    <w:rsid w:val="00FB4B0D"/>
    <w:rsid w:val="00FB52AE"/>
    <w:rsid w:val="00FC0790"/>
    <w:rsid w:val="00FC2E24"/>
    <w:rsid w:val="00FC5546"/>
    <w:rsid w:val="00FC5C69"/>
    <w:rsid w:val="00FD42C1"/>
    <w:rsid w:val="00FD61DE"/>
    <w:rsid w:val="00FE5E4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A22B0"/>
  <w15:docId w15:val="{84A5E739-535C-46F4-941D-3E263B17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16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F7163"/>
    <w:pPr>
      <w:keepNext/>
      <w:bidi w:val="0"/>
      <w:jc w:val="lowKashida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rsid w:val="006F7163"/>
    <w:pPr>
      <w:keepNext/>
      <w:jc w:val="center"/>
      <w:outlineLvl w:val="1"/>
    </w:pPr>
    <w:rPr>
      <w:rFonts w:cs="Simplified Arabic"/>
      <w:b/>
      <w:bCs/>
      <w:lang w:eastAsia="ar-SA"/>
    </w:rPr>
  </w:style>
  <w:style w:type="paragraph" w:styleId="Heading3">
    <w:name w:val="heading 3"/>
    <w:basedOn w:val="Normal"/>
    <w:next w:val="Normal"/>
    <w:qFormat/>
    <w:rsid w:val="006F7163"/>
    <w:pPr>
      <w:keepNext/>
      <w:bidi w:val="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6F7163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F7163"/>
    <w:pPr>
      <w:keepNext/>
      <w:bidi w:val="0"/>
      <w:spacing w:line="360" w:lineRule="auto"/>
      <w:jc w:val="right"/>
      <w:outlineLvl w:val="4"/>
    </w:pPr>
    <w:rPr>
      <w:rFonts w:cs="Simplified Arabic"/>
      <w:b/>
      <w:bCs/>
      <w:color w:val="000000"/>
      <w:szCs w:val="20"/>
      <w:u w:val="single"/>
    </w:rPr>
  </w:style>
  <w:style w:type="paragraph" w:styleId="Heading6">
    <w:name w:val="heading 6"/>
    <w:basedOn w:val="Normal"/>
    <w:next w:val="Normal"/>
    <w:qFormat/>
    <w:rsid w:val="006F7163"/>
    <w:pPr>
      <w:keepNext/>
      <w:jc w:val="center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6F7163"/>
    <w:pPr>
      <w:keepNext/>
      <w:overflowPunct w:val="0"/>
      <w:autoSpaceDE w:val="0"/>
      <w:autoSpaceDN w:val="0"/>
      <w:adjustRightInd w:val="0"/>
      <w:ind w:right="360"/>
      <w:textAlignment w:val="baseline"/>
      <w:outlineLvl w:val="6"/>
    </w:pPr>
    <w:rPr>
      <w:noProof/>
    </w:rPr>
  </w:style>
  <w:style w:type="paragraph" w:styleId="Heading8">
    <w:name w:val="heading 8"/>
    <w:basedOn w:val="Normal"/>
    <w:next w:val="Normal"/>
    <w:qFormat/>
    <w:rsid w:val="006F7163"/>
    <w:pPr>
      <w:keepNext/>
      <w:bidi w:val="0"/>
      <w:jc w:val="center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6F7163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langselect1">
    <w:name w:val="langselect1"/>
    <w:basedOn w:val="DefaultParagraphFont"/>
    <w:rsid w:val="006F7163"/>
    <w:rPr>
      <w:sz w:val="20"/>
      <w:szCs w:val="20"/>
    </w:rPr>
  </w:style>
  <w:style w:type="character" w:customStyle="1" w:styleId="arrow1">
    <w:name w:val="arrow1"/>
    <w:basedOn w:val="DefaultParagraphFont"/>
    <w:rsid w:val="006F7163"/>
    <w:rPr>
      <w:position w:val="-2"/>
      <w:sz w:val="36"/>
      <w:szCs w:val="36"/>
    </w:rPr>
  </w:style>
  <w:style w:type="paragraph" w:styleId="z-BottomofForm">
    <w:name w:val="HTML Bottom of Form"/>
    <w:basedOn w:val="Normal"/>
    <w:next w:val="Normal"/>
    <w:hidden/>
    <w:rsid w:val="006F7163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odyTextIndent">
    <w:name w:val="Body Text Indent"/>
    <w:basedOn w:val="Normal"/>
    <w:semiHidden/>
    <w:rsid w:val="006F7163"/>
    <w:pPr>
      <w:bidi w:val="0"/>
      <w:ind w:right="-1"/>
      <w:jc w:val="lowKashida"/>
    </w:pPr>
    <w:rPr>
      <w:rFonts w:cs="Traditional Arabic"/>
      <w:snapToGrid w:val="0"/>
      <w:szCs w:val="28"/>
      <w:lang w:eastAsia="ar-SA"/>
    </w:rPr>
  </w:style>
  <w:style w:type="paragraph" w:styleId="BodyText3">
    <w:name w:val="Body Text 3"/>
    <w:basedOn w:val="Normal"/>
    <w:semiHidden/>
    <w:rsid w:val="006F7163"/>
    <w:pPr>
      <w:bidi w:val="0"/>
      <w:jc w:val="lowKashida"/>
    </w:pPr>
    <w:rPr>
      <w:lang w:eastAsia="ar-SA"/>
    </w:rPr>
  </w:style>
  <w:style w:type="paragraph" w:styleId="BodyText">
    <w:name w:val="Body Text"/>
    <w:basedOn w:val="Normal"/>
    <w:semiHidden/>
    <w:rsid w:val="006F7163"/>
    <w:pPr>
      <w:bidi w:val="0"/>
    </w:pPr>
    <w:rPr>
      <w:color w:val="000000"/>
      <w:sz w:val="26"/>
      <w:szCs w:val="26"/>
    </w:rPr>
  </w:style>
  <w:style w:type="paragraph" w:styleId="BodyText2">
    <w:name w:val="Body Text 2"/>
    <w:basedOn w:val="Normal"/>
    <w:semiHidden/>
    <w:rsid w:val="006F7163"/>
    <w:pPr>
      <w:bidi w:val="0"/>
      <w:jc w:val="lowKashida"/>
    </w:pPr>
    <w:rPr>
      <w:color w:val="000000"/>
      <w:sz w:val="26"/>
      <w:szCs w:val="26"/>
    </w:rPr>
  </w:style>
  <w:style w:type="paragraph" w:styleId="Footer">
    <w:name w:val="footer"/>
    <w:basedOn w:val="Normal"/>
    <w:semiHidden/>
    <w:rsid w:val="006F71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7163"/>
  </w:style>
  <w:style w:type="paragraph" w:styleId="Header">
    <w:name w:val="header"/>
    <w:basedOn w:val="Normal"/>
    <w:link w:val="HeaderChar"/>
    <w:rsid w:val="006F7163"/>
    <w:pPr>
      <w:tabs>
        <w:tab w:val="center" w:pos="4153"/>
        <w:tab w:val="right" w:pos="8306"/>
      </w:tabs>
    </w:pPr>
  </w:style>
  <w:style w:type="character" w:customStyle="1" w:styleId="shorttext1">
    <w:name w:val="short_text1"/>
    <w:basedOn w:val="DefaultParagraphFont"/>
    <w:rsid w:val="006F7163"/>
    <w:rPr>
      <w:spacing w:val="324"/>
      <w:sz w:val="29"/>
      <w:szCs w:val="29"/>
    </w:rPr>
  </w:style>
  <w:style w:type="character" w:customStyle="1" w:styleId="mediumtext1">
    <w:name w:val="medium_text1"/>
    <w:basedOn w:val="DefaultParagraphFont"/>
    <w:rsid w:val="006F7163"/>
    <w:rPr>
      <w:spacing w:val="360"/>
      <w:sz w:val="24"/>
      <w:szCs w:val="24"/>
    </w:rPr>
  </w:style>
  <w:style w:type="character" w:customStyle="1" w:styleId="longtext1">
    <w:name w:val="long_text1"/>
    <w:basedOn w:val="DefaultParagraphFont"/>
    <w:rsid w:val="006F7163"/>
    <w:rPr>
      <w:spacing w:val="408"/>
      <w:sz w:val="20"/>
      <w:szCs w:val="20"/>
    </w:rPr>
  </w:style>
  <w:style w:type="character" w:customStyle="1" w:styleId="longtext">
    <w:name w:val="long_text"/>
    <w:basedOn w:val="DefaultParagraphFont"/>
    <w:rsid w:val="006F7163"/>
  </w:style>
  <w:style w:type="paragraph" w:styleId="BalloonText">
    <w:name w:val="Balloon Text"/>
    <w:basedOn w:val="Normal"/>
    <w:link w:val="BalloonTextChar"/>
    <w:uiPriority w:val="99"/>
    <w:semiHidden/>
    <w:unhideWhenUsed/>
    <w:rsid w:val="00AF1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E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654CB"/>
  </w:style>
  <w:style w:type="character" w:customStyle="1" w:styleId="hps">
    <w:name w:val="hps"/>
    <w:basedOn w:val="DefaultParagraphFont"/>
    <w:rsid w:val="00AC0DD5"/>
  </w:style>
  <w:style w:type="character" w:customStyle="1" w:styleId="alt-edited1">
    <w:name w:val="alt-edited1"/>
    <w:basedOn w:val="DefaultParagraphFont"/>
    <w:rsid w:val="00F93037"/>
    <w:rPr>
      <w:color w:val="4D90F0"/>
    </w:rPr>
  </w:style>
  <w:style w:type="character" w:styleId="Hyperlink">
    <w:name w:val="Hyperlink"/>
    <w:basedOn w:val="DefaultParagraphFont"/>
    <w:semiHidden/>
    <w:rsid w:val="00FC0790"/>
    <w:rPr>
      <w:color w:val="2E2ECC"/>
      <w:u w:val="single"/>
    </w:rPr>
  </w:style>
  <w:style w:type="character" w:customStyle="1" w:styleId="Heading5Char">
    <w:name w:val="Heading 5 Char"/>
    <w:basedOn w:val="DefaultParagraphFont"/>
    <w:link w:val="Heading5"/>
    <w:rsid w:val="00121640"/>
    <w:rPr>
      <w:rFonts w:cs="Simplified Arabic"/>
      <w:b/>
      <w:bCs/>
      <w:color w:val="000000"/>
      <w:sz w:val="24"/>
      <w:u w:val="single"/>
    </w:rPr>
  </w:style>
  <w:style w:type="paragraph" w:styleId="FootnoteText">
    <w:name w:val="footnote text"/>
    <w:basedOn w:val="Normal"/>
    <w:link w:val="FootnoteTextChar"/>
    <w:semiHidden/>
    <w:rsid w:val="00CC56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62C"/>
  </w:style>
  <w:style w:type="character" w:styleId="FootnoteReference">
    <w:name w:val="footnote reference"/>
    <w:semiHidden/>
    <w:rsid w:val="00CC562C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CC562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00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010"/>
  </w:style>
  <w:style w:type="character" w:styleId="EndnoteReference">
    <w:name w:val="endnote reference"/>
    <w:basedOn w:val="DefaultParagraphFont"/>
    <w:uiPriority w:val="99"/>
    <w:semiHidden/>
    <w:unhideWhenUsed/>
    <w:rsid w:val="00160010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8D37A5"/>
    <w:rPr>
      <w:sz w:val="24"/>
      <w:szCs w:val="24"/>
    </w:rPr>
  </w:style>
  <w:style w:type="table" w:styleId="TableGrid">
    <w:name w:val="Table Grid"/>
    <w:basedOn w:val="TableNormal"/>
    <w:uiPriority w:val="39"/>
    <w:rsid w:val="00301A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F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5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581B"/>
    <w:rPr>
      <w:rFonts w:ascii="Courier New" w:hAnsi="Courier New" w:cs="Courier New"/>
    </w:rPr>
  </w:style>
  <w:style w:type="character" w:customStyle="1" w:styleId="tlid-translation">
    <w:name w:val="tlid-translation"/>
    <w:basedOn w:val="DefaultParagraphFont"/>
    <w:rsid w:val="001E2718"/>
  </w:style>
  <w:style w:type="paragraph" w:styleId="BlockText">
    <w:name w:val="Block Text"/>
    <w:basedOn w:val="Normal"/>
    <w:uiPriority w:val="99"/>
    <w:semiHidden/>
    <w:rsid w:val="003D562A"/>
    <w:pPr>
      <w:bidi w:val="0"/>
      <w:ind w:left="-284" w:right="-338"/>
      <w:jc w:val="lowKashida"/>
    </w:pPr>
    <w:rPr>
      <w:rFonts w:cs="Traditional Arabic"/>
    </w:rPr>
  </w:style>
  <w:style w:type="paragraph" w:styleId="Title">
    <w:name w:val="Title"/>
    <w:basedOn w:val="Normal"/>
    <w:link w:val="TitleChar"/>
    <w:qFormat/>
    <w:rsid w:val="003D562A"/>
    <w:pPr>
      <w:jc w:val="center"/>
    </w:pPr>
    <w:rPr>
      <w:rFonts w:cs="Simplified Arabic"/>
      <w:b/>
      <w:bCs/>
    </w:rPr>
  </w:style>
  <w:style w:type="character" w:customStyle="1" w:styleId="TitleChar">
    <w:name w:val="Title Char"/>
    <w:basedOn w:val="DefaultParagraphFont"/>
    <w:link w:val="Title"/>
    <w:rsid w:val="003D562A"/>
    <w:rPr>
      <w:rFonts w:cs="Simplified Arabic"/>
      <w:b/>
      <w:bCs/>
      <w:sz w:val="24"/>
      <w:szCs w:val="24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57656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656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442">
                              <w:marLeft w:val="0"/>
                              <w:marRight w:val="0"/>
                              <w:marTop w:val="88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571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8201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7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4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6394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3188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6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6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4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7263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7768">
                                          <w:marLeft w:val="0"/>
                                          <w:marRight w:val="0"/>
                                          <w:marTop w:val="15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8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94061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2089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638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628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097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4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676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8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D60.9EF76250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9089384660262"/>
          <c:y val="5.4624943099824706E-2"/>
          <c:w val="0.80923581667676658"/>
          <c:h val="0.785567597408253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B00-46AB-8AE4-0A086368F07B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EB00-46AB-8AE4-0A086368F07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EB00-46AB-8AE4-0A086368F07B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State of Palestine </c:v>
                </c:pt>
                <c:pt idx="1">
                  <c:v>1948 Territory</c:v>
                </c:pt>
                <c:pt idx="2">
                  <c:v>Arab Countries</c:v>
                </c:pt>
                <c:pt idx="3">
                  <c:v>Foreign Countries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5354301</c:v>
                </c:pt>
                <c:pt idx="1">
                  <c:v>1693180</c:v>
                </c:pt>
                <c:pt idx="2">
                  <c:v>6358859</c:v>
                </c:pt>
                <c:pt idx="3">
                  <c:v>754979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00-46AB-8AE4-0A086368F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32928"/>
        <c:axId val="133934464"/>
      </c:barChart>
      <c:catAx>
        <c:axId val="13393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3934464"/>
        <c:crosses val="autoZero"/>
        <c:auto val="1"/>
        <c:lblAlgn val="ctr"/>
        <c:lblOffset val="100"/>
        <c:noMultiLvlLbl val="0"/>
      </c:catAx>
      <c:valAx>
        <c:axId val="13393446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3932928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8.2620633959216705E-3"/>
                <c:y val="0.30479542998301684"/>
              </c:manualLayout>
            </c:layout>
            <c:tx>
              <c:rich>
                <a:bodyPr/>
                <a:lstStyle/>
                <a:p>
                  <a:pPr>
                    <a:defRPr sz="800">
                      <a:latin typeface="Arial" pitchFamily="34" charset="0"/>
                      <a:cs typeface="Arial" pitchFamily="34" charset="0"/>
                    </a:defRPr>
                  </a:pPr>
                  <a:r>
                    <a:rPr lang="en-US" sz="800">
                      <a:latin typeface="Arial" pitchFamily="34" charset="0"/>
                      <a:cs typeface="Arial" pitchFamily="34" charset="0"/>
                    </a:rPr>
                    <a:t>Million</a:t>
                  </a:r>
                  <a:endParaRPr lang="ar-SA" sz="800">
                    <a:latin typeface="Arial" pitchFamily="34" charset="0"/>
                    <a:cs typeface="Arial" pitchFamily="34" charset="0"/>
                  </a:endParaRPr>
                </a:p>
              </c:rich>
            </c:tx>
          </c:dispUnitsLbl>
        </c:dispUnits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751029599075637"/>
          <c:y val="5.0591519005685232E-2"/>
          <c:w val="0.88160913110947414"/>
          <c:h val="0.7519551213654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Sheet6!$A$2</c:f>
              <c:strCache>
                <c:ptCount val="1"/>
                <c:pt idx="0">
                  <c:v>Gaza Strip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Sheet6!$B$1:$C$1</c:f>
              <c:strCache>
                <c:ptCount val="2"/>
                <c:pt idx="0">
                  <c:v>1999-2003</c:v>
                </c:pt>
                <c:pt idx="1">
                  <c:v>2017-2019</c:v>
                </c:pt>
              </c:strCache>
            </c:strRef>
          </c:cat>
          <c:val>
            <c:numRef>
              <c:f>Sheet6!$B$2:$C$2</c:f>
              <c:numCache>
                <c:formatCode>General</c:formatCode>
                <c:ptCount val="2"/>
                <c:pt idx="0">
                  <c:v>5.8</c:v>
                </c:pt>
                <c:pt idx="1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B-4F17-BC06-E791D88F812A}"/>
            </c:ext>
          </c:extLst>
        </c:ser>
        <c:ser>
          <c:idx val="1"/>
          <c:order val="1"/>
          <c:tx>
            <c:strRef>
              <c:f>Sheet6!$A$3</c:f>
              <c:strCache>
                <c:ptCount val="1"/>
                <c:pt idx="0">
                  <c:v>West Bank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Sheet6!$B$1:$C$1</c:f>
              <c:strCache>
                <c:ptCount val="2"/>
                <c:pt idx="0">
                  <c:v>1999-2003</c:v>
                </c:pt>
                <c:pt idx="1">
                  <c:v>2017-2019</c:v>
                </c:pt>
              </c:strCache>
            </c:strRef>
          </c:cat>
          <c:val>
            <c:numRef>
              <c:f>Sheet6!$B$3:$C$3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EB-4F17-BC06-E791D88F812A}"/>
            </c:ext>
          </c:extLst>
        </c:ser>
        <c:ser>
          <c:idx val="2"/>
          <c:order val="2"/>
          <c:tx>
            <c:strRef>
              <c:f>Sheet6!$A$4</c:f>
              <c:strCache>
                <c:ptCount val="1"/>
                <c:pt idx="0">
                  <c:v>Palestine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Sheet6!$B$1:$C$1</c:f>
              <c:strCache>
                <c:ptCount val="2"/>
                <c:pt idx="0">
                  <c:v>1999-2003</c:v>
                </c:pt>
                <c:pt idx="1">
                  <c:v>2017-2019</c:v>
                </c:pt>
              </c:strCache>
            </c:strRef>
          </c:cat>
          <c:val>
            <c:numRef>
              <c:f>Sheet6!$B$4:$C$4</c:f>
              <c:numCache>
                <c:formatCode>General</c:formatCode>
                <c:ptCount val="2"/>
                <c:pt idx="0">
                  <c:v>4.5999999999999996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EB-4F17-BC06-E791D88F81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470976"/>
        <c:axId val="145472896"/>
      </c:barChart>
      <c:catAx>
        <c:axId val="145470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0.4977242985471888"/>
              <c:y val="0.9006216114877596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5472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472896"/>
        <c:scaling>
          <c:orientation val="minMax"/>
          <c:max val="7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5470976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35904884874033621"/>
          <c:y val="3.1707854927154853E-2"/>
          <c:w val="0.56703322281605351"/>
          <c:h val="0.16254294917680748"/>
        </c:manualLayout>
      </c:layout>
      <c:overlay val="0"/>
      <c:spPr>
        <a:ln>
          <a:solidFill>
            <a:srgbClr val="4F81BD"/>
          </a:solidFill>
        </a:ln>
      </c:sp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7259754295423"/>
          <c:y val="0.17970930520477393"/>
          <c:w val="0.81556427507031948"/>
          <c:h val="0.709187359257630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4434-48FC-B02E-3708D9C4EBDA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4434-48FC-B02E-3708D9C4EBDA}"/>
              </c:ext>
            </c:extLst>
          </c:dPt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2021</c:v>
                </c:pt>
              </c:numCache>
            </c:numRef>
          </c:cat>
          <c:val>
            <c:numRef>
              <c:f>Sheet1!$B$2:$B$3</c:f>
              <c:numCache>
                <c:formatCode>0.0</c:formatCode>
                <c:ptCount val="2"/>
                <c:pt idx="0" formatCode="General">
                  <c:v>5.8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34-48FC-B02E-3708D9C4EBD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invertIfNegative val="0"/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2021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5.5</c:v>
                </c:pt>
                <c:pt idx="1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34-48FC-B02E-3708D9C4EBD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invertIfNegative val="0"/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2021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6.5</c:v>
                </c:pt>
                <c:pt idx="1">
                  <c:v>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434-48FC-B02E-3708D9C4E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642656"/>
        <c:axId val="1"/>
      </c:barChart>
      <c:catAx>
        <c:axId val="17764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77642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293625314003133"/>
          <c:y val="4.0806970134650331E-2"/>
          <c:w val="0.68685073164137744"/>
          <c:h val="0.10939508301107333"/>
        </c:manualLayout>
      </c:layout>
      <c:overlay val="0"/>
      <c:txPr>
        <a:bodyPr/>
        <a:lstStyle/>
        <a:p>
          <a:pPr>
            <a:defRPr lang="en-US" sz="8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564413823272869E-2"/>
          <c:y val="4.4057617797775513E-2"/>
          <c:w val="0.88248651210264928"/>
          <c:h val="0.7091829650325965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4C-4FC1-84AD-6BAF5DE62C9B}"/>
                </c:ext>
              </c:extLst>
            </c:dLbl>
            <c:dLbl>
              <c:idx val="20"/>
              <c:layout>
                <c:manualLayout>
                  <c:x val="2.5462962962962965E-2"/>
                  <c:y val="-1.017811704834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4C-4FC1-84AD-6BAF5DE62C9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Sheet1!$A$2:$A$23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Sheet1!$B$2:$B$23</c:f>
              <c:numCache>
                <c:formatCode>0.0</c:formatCode>
                <c:ptCount val="22"/>
                <c:pt idx="0">
                  <c:v>5.6</c:v>
                </c:pt>
                <c:pt idx="1">
                  <c:v>4.7</c:v>
                </c:pt>
                <c:pt idx="2">
                  <c:v>4.3</c:v>
                </c:pt>
                <c:pt idx="3">
                  <c:v>3.7</c:v>
                </c:pt>
                <c:pt idx="4">
                  <c:v>3.5</c:v>
                </c:pt>
                <c:pt idx="5">
                  <c:v>3.1</c:v>
                </c:pt>
                <c:pt idx="6">
                  <c:v>2.9</c:v>
                </c:pt>
                <c:pt idx="7">
                  <c:v>2.8</c:v>
                </c:pt>
                <c:pt idx="8">
                  <c:v>2.9</c:v>
                </c:pt>
                <c:pt idx="9">
                  <c:v>2.6</c:v>
                </c:pt>
                <c:pt idx="10">
                  <c:v>2.4</c:v>
                </c:pt>
                <c:pt idx="11">
                  <c:v>2.1</c:v>
                </c:pt>
                <c:pt idx="12">
                  <c:v>1.8</c:v>
                </c:pt>
                <c:pt idx="13">
                  <c:v>1.6</c:v>
                </c:pt>
                <c:pt idx="14">
                  <c:v>1.6</c:v>
                </c:pt>
                <c:pt idx="15">
                  <c:v>1.5</c:v>
                </c:pt>
                <c:pt idx="16">
                  <c:v>1.4</c:v>
                </c:pt>
                <c:pt idx="17">
                  <c:v>1.7</c:v>
                </c:pt>
                <c:pt idx="18">
                  <c:v>1.3</c:v>
                </c:pt>
                <c:pt idx="19">
                  <c:v>1.2</c:v>
                </c:pt>
                <c:pt idx="20">
                  <c:v>1.2</c:v>
                </c:pt>
                <c:pt idx="21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34C-4FC1-84AD-6BAF5DE62C9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Females</c:v>
                </c:pt>
              </c:strCache>
            </c:strRef>
          </c:tx>
          <c:dLbls>
            <c:dLbl>
              <c:idx val="0"/>
              <c:layout>
                <c:manualLayout>
                  <c:x val="-2.7777777777777901E-2"/>
                  <c:y val="-5.0890585241730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4C-4FC1-84AD-6BAF5DE62C9B}"/>
                </c:ext>
              </c:extLst>
            </c:dLbl>
            <c:dLbl>
              <c:idx val="20"/>
              <c:layout>
                <c:manualLayout>
                  <c:x val="1.3888888888888892E-2"/>
                  <c:y val="-4.58015267175572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4C-4FC1-84AD-6BAF5DE62C9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Sheet1!$A$2:$A$23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Sheet1!$C$2:$C$23</c:f>
              <c:numCache>
                <c:formatCode>0.0</c:formatCode>
                <c:ptCount val="22"/>
                <c:pt idx="0">
                  <c:v>16.100000000000001</c:v>
                </c:pt>
                <c:pt idx="1">
                  <c:v>15</c:v>
                </c:pt>
                <c:pt idx="2">
                  <c:v>13.6</c:v>
                </c:pt>
                <c:pt idx="3">
                  <c:v>12.6</c:v>
                </c:pt>
                <c:pt idx="4">
                  <c:v>12</c:v>
                </c:pt>
                <c:pt idx="5">
                  <c:v>11.1</c:v>
                </c:pt>
                <c:pt idx="6">
                  <c:v>10.200000000000001</c:v>
                </c:pt>
                <c:pt idx="7">
                  <c:v>9.5</c:v>
                </c:pt>
                <c:pt idx="8">
                  <c:v>9.1</c:v>
                </c:pt>
                <c:pt idx="9">
                  <c:v>8.3000000000000007</c:v>
                </c:pt>
                <c:pt idx="10">
                  <c:v>7.8</c:v>
                </c:pt>
                <c:pt idx="11">
                  <c:v>7.4</c:v>
                </c:pt>
                <c:pt idx="12">
                  <c:v>6.4</c:v>
                </c:pt>
                <c:pt idx="13">
                  <c:v>5.9</c:v>
                </c:pt>
                <c:pt idx="14">
                  <c:v>5.6</c:v>
                </c:pt>
                <c:pt idx="15">
                  <c:v>5.0999999999999996</c:v>
                </c:pt>
                <c:pt idx="16">
                  <c:v>4.8</c:v>
                </c:pt>
                <c:pt idx="17">
                  <c:v>5</c:v>
                </c:pt>
                <c:pt idx="18">
                  <c:v>4.3</c:v>
                </c:pt>
                <c:pt idx="19">
                  <c:v>4.0999999999999996</c:v>
                </c:pt>
                <c:pt idx="20">
                  <c:v>3.8</c:v>
                </c:pt>
                <c:pt idx="21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34C-4FC1-84AD-6BAF5DE62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116992"/>
        <c:axId val="168118528"/>
      </c:lineChart>
      <c:catAx>
        <c:axId val="16811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68118528"/>
        <c:crosses val="autoZero"/>
        <c:auto val="1"/>
        <c:lblAlgn val="ctr"/>
        <c:lblOffset val="100"/>
        <c:noMultiLvlLbl val="0"/>
      </c:catAx>
      <c:valAx>
        <c:axId val="168118528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68116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349537037037065"/>
          <c:y val="0.17030589926259221"/>
          <c:w val="0.29057870370370603"/>
          <c:h val="9.5896137982752205E-2"/>
        </c:manualLayout>
      </c:layout>
      <c:overlay val="0"/>
      <c:txPr>
        <a:bodyPr/>
        <a:lstStyle/>
        <a:p>
          <a:pPr>
            <a:defRPr lang="en-US" sz="8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151961993989995"/>
          <c:y val="4.6431359846476623E-2"/>
          <c:w val="0.86375221920296241"/>
          <c:h val="0.8244386621909375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dLbls>
            <c:dLbl>
              <c:idx val="0"/>
              <c:layout>
                <c:manualLayout>
                  <c:x val="-5.8203400968200002E-2"/>
                  <c:y val="-7.1149220337981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62-4186-B868-2959667E7AB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62-4186-B868-2959667E7AB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62-4186-B868-2959667E7AB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62-4186-B868-2959667E7AB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62-4186-B868-2959667E7AB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62-4186-B868-2959667E7AB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 formatCode="0.0">
                  <c:v>23</c:v>
                </c:pt>
                <c:pt idx="1">
                  <c:v>23.9</c:v>
                </c:pt>
                <c:pt idx="2">
                  <c:v>25.7</c:v>
                </c:pt>
                <c:pt idx="3">
                  <c:v>26.2</c:v>
                </c:pt>
                <c:pt idx="4">
                  <c:v>25.3</c:v>
                </c:pt>
                <c:pt idx="5">
                  <c:v>25.9</c:v>
                </c:pt>
                <c:pt idx="6">
                  <c:v>26.4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462-4186-B868-2959667E7AB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dLbls>
            <c:dLbl>
              <c:idx val="0"/>
              <c:layout>
                <c:manualLayout>
                  <c:x val="-6.2680585658061561E-2"/>
                  <c:y val="9.055355315743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62-4186-B868-2959667E7AB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62-4186-B868-2959667E7AB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62-4186-B868-2959667E7AB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62-4186-B868-2959667E7AB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62-4186-B868-2959667E7AB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62-4186-B868-2959667E7AB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>
                  <c:v>14.6</c:v>
                </c:pt>
                <c:pt idx="5">
                  <c:v>15.7</c:v>
                </c:pt>
                <c:pt idx="6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462-4186-B868-2959667E7AB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dLbls>
            <c:dLbl>
              <c:idx val="0"/>
              <c:spPr/>
              <c:txPr>
                <a:bodyPr rot="0" vert="horz"/>
                <a:lstStyle/>
                <a:p>
                  <a:pPr>
                    <a:defRPr sz="800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2462-4186-B868-2959667E7AB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462-4186-B868-2959667E7AB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462-4186-B868-2959667E7AB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462-4186-B868-2959667E7AB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462-4186-B868-2959667E7AB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462-4186-B868-2959667E7AB4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34.799999999999997</c:v>
                </c:pt>
                <c:pt idx="1">
                  <c:v>35.4</c:v>
                </c:pt>
                <c:pt idx="2">
                  <c:v>38.799999999999997</c:v>
                </c:pt>
                <c:pt idx="3">
                  <c:v>43.1</c:v>
                </c:pt>
                <c:pt idx="4">
                  <c:v>45.1</c:v>
                </c:pt>
                <c:pt idx="5">
                  <c:v>46.6</c:v>
                </c:pt>
                <c:pt idx="6">
                  <c:v>46.9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2462-4186-B868-2959667E7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625208"/>
        <c:axId val="1"/>
      </c:lineChart>
      <c:catAx>
        <c:axId val="183625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55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83625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836640869570105"/>
          <c:y val="3.8813005517167494E-2"/>
          <c:w val="0.74074940846526938"/>
          <c:h val="0.10571321441962614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A4E9-906C-4210-B30B-7E912B29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Indeed, demographic</vt:lpstr>
      <vt:lpstr>Indeed, demographic</vt:lpstr>
    </vt:vector>
  </TitlesOfParts>
  <Company>marsel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Indeed, demographic</dc:title>
  <dc:creator>ameer</dc:creator>
  <cp:lastModifiedBy>Haitham Zeidan</cp:lastModifiedBy>
  <cp:revision>2</cp:revision>
  <cp:lastPrinted>2022-07-04T11:55:00Z</cp:lastPrinted>
  <dcterms:created xsi:type="dcterms:W3CDTF">2022-07-07T09:46:00Z</dcterms:created>
  <dcterms:modified xsi:type="dcterms:W3CDTF">2022-07-07T09:46:00Z</dcterms:modified>
</cp:coreProperties>
</file>