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A2E9" w14:textId="77777777" w:rsidR="00E00DC4" w:rsidRDefault="00E00DC4" w:rsidP="00E00DC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05C38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14:paraId="0EFCC54E" w14:textId="0FD3AEE6" w:rsidR="008D37A5" w:rsidRPr="008378E6" w:rsidRDefault="008D37A5" w:rsidP="00E00DC4">
      <w:pPr>
        <w:bidi w:val="0"/>
        <w:jc w:val="center"/>
        <w:rPr>
          <w:rFonts w:hint="cs"/>
          <w:rtl/>
        </w:rPr>
      </w:pPr>
    </w:p>
    <w:p w14:paraId="1A5BF381" w14:textId="5AB7662C" w:rsidR="00F67844" w:rsidRPr="008378E6" w:rsidRDefault="00F67844" w:rsidP="00444640">
      <w:pPr>
        <w:pStyle w:val="Heading6"/>
        <w:rPr>
          <w:rFonts w:asciiTheme="majorBidi" w:hAnsiTheme="majorBidi" w:cstheme="majorBidi"/>
          <w:sz w:val="28"/>
          <w:szCs w:val="28"/>
        </w:rPr>
      </w:pPr>
      <w:r w:rsidRPr="008378E6">
        <w:rPr>
          <w:rFonts w:asciiTheme="majorBidi" w:hAnsiTheme="majorBidi" w:cstheme="majorBidi"/>
          <w:sz w:val="28"/>
          <w:szCs w:val="28"/>
        </w:rPr>
        <w:t xml:space="preserve">Palestinian Central Bureau of Statistics (PCBS) Presents the Conditions of </w:t>
      </w:r>
      <w:r w:rsidR="00C064FB">
        <w:rPr>
          <w:rFonts w:asciiTheme="majorBidi" w:hAnsiTheme="majorBidi" w:cstheme="majorBidi"/>
          <w:sz w:val="28"/>
          <w:szCs w:val="28"/>
        </w:rPr>
        <w:t xml:space="preserve">the </w:t>
      </w:r>
      <w:r w:rsidRPr="008378E6">
        <w:rPr>
          <w:rFonts w:asciiTheme="majorBidi" w:hAnsiTheme="majorBidi" w:cstheme="majorBidi"/>
          <w:sz w:val="28"/>
          <w:szCs w:val="28"/>
        </w:rPr>
        <w:t xml:space="preserve">Palestinian Population on the Occasion of the </w:t>
      </w:r>
      <w:r w:rsidR="00444640">
        <w:rPr>
          <w:rFonts w:asciiTheme="majorBidi" w:hAnsiTheme="majorBidi" w:cstheme="majorBidi"/>
          <w:sz w:val="28"/>
          <w:szCs w:val="28"/>
        </w:rPr>
        <w:t>World</w:t>
      </w:r>
      <w:r w:rsidR="00444640" w:rsidRPr="008378E6">
        <w:rPr>
          <w:rFonts w:asciiTheme="majorBidi" w:hAnsiTheme="majorBidi" w:cstheme="majorBidi"/>
          <w:sz w:val="28"/>
          <w:szCs w:val="28"/>
        </w:rPr>
        <w:t xml:space="preserve"> </w:t>
      </w:r>
      <w:r w:rsidRPr="008378E6">
        <w:rPr>
          <w:rFonts w:asciiTheme="majorBidi" w:hAnsiTheme="majorBidi" w:cstheme="majorBidi"/>
          <w:sz w:val="28"/>
          <w:szCs w:val="28"/>
        </w:rPr>
        <w:t>Population Day, 11/07/2023</w:t>
      </w:r>
    </w:p>
    <w:p w14:paraId="5499528F" w14:textId="6AEF358A" w:rsidR="00F67844" w:rsidRPr="00E00DC4" w:rsidRDefault="00F67844" w:rsidP="00E00DC4">
      <w:pPr>
        <w:bidi w:val="0"/>
        <w:jc w:val="center"/>
        <w:rPr>
          <w:sz w:val="16"/>
          <w:szCs w:val="16"/>
        </w:rPr>
      </w:pPr>
    </w:p>
    <w:p w14:paraId="32CED303" w14:textId="48D78152" w:rsidR="00F67844" w:rsidRPr="008378E6" w:rsidRDefault="00444640" w:rsidP="00444640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378E6">
        <w:rPr>
          <w:rFonts w:asciiTheme="majorBidi" w:hAnsiTheme="majorBidi" w:cstheme="majorBidi"/>
          <w:b/>
          <w:bCs/>
          <w:sz w:val="28"/>
          <w:szCs w:val="28"/>
        </w:rPr>
        <w:t>"</w:t>
      </w:r>
      <w:r w:rsidR="00F67844" w:rsidRPr="008378E6">
        <w:rPr>
          <w:rFonts w:asciiTheme="majorBidi" w:hAnsiTheme="majorBidi" w:cstheme="majorBidi"/>
          <w:b/>
          <w:bCs/>
          <w:sz w:val="28"/>
          <w:szCs w:val="28"/>
        </w:rPr>
        <w:t>Unleashing the power of gender equality: Uplifting the voices of women and girls to unlock our world’s infinite possibilities"</w:t>
      </w:r>
    </w:p>
    <w:p w14:paraId="75E5EB23" w14:textId="7CF6682A" w:rsidR="00F67844" w:rsidRPr="008378E6" w:rsidRDefault="00F67844" w:rsidP="00F67844">
      <w:pPr>
        <w:rPr>
          <w:sz w:val="28"/>
          <w:szCs w:val="28"/>
          <w:lang w:val="en"/>
        </w:rPr>
      </w:pPr>
    </w:p>
    <w:p w14:paraId="40851A9A" w14:textId="524B2719" w:rsidR="00F67844" w:rsidRPr="00E00DC4" w:rsidRDefault="00444640" w:rsidP="00F67844">
      <w:pPr>
        <w:pStyle w:val="Heading5"/>
        <w:spacing w:line="240" w:lineRule="auto"/>
        <w:jc w:val="left"/>
        <w:rPr>
          <w:rFonts w:asciiTheme="majorBidi" w:hAnsiTheme="majorBidi" w:cstheme="majorBidi"/>
          <w:color w:val="auto"/>
          <w:sz w:val="28"/>
          <w:szCs w:val="28"/>
          <w:u w:val="none"/>
        </w:rPr>
      </w:pPr>
      <w:r w:rsidRPr="00E00DC4">
        <w:rPr>
          <w:rFonts w:asciiTheme="majorBidi" w:hAnsiTheme="majorBidi" w:cstheme="majorBidi"/>
          <w:color w:val="auto"/>
          <w:sz w:val="28"/>
          <w:szCs w:val="28"/>
          <w:u w:val="none"/>
        </w:rPr>
        <w:t xml:space="preserve">About </w:t>
      </w:r>
      <w:r w:rsidR="00F67844" w:rsidRPr="00E00DC4">
        <w:rPr>
          <w:rFonts w:asciiTheme="majorBidi" w:hAnsiTheme="majorBidi" w:cstheme="majorBidi"/>
          <w:color w:val="auto"/>
          <w:sz w:val="28"/>
          <w:szCs w:val="28"/>
          <w:u w:val="none"/>
          <w:rtl/>
        </w:rPr>
        <w:t>14.5</w:t>
      </w:r>
      <w:r w:rsidR="00F67844" w:rsidRPr="00E00DC4">
        <w:rPr>
          <w:rFonts w:asciiTheme="majorBidi" w:hAnsiTheme="majorBidi" w:cstheme="majorBidi"/>
          <w:color w:val="auto"/>
          <w:sz w:val="28"/>
          <w:szCs w:val="28"/>
          <w:u w:val="none"/>
        </w:rPr>
        <w:t xml:space="preserve"> Million Palestinians in Historical Palestine and Diaspora</w:t>
      </w:r>
    </w:p>
    <w:p w14:paraId="03ABE9B8" w14:textId="22E8A43E" w:rsidR="00E60850" w:rsidRPr="00E00DC4" w:rsidRDefault="00444640" w:rsidP="00CA332D">
      <w:pPr>
        <w:pStyle w:val="BodyText2"/>
        <w:rPr>
          <w:rFonts w:asciiTheme="majorBidi" w:hAnsiTheme="majorBidi" w:cstheme="majorBidi"/>
          <w:color w:val="auto"/>
        </w:rPr>
      </w:pPr>
      <w:bookmarkStart w:id="0" w:name="OLE_LINK1"/>
      <w:r w:rsidRPr="00E00DC4">
        <w:rPr>
          <w:rFonts w:asciiTheme="majorBidi" w:hAnsiTheme="majorBidi" w:cstheme="majorBidi"/>
          <w:color w:val="auto"/>
        </w:rPr>
        <w:t xml:space="preserve">About </w:t>
      </w:r>
      <w:r w:rsidR="00CE1260" w:rsidRPr="00E00DC4">
        <w:rPr>
          <w:rFonts w:asciiTheme="majorBidi" w:hAnsiTheme="majorBidi" w:cstheme="majorBidi"/>
          <w:color w:val="auto"/>
        </w:rPr>
        <w:t>1</w:t>
      </w:r>
      <w:r w:rsidR="00190ABC" w:rsidRPr="00E00DC4">
        <w:rPr>
          <w:rFonts w:asciiTheme="majorBidi" w:hAnsiTheme="majorBidi" w:cstheme="majorBidi"/>
          <w:color w:val="auto"/>
          <w:rtl/>
        </w:rPr>
        <w:t>4</w:t>
      </w:r>
      <w:r w:rsidR="00CE1260" w:rsidRPr="00E00DC4">
        <w:rPr>
          <w:rFonts w:asciiTheme="majorBidi" w:hAnsiTheme="majorBidi" w:cstheme="majorBidi"/>
          <w:color w:val="auto"/>
        </w:rPr>
        <w:t>.</w:t>
      </w:r>
      <w:r w:rsidR="00E01F57" w:rsidRPr="00E00DC4">
        <w:rPr>
          <w:rFonts w:asciiTheme="majorBidi" w:hAnsiTheme="majorBidi" w:cstheme="majorBidi"/>
          <w:color w:val="auto"/>
          <w:rtl/>
        </w:rPr>
        <w:t>5</w:t>
      </w:r>
      <w:r w:rsidR="004155EB" w:rsidRPr="00E00DC4">
        <w:rPr>
          <w:rFonts w:asciiTheme="majorBidi" w:hAnsiTheme="majorBidi" w:cstheme="majorBidi"/>
          <w:color w:val="auto"/>
        </w:rPr>
        <w:t xml:space="preserve"> million Palestinians in the world</w:t>
      </w:r>
      <w:r w:rsidR="000E21E9" w:rsidRPr="00E00DC4">
        <w:rPr>
          <w:rFonts w:asciiTheme="majorBidi" w:hAnsiTheme="majorBidi" w:cstheme="majorBidi"/>
          <w:color w:val="auto"/>
        </w:rPr>
        <w:t xml:space="preserve"> in </w:t>
      </w:r>
      <w:r w:rsidR="009B3E2C" w:rsidRPr="00E00DC4">
        <w:rPr>
          <w:rFonts w:asciiTheme="majorBidi" w:hAnsiTheme="majorBidi" w:cstheme="majorBidi"/>
          <w:color w:val="auto"/>
        </w:rPr>
        <w:t>mid-</w:t>
      </w:r>
      <w:r w:rsidR="00E01F57" w:rsidRPr="00E00DC4">
        <w:rPr>
          <w:rFonts w:asciiTheme="majorBidi" w:hAnsiTheme="majorBidi" w:cstheme="majorBidi"/>
          <w:color w:val="auto"/>
          <w:rtl/>
        </w:rPr>
        <w:t>2023</w:t>
      </w:r>
      <w:r w:rsidR="004155EB" w:rsidRPr="00E00DC4">
        <w:rPr>
          <w:rFonts w:asciiTheme="majorBidi" w:hAnsiTheme="majorBidi" w:cstheme="majorBidi"/>
          <w:color w:val="auto"/>
        </w:rPr>
        <w:t xml:space="preserve">, of whom about </w:t>
      </w:r>
      <w:r w:rsidR="00CE1260" w:rsidRPr="00E00DC4">
        <w:rPr>
          <w:rFonts w:asciiTheme="majorBidi" w:hAnsiTheme="majorBidi" w:cstheme="majorBidi"/>
          <w:color w:val="auto"/>
        </w:rPr>
        <w:t>5.</w:t>
      </w:r>
      <w:r w:rsidR="00E01F57" w:rsidRPr="00E00DC4">
        <w:rPr>
          <w:rFonts w:asciiTheme="majorBidi" w:hAnsiTheme="majorBidi" w:cstheme="majorBidi"/>
          <w:color w:val="auto"/>
          <w:rtl/>
        </w:rPr>
        <w:t>48</w:t>
      </w:r>
      <w:r w:rsidR="004155EB" w:rsidRPr="00E00DC4">
        <w:rPr>
          <w:rFonts w:asciiTheme="majorBidi" w:hAnsiTheme="majorBidi" w:cstheme="majorBidi"/>
          <w:color w:val="auto"/>
        </w:rPr>
        <w:t xml:space="preserve"> million in the State of Palestine</w:t>
      </w:r>
      <w:r w:rsidR="00905D31" w:rsidRPr="00E00DC4">
        <w:rPr>
          <w:rFonts w:asciiTheme="majorBidi" w:hAnsiTheme="majorBidi" w:cstheme="majorBidi"/>
          <w:color w:val="auto"/>
        </w:rPr>
        <w:t xml:space="preserve">; </w:t>
      </w:r>
      <w:bookmarkEnd w:id="0"/>
      <w:r w:rsidR="00CE1260" w:rsidRPr="00E00DC4">
        <w:rPr>
          <w:rFonts w:asciiTheme="majorBidi" w:hAnsiTheme="majorBidi" w:cstheme="majorBidi"/>
          <w:color w:val="auto"/>
        </w:rPr>
        <w:t>2.</w:t>
      </w:r>
      <w:r w:rsidR="00190ABC" w:rsidRPr="00E00DC4">
        <w:rPr>
          <w:rFonts w:asciiTheme="majorBidi" w:hAnsiTheme="majorBidi" w:cstheme="majorBidi"/>
          <w:color w:val="auto"/>
          <w:rtl/>
        </w:rPr>
        <w:t>7</w:t>
      </w:r>
      <w:r w:rsidR="00E01F57" w:rsidRPr="00E00DC4">
        <w:rPr>
          <w:rFonts w:asciiTheme="majorBidi" w:hAnsiTheme="majorBidi" w:cstheme="majorBidi"/>
          <w:color w:val="auto"/>
          <w:rtl/>
        </w:rPr>
        <w:t>8</w:t>
      </w:r>
      <w:r w:rsidR="00905D31" w:rsidRPr="00E00DC4">
        <w:rPr>
          <w:rFonts w:asciiTheme="majorBidi" w:hAnsiTheme="majorBidi" w:cstheme="majorBidi"/>
          <w:color w:val="auto"/>
        </w:rPr>
        <w:t xml:space="preserve"> million males and </w:t>
      </w:r>
      <w:r w:rsidR="00CE1260" w:rsidRPr="00E00DC4">
        <w:rPr>
          <w:rFonts w:asciiTheme="majorBidi" w:hAnsiTheme="majorBidi" w:cstheme="majorBidi"/>
          <w:color w:val="auto"/>
        </w:rPr>
        <w:t>2.</w:t>
      </w:r>
      <w:r w:rsidR="00E01F57" w:rsidRPr="00E00DC4">
        <w:rPr>
          <w:rFonts w:asciiTheme="majorBidi" w:hAnsiTheme="majorBidi" w:cstheme="majorBidi"/>
          <w:color w:val="auto"/>
          <w:rtl/>
        </w:rPr>
        <w:t>70</w:t>
      </w:r>
      <w:r w:rsidR="00905D31" w:rsidRPr="00E00DC4">
        <w:rPr>
          <w:rFonts w:asciiTheme="majorBidi" w:hAnsiTheme="majorBidi" w:cstheme="majorBidi"/>
          <w:color w:val="auto"/>
        </w:rPr>
        <w:t xml:space="preserve"> million females. The estimated population of </w:t>
      </w:r>
      <w:r w:rsidR="00660945" w:rsidRPr="00E00DC4">
        <w:rPr>
          <w:rFonts w:asciiTheme="majorBidi" w:hAnsiTheme="majorBidi" w:cstheme="majorBidi"/>
          <w:color w:val="auto"/>
        </w:rPr>
        <w:t xml:space="preserve">the </w:t>
      </w:r>
      <w:r w:rsidR="00905D31" w:rsidRPr="00E00DC4">
        <w:rPr>
          <w:rFonts w:asciiTheme="majorBidi" w:hAnsiTheme="majorBidi" w:cstheme="majorBidi"/>
          <w:color w:val="auto"/>
        </w:rPr>
        <w:t>West Bank was</w:t>
      </w:r>
      <w:r w:rsidR="00CE1260" w:rsidRPr="00E00DC4">
        <w:rPr>
          <w:rFonts w:asciiTheme="majorBidi" w:hAnsiTheme="majorBidi" w:cstheme="majorBidi"/>
          <w:color w:val="auto"/>
        </w:rPr>
        <w:t xml:space="preserve"> 3.</w:t>
      </w:r>
      <w:r w:rsidR="00E01F57" w:rsidRPr="00E00DC4">
        <w:rPr>
          <w:rFonts w:asciiTheme="majorBidi" w:hAnsiTheme="majorBidi" w:cstheme="majorBidi"/>
          <w:color w:val="auto"/>
          <w:rtl/>
        </w:rPr>
        <w:t>25</w:t>
      </w:r>
      <w:r w:rsidR="00905D31" w:rsidRPr="00E00DC4">
        <w:rPr>
          <w:rFonts w:asciiTheme="majorBidi" w:hAnsiTheme="majorBidi" w:cstheme="majorBidi"/>
          <w:color w:val="auto"/>
        </w:rPr>
        <w:t xml:space="preserve"> million</w:t>
      </w:r>
      <w:r w:rsidR="00106C47" w:rsidRPr="00E00DC4">
        <w:rPr>
          <w:rFonts w:asciiTheme="majorBidi" w:hAnsiTheme="majorBidi" w:cstheme="majorBidi"/>
          <w:color w:val="auto"/>
        </w:rPr>
        <w:t xml:space="preserve"> </w:t>
      </w:r>
      <w:r w:rsidR="00CA332D" w:rsidRPr="00E00DC4">
        <w:rPr>
          <w:rFonts w:asciiTheme="majorBidi" w:hAnsiTheme="majorBidi" w:cstheme="majorBidi"/>
          <w:color w:val="auto"/>
        </w:rPr>
        <w:t>(</w:t>
      </w:r>
      <w:r w:rsidR="00905D31" w:rsidRPr="00E00DC4">
        <w:rPr>
          <w:rFonts w:asciiTheme="majorBidi" w:hAnsiTheme="majorBidi" w:cstheme="majorBidi"/>
          <w:color w:val="auto"/>
        </w:rPr>
        <w:t>1.</w:t>
      </w:r>
      <w:r w:rsidR="00190ABC" w:rsidRPr="00E00DC4">
        <w:rPr>
          <w:rFonts w:asciiTheme="majorBidi" w:hAnsiTheme="majorBidi" w:cstheme="majorBidi"/>
          <w:color w:val="auto"/>
          <w:rtl/>
        </w:rPr>
        <w:t>6</w:t>
      </w:r>
      <w:r w:rsidR="00E01F57" w:rsidRPr="00E00DC4">
        <w:rPr>
          <w:rFonts w:asciiTheme="majorBidi" w:hAnsiTheme="majorBidi" w:cstheme="majorBidi"/>
          <w:color w:val="auto"/>
          <w:rtl/>
        </w:rPr>
        <w:t>5</w:t>
      </w:r>
      <w:r w:rsidR="00CE1260" w:rsidRPr="00E00DC4">
        <w:rPr>
          <w:rFonts w:asciiTheme="majorBidi" w:hAnsiTheme="majorBidi" w:cstheme="majorBidi"/>
          <w:color w:val="auto"/>
        </w:rPr>
        <w:t xml:space="preserve"> </w:t>
      </w:r>
      <w:r w:rsidR="00905D31" w:rsidRPr="00E00DC4">
        <w:rPr>
          <w:rFonts w:asciiTheme="majorBidi" w:hAnsiTheme="majorBidi" w:cstheme="majorBidi"/>
          <w:color w:val="auto"/>
        </w:rPr>
        <w:t>million males and 1.</w:t>
      </w:r>
      <w:r w:rsidR="00E01F57" w:rsidRPr="00E00DC4">
        <w:rPr>
          <w:rFonts w:asciiTheme="majorBidi" w:hAnsiTheme="majorBidi" w:cstheme="majorBidi"/>
          <w:color w:val="auto"/>
          <w:rtl/>
        </w:rPr>
        <w:t>60</w:t>
      </w:r>
      <w:r w:rsidR="00905D31" w:rsidRPr="00E00DC4">
        <w:rPr>
          <w:rFonts w:asciiTheme="majorBidi" w:hAnsiTheme="majorBidi" w:cstheme="majorBidi"/>
          <w:color w:val="auto"/>
        </w:rPr>
        <w:t xml:space="preserve"> million females</w:t>
      </w:r>
      <w:r w:rsidR="00CA332D" w:rsidRPr="00E00DC4">
        <w:rPr>
          <w:rFonts w:asciiTheme="majorBidi" w:hAnsiTheme="majorBidi" w:cstheme="majorBidi"/>
          <w:color w:val="auto"/>
        </w:rPr>
        <w:t>)</w:t>
      </w:r>
      <w:r w:rsidR="00905D31" w:rsidRPr="00E00DC4">
        <w:rPr>
          <w:rFonts w:asciiTheme="majorBidi" w:hAnsiTheme="majorBidi" w:cstheme="majorBidi"/>
          <w:color w:val="auto"/>
        </w:rPr>
        <w:t xml:space="preserve">. While the estimated population of Gaza Strip </w:t>
      </w:r>
      <w:r w:rsidR="00660945" w:rsidRPr="00E00DC4">
        <w:rPr>
          <w:rFonts w:asciiTheme="majorBidi" w:hAnsiTheme="majorBidi" w:cstheme="majorBidi"/>
          <w:color w:val="auto"/>
        </w:rPr>
        <w:t>was</w:t>
      </w:r>
      <w:r w:rsidR="001E2718" w:rsidRPr="00E00DC4">
        <w:rPr>
          <w:rFonts w:asciiTheme="majorBidi" w:hAnsiTheme="majorBidi" w:cstheme="majorBidi"/>
          <w:color w:val="auto"/>
        </w:rPr>
        <w:t xml:space="preserve"> </w:t>
      </w:r>
      <w:r w:rsidR="00CE1260" w:rsidRPr="00E00DC4">
        <w:rPr>
          <w:rFonts w:asciiTheme="majorBidi" w:hAnsiTheme="majorBidi" w:cstheme="majorBidi"/>
          <w:color w:val="auto"/>
        </w:rPr>
        <w:t>2.</w:t>
      </w:r>
      <w:r w:rsidR="00E01F57" w:rsidRPr="00E00DC4">
        <w:rPr>
          <w:rFonts w:asciiTheme="majorBidi" w:hAnsiTheme="majorBidi" w:cstheme="majorBidi"/>
          <w:color w:val="auto"/>
          <w:rtl/>
        </w:rPr>
        <w:t>23</w:t>
      </w:r>
      <w:r w:rsidR="00905D31" w:rsidRPr="00E00DC4">
        <w:rPr>
          <w:rFonts w:asciiTheme="majorBidi" w:hAnsiTheme="majorBidi" w:cstheme="majorBidi"/>
          <w:color w:val="auto"/>
        </w:rPr>
        <w:t xml:space="preserve"> million</w:t>
      </w:r>
      <w:r w:rsidR="007F0FB2" w:rsidRPr="00E00DC4">
        <w:rPr>
          <w:rFonts w:asciiTheme="majorBidi" w:hAnsiTheme="majorBidi" w:cstheme="majorBidi"/>
          <w:color w:val="auto"/>
        </w:rPr>
        <w:t xml:space="preserve"> in the same year</w:t>
      </w:r>
      <w:r w:rsidR="00106C47" w:rsidRPr="00E00DC4">
        <w:rPr>
          <w:rFonts w:asciiTheme="majorBidi" w:hAnsiTheme="majorBidi" w:cstheme="majorBidi"/>
          <w:color w:val="auto"/>
        </w:rPr>
        <w:t xml:space="preserve"> </w:t>
      </w:r>
      <w:r w:rsidR="00CA332D" w:rsidRPr="00E00DC4">
        <w:rPr>
          <w:rFonts w:asciiTheme="majorBidi" w:hAnsiTheme="majorBidi" w:cstheme="majorBidi"/>
          <w:color w:val="auto"/>
        </w:rPr>
        <w:t>(</w:t>
      </w:r>
      <w:r w:rsidR="00905D31" w:rsidRPr="00E00DC4">
        <w:rPr>
          <w:rFonts w:asciiTheme="majorBidi" w:hAnsiTheme="majorBidi" w:cstheme="majorBidi"/>
          <w:color w:val="auto"/>
        </w:rPr>
        <w:t>1.</w:t>
      </w:r>
      <w:r w:rsidR="00190ABC" w:rsidRPr="00E00DC4">
        <w:rPr>
          <w:rFonts w:asciiTheme="majorBidi" w:hAnsiTheme="majorBidi" w:cstheme="majorBidi"/>
          <w:color w:val="auto"/>
          <w:rtl/>
        </w:rPr>
        <w:t>1</w:t>
      </w:r>
      <w:r w:rsidR="00E01F57" w:rsidRPr="00E00DC4">
        <w:rPr>
          <w:rFonts w:asciiTheme="majorBidi" w:hAnsiTheme="majorBidi" w:cstheme="majorBidi"/>
          <w:color w:val="auto"/>
          <w:rtl/>
        </w:rPr>
        <w:t>3</w:t>
      </w:r>
      <w:r w:rsidR="00905D31" w:rsidRPr="00E00DC4">
        <w:rPr>
          <w:rFonts w:asciiTheme="majorBidi" w:hAnsiTheme="majorBidi" w:cstheme="majorBidi"/>
          <w:color w:val="auto"/>
        </w:rPr>
        <w:t xml:space="preserve"> million males and </w:t>
      </w:r>
      <w:r w:rsidR="00CE1260" w:rsidRPr="00E00DC4">
        <w:rPr>
          <w:rFonts w:asciiTheme="majorBidi" w:hAnsiTheme="majorBidi" w:cstheme="majorBidi"/>
          <w:color w:val="auto"/>
        </w:rPr>
        <w:t>1.</w:t>
      </w:r>
      <w:r w:rsidR="00E01F57" w:rsidRPr="00E00DC4">
        <w:rPr>
          <w:rFonts w:asciiTheme="majorBidi" w:hAnsiTheme="majorBidi" w:cstheme="majorBidi"/>
          <w:color w:val="auto"/>
          <w:rtl/>
        </w:rPr>
        <w:t>10</w:t>
      </w:r>
      <w:r w:rsidR="00905D31" w:rsidRPr="00E00DC4">
        <w:rPr>
          <w:rFonts w:asciiTheme="majorBidi" w:hAnsiTheme="majorBidi" w:cstheme="majorBidi"/>
          <w:color w:val="auto"/>
        </w:rPr>
        <w:t xml:space="preserve"> </w:t>
      </w:r>
      <w:r w:rsidR="007F0FB2" w:rsidRPr="00E00DC4">
        <w:rPr>
          <w:rFonts w:asciiTheme="majorBidi" w:hAnsiTheme="majorBidi" w:cstheme="majorBidi"/>
          <w:color w:val="auto"/>
        </w:rPr>
        <w:t xml:space="preserve">million </w:t>
      </w:r>
      <w:r w:rsidR="00905D31" w:rsidRPr="00E00DC4">
        <w:rPr>
          <w:rFonts w:asciiTheme="majorBidi" w:hAnsiTheme="majorBidi" w:cstheme="majorBidi"/>
          <w:color w:val="auto"/>
        </w:rPr>
        <w:t>females</w:t>
      </w:r>
      <w:r w:rsidR="00CA332D" w:rsidRPr="00E00DC4">
        <w:rPr>
          <w:rFonts w:asciiTheme="majorBidi" w:hAnsiTheme="majorBidi" w:cstheme="majorBidi"/>
          <w:color w:val="auto"/>
        </w:rPr>
        <w:t>)</w:t>
      </w:r>
      <w:r w:rsidR="00905D31" w:rsidRPr="00E00DC4">
        <w:rPr>
          <w:rFonts w:asciiTheme="majorBidi" w:hAnsiTheme="majorBidi" w:cstheme="majorBidi"/>
          <w:color w:val="auto"/>
        </w:rPr>
        <w:t>.</w:t>
      </w:r>
      <w:r w:rsidR="009B221D" w:rsidRPr="00E00DC4">
        <w:rPr>
          <w:rFonts w:asciiTheme="majorBidi" w:hAnsiTheme="majorBidi" w:cstheme="majorBidi"/>
          <w:color w:val="auto"/>
        </w:rPr>
        <w:t xml:space="preserve"> </w:t>
      </w:r>
      <w:r w:rsidR="00E60850" w:rsidRPr="00E00DC4">
        <w:rPr>
          <w:rFonts w:asciiTheme="majorBidi" w:hAnsiTheme="majorBidi" w:cstheme="majorBidi"/>
          <w:color w:val="auto"/>
        </w:rPr>
        <w:t xml:space="preserve"> </w:t>
      </w:r>
    </w:p>
    <w:p w14:paraId="7531F91A" w14:textId="77777777" w:rsidR="004E7AFE" w:rsidRPr="00E00DC4" w:rsidRDefault="004E7AFE" w:rsidP="00C637E1">
      <w:pPr>
        <w:pStyle w:val="BodyText3"/>
        <w:rPr>
          <w:rFonts w:asciiTheme="majorBidi" w:hAnsiTheme="majorBidi" w:cstheme="majorBidi"/>
          <w:sz w:val="16"/>
          <w:szCs w:val="16"/>
          <w:lang w:eastAsia="en-US"/>
        </w:rPr>
      </w:pPr>
    </w:p>
    <w:p w14:paraId="192E62AB" w14:textId="1D7D9E9C" w:rsidR="004E7AFE" w:rsidRPr="00E00DC4" w:rsidRDefault="004E7AFE" w:rsidP="00E01F5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Number of </w:t>
      </w:r>
      <w:r w:rsidR="005C18C4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Palestinian Population by Country of Residence, </w:t>
      </w:r>
      <w:r w:rsidR="00DD34F3" w:rsidRPr="00E00DC4">
        <w:rPr>
          <w:rFonts w:asciiTheme="majorBidi" w:hAnsiTheme="majorBidi" w:cstheme="majorBidi"/>
          <w:b/>
          <w:bCs/>
          <w:sz w:val="28"/>
          <w:szCs w:val="28"/>
        </w:rPr>
        <w:t>Mid-</w:t>
      </w:r>
      <w:r w:rsidR="00E01F57" w:rsidRPr="00E00DC4">
        <w:rPr>
          <w:rFonts w:asciiTheme="majorBidi" w:hAnsiTheme="majorBidi" w:cstheme="majorBidi"/>
          <w:b/>
          <w:bCs/>
          <w:sz w:val="28"/>
          <w:szCs w:val="28"/>
          <w:rtl/>
        </w:rPr>
        <w:t>2023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8"/>
      </w:tblGrid>
      <w:tr w:rsidR="008378E6" w:rsidRPr="008378E6" w14:paraId="4B744940" w14:textId="77777777" w:rsidTr="00E00DC4">
        <w:trPr>
          <w:jc w:val="center"/>
        </w:trPr>
        <w:tc>
          <w:tcPr>
            <w:tcW w:w="7938" w:type="dxa"/>
          </w:tcPr>
          <w:p w14:paraId="238BF64A" w14:textId="77777777" w:rsidR="004E7AFE" w:rsidRPr="008378E6" w:rsidRDefault="004E7AFE" w:rsidP="00E00DC4">
            <w:pPr>
              <w:pStyle w:val="BodyText3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8378E6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w:drawing>
                <wp:inline distT="0" distB="0" distL="0" distR="0" wp14:anchorId="20E6A98B" wp14:editId="51412C36">
                  <wp:extent cx="4953000" cy="2050793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36991BF" w14:textId="6F2C5683" w:rsidR="00E00DC4" w:rsidRDefault="00E00DC4" w:rsidP="00E00DC4">
      <w:pPr>
        <w:pStyle w:val="BodyText3"/>
        <w:tabs>
          <w:tab w:val="right" w:pos="1843"/>
        </w:tabs>
        <w:ind w:left="1701" w:hanging="2410"/>
        <w:jc w:val="lef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 xml:space="preserve">                 </w:t>
      </w:r>
      <w:r w:rsidR="00A81E32" w:rsidRPr="008378E6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       </w:t>
      </w:r>
      <w:r w:rsidR="00A81E32" w:rsidRPr="00E00DC4">
        <w:rPr>
          <w:rFonts w:asciiTheme="majorBidi" w:hAnsiTheme="majorBidi" w:cstheme="majorBidi"/>
          <w:b/>
          <w:bCs/>
          <w:sz w:val="20"/>
          <w:szCs w:val="20"/>
        </w:rPr>
        <w:t xml:space="preserve">Source: Palestinian Central Bureau of Statistics, </w:t>
      </w:r>
      <w:r w:rsidR="00E01F57" w:rsidRPr="00E00DC4">
        <w:rPr>
          <w:rFonts w:asciiTheme="majorBidi" w:hAnsiTheme="majorBidi" w:cstheme="majorBidi" w:hint="cs"/>
          <w:b/>
          <w:bCs/>
          <w:sz w:val="20"/>
          <w:szCs w:val="20"/>
          <w:rtl/>
        </w:rPr>
        <w:t>2023</w:t>
      </w:r>
      <w:r w:rsidR="00A81E32" w:rsidRPr="00E00DC4">
        <w:rPr>
          <w:rFonts w:asciiTheme="majorBidi" w:hAnsiTheme="majorBidi" w:cstheme="majorBidi"/>
          <w:b/>
          <w:bCs/>
          <w:sz w:val="20"/>
          <w:szCs w:val="20"/>
        </w:rPr>
        <w:t xml:space="preserve">.  </w:t>
      </w:r>
      <w:r w:rsidR="00A81E32" w:rsidRPr="00E00DC4">
        <w:rPr>
          <w:rFonts w:asciiTheme="majorBidi" w:hAnsiTheme="majorBidi" w:cstheme="majorBidi"/>
          <w:sz w:val="20"/>
          <w:szCs w:val="20"/>
        </w:rPr>
        <w:t xml:space="preserve">Revised Estimated based on the final </w:t>
      </w:r>
    </w:p>
    <w:p w14:paraId="472B0A52" w14:textId="3D6C9EE5" w:rsidR="004E7AFE" w:rsidRPr="008378E6" w:rsidRDefault="00E00DC4" w:rsidP="00E00DC4">
      <w:pPr>
        <w:pStyle w:val="BodyText3"/>
        <w:tabs>
          <w:tab w:val="right" w:pos="1843"/>
        </w:tabs>
        <w:ind w:left="1701" w:hanging="2410"/>
        <w:jc w:val="left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</w:t>
      </w:r>
      <w:r w:rsidR="00A81E32" w:rsidRPr="00E00DC4">
        <w:rPr>
          <w:rFonts w:asciiTheme="majorBidi" w:hAnsiTheme="majorBidi" w:cstheme="majorBidi"/>
          <w:sz w:val="20"/>
          <w:szCs w:val="20"/>
        </w:rPr>
        <w:t xml:space="preserve">results of </w:t>
      </w:r>
      <w:r>
        <w:rPr>
          <w:rFonts w:asciiTheme="majorBidi" w:hAnsiTheme="majorBidi" w:cstheme="majorBidi"/>
          <w:sz w:val="20"/>
          <w:szCs w:val="20"/>
        </w:rPr>
        <w:t xml:space="preserve">the  </w:t>
      </w:r>
      <w:r w:rsidR="00A81E32" w:rsidRPr="00E00DC4">
        <w:rPr>
          <w:rFonts w:asciiTheme="majorBidi" w:hAnsiTheme="majorBidi" w:cstheme="majorBidi"/>
          <w:sz w:val="20"/>
          <w:szCs w:val="20"/>
        </w:rPr>
        <w:t>Population, Housing and Establishments Census, 2017. Ramallah – Palestine</w:t>
      </w:r>
    </w:p>
    <w:p w14:paraId="5937BF1C" w14:textId="19BEEAEF" w:rsidR="00A81E32" w:rsidRPr="00E00DC4" w:rsidRDefault="00E00DC4" w:rsidP="00A81E32">
      <w:pPr>
        <w:pStyle w:val="BodyText3"/>
        <w:ind w:left="1701" w:hanging="2410"/>
        <w:jc w:val="lef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</w:p>
    <w:p w14:paraId="4AAB6E69" w14:textId="77777777" w:rsidR="000B2FCD" w:rsidRPr="00E00DC4" w:rsidRDefault="00A81BEB" w:rsidP="00A81BEB">
      <w:pPr>
        <w:pStyle w:val="BodyText3"/>
        <w:jc w:val="both"/>
        <w:rPr>
          <w:rFonts w:asciiTheme="majorBidi" w:hAnsiTheme="majorBidi" w:cstheme="majorBidi"/>
          <w:sz w:val="28"/>
          <w:szCs w:val="28"/>
          <w:lang w:eastAsia="en-US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445A5A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Palestinian Population </w:t>
      </w:r>
      <w:r w:rsidR="00445022" w:rsidRPr="00E00DC4">
        <w:rPr>
          <w:rFonts w:asciiTheme="majorBidi" w:hAnsiTheme="majorBidi" w:cstheme="majorBidi"/>
          <w:b/>
          <w:bCs/>
          <w:sz w:val="28"/>
          <w:szCs w:val="28"/>
        </w:rPr>
        <w:t>is Young</w:t>
      </w:r>
      <w:r w:rsidR="000F4450" w:rsidRPr="00E00DC4">
        <w:rPr>
          <w:rFonts w:asciiTheme="majorBidi" w:hAnsiTheme="majorBidi" w:cstheme="majorBidi"/>
          <w:b/>
          <w:bCs/>
          <w:sz w:val="28"/>
          <w:szCs w:val="28"/>
        </w:rPr>
        <w:t>;</w:t>
      </w:r>
      <w:r w:rsidR="00445022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 more than </w:t>
      </w:r>
      <w:r w:rsidR="00CD7153" w:rsidRPr="00E00DC4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B217B" w:rsidRPr="00E00DC4">
        <w:rPr>
          <w:rFonts w:asciiTheme="majorBidi" w:hAnsiTheme="majorBidi" w:cstheme="majorBidi"/>
          <w:b/>
          <w:bCs/>
          <w:sz w:val="28"/>
          <w:szCs w:val="28"/>
        </w:rPr>
        <w:t>ne-</w:t>
      </w:r>
      <w:r w:rsidR="00445022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third of the Population </w:t>
      </w:r>
      <w:r w:rsidR="00CD7153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is Less </w:t>
      </w:r>
      <w:r w:rsidR="00445022" w:rsidRPr="00E00DC4">
        <w:rPr>
          <w:rFonts w:asciiTheme="majorBidi" w:hAnsiTheme="majorBidi" w:cstheme="majorBidi"/>
          <w:b/>
          <w:bCs/>
          <w:sz w:val="28"/>
          <w:szCs w:val="28"/>
        </w:rPr>
        <w:t>than 15 Years</w:t>
      </w:r>
    </w:p>
    <w:p w14:paraId="2DB798CC" w14:textId="258A4ACF" w:rsidR="00E60850" w:rsidRPr="00E00DC4" w:rsidRDefault="00C94EDE" w:rsidP="00E239B3">
      <w:pPr>
        <w:pStyle w:val="BodyText2"/>
        <w:rPr>
          <w:rFonts w:asciiTheme="majorBidi" w:hAnsiTheme="majorBidi" w:cstheme="majorBidi"/>
          <w:color w:val="auto"/>
        </w:rPr>
      </w:pPr>
      <w:r w:rsidRPr="00E00DC4">
        <w:rPr>
          <w:rFonts w:asciiTheme="majorBidi" w:hAnsiTheme="majorBidi" w:cstheme="majorBidi"/>
          <w:color w:val="auto"/>
        </w:rPr>
        <w:t>T</w:t>
      </w:r>
      <w:r w:rsidR="00E60850" w:rsidRPr="00E00DC4">
        <w:rPr>
          <w:rFonts w:asciiTheme="majorBidi" w:hAnsiTheme="majorBidi" w:cstheme="majorBidi"/>
          <w:color w:val="auto"/>
        </w:rPr>
        <w:t>he percentage of individuals aged (0-14)</w:t>
      </w:r>
      <w:r w:rsidR="008D37A5" w:rsidRPr="00E00DC4">
        <w:rPr>
          <w:rFonts w:asciiTheme="majorBidi" w:hAnsiTheme="majorBidi" w:cstheme="majorBidi"/>
          <w:color w:val="auto"/>
        </w:rPr>
        <w:t xml:space="preserve"> years</w:t>
      </w:r>
      <w:r w:rsidR="00E60850" w:rsidRPr="00E00DC4">
        <w:rPr>
          <w:rFonts w:asciiTheme="majorBidi" w:hAnsiTheme="majorBidi" w:cstheme="majorBidi"/>
          <w:color w:val="auto"/>
        </w:rPr>
        <w:t xml:space="preserve"> constituted</w:t>
      </w:r>
      <w:r w:rsidR="009B221D" w:rsidRPr="00E00DC4">
        <w:rPr>
          <w:rFonts w:asciiTheme="majorBidi" w:hAnsiTheme="majorBidi" w:cstheme="majorBidi"/>
          <w:color w:val="auto"/>
        </w:rPr>
        <w:t xml:space="preserve"> </w:t>
      </w:r>
      <w:r w:rsidR="00AC74C6" w:rsidRPr="00E00DC4">
        <w:rPr>
          <w:rFonts w:asciiTheme="majorBidi" w:hAnsiTheme="majorBidi" w:cstheme="majorBidi"/>
          <w:color w:val="auto"/>
        </w:rPr>
        <w:t>37</w:t>
      </w:r>
      <w:r w:rsidR="00E60850" w:rsidRPr="00E00DC4">
        <w:rPr>
          <w:rFonts w:asciiTheme="majorBidi" w:hAnsiTheme="majorBidi" w:cstheme="majorBidi"/>
          <w:color w:val="auto"/>
        </w:rPr>
        <w:t xml:space="preserve">% of the total population </w:t>
      </w:r>
      <w:r w:rsidR="00970B89" w:rsidRPr="00E00DC4">
        <w:rPr>
          <w:rFonts w:asciiTheme="majorBidi" w:hAnsiTheme="majorBidi" w:cstheme="majorBidi"/>
          <w:color w:val="auto"/>
        </w:rPr>
        <w:t xml:space="preserve">in </w:t>
      </w:r>
      <w:r w:rsidR="009B3E2C" w:rsidRPr="00E00DC4">
        <w:rPr>
          <w:rFonts w:asciiTheme="majorBidi" w:hAnsiTheme="majorBidi" w:cstheme="majorBidi"/>
          <w:color w:val="auto"/>
        </w:rPr>
        <w:t>mid-</w:t>
      </w:r>
      <w:r w:rsidR="00AC74C6" w:rsidRPr="00E00DC4">
        <w:rPr>
          <w:rFonts w:asciiTheme="majorBidi" w:hAnsiTheme="majorBidi" w:cstheme="majorBidi"/>
          <w:color w:val="auto"/>
          <w:rtl/>
        </w:rPr>
        <w:t>2023</w:t>
      </w:r>
      <w:r w:rsidR="00C456B6" w:rsidRPr="00E00DC4">
        <w:rPr>
          <w:rFonts w:asciiTheme="majorBidi" w:hAnsiTheme="majorBidi" w:cstheme="majorBidi"/>
          <w:color w:val="auto"/>
        </w:rPr>
        <w:t>;</w:t>
      </w:r>
      <w:r w:rsidR="00905D31" w:rsidRPr="00E00DC4">
        <w:rPr>
          <w:rFonts w:asciiTheme="majorBidi" w:hAnsiTheme="majorBidi" w:cstheme="majorBidi"/>
          <w:color w:val="auto"/>
        </w:rPr>
        <w:t xml:space="preserve"> </w:t>
      </w:r>
      <w:r w:rsidR="006C32BC" w:rsidRPr="00E00DC4">
        <w:rPr>
          <w:rFonts w:asciiTheme="majorBidi" w:hAnsiTheme="majorBidi" w:cstheme="majorBidi"/>
          <w:color w:val="auto"/>
        </w:rPr>
        <w:t xml:space="preserve">of </w:t>
      </w:r>
      <w:r w:rsidR="00DD34F3" w:rsidRPr="00E00DC4">
        <w:rPr>
          <w:rFonts w:asciiTheme="majorBidi" w:hAnsiTheme="majorBidi" w:cstheme="majorBidi"/>
          <w:color w:val="auto"/>
        </w:rPr>
        <w:t xml:space="preserve">whom </w:t>
      </w:r>
      <w:r w:rsidR="00AC74C6" w:rsidRPr="00E00DC4">
        <w:rPr>
          <w:rFonts w:asciiTheme="majorBidi" w:hAnsiTheme="majorBidi" w:cstheme="majorBidi"/>
          <w:color w:val="auto"/>
        </w:rPr>
        <w:t>35</w:t>
      </w:r>
      <w:r w:rsidR="00314CB2" w:rsidRPr="00E00DC4">
        <w:rPr>
          <w:rFonts w:asciiTheme="majorBidi" w:hAnsiTheme="majorBidi" w:cstheme="majorBidi"/>
          <w:color w:val="auto"/>
        </w:rPr>
        <w:t xml:space="preserve">% in </w:t>
      </w:r>
      <w:r w:rsidR="007B5DF7" w:rsidRPr="00E00DC4">
        <w:rPr>
          <w:rFonts w:asciiTheme="majorBidi" w:hAnsiTheme="majorBidi" w:cstheme="majorBidi"/>
          <w:color w:val="auto"/>
        </w:rPr>
        <w:t xml:space="preserve">the </w:t>
      </w:r>
      <w:r w:rsidR="00E60850" w:rsidRPr="00E00DC4">
        <w:rPr>
          <w:rFonts w:asciiTheme="majorBidi" w:hAnsiTheme="majorBidi" w:cstheme="majorBidi"/>
          <w:color w:val="auto"/>
        </w:rPr>
        <w:t xml:space="preserve">West Bank and </w:t>
      </w:r>
      <w:r w:rsidR="00AC74C6" w:rsidRPr="00E00DC4">
        <w:rPr>
          <w:rFonts w:asciiTheme="majorBidi" w:hAnsiTheme="majorBidi" w:cstheme="majorBidi"/>
          <w:color w:val="auto"/>
        </w:rPr>
        <w:t>40</w:t>
      </w:r>
      <w:r w:rsidR="00AC0DD5" w:rsidRPr="00E00DC4">
        <w:rPr>
          <w:rFonts w:asciiTheme="majorBidi" w:hAnsiTheme="majorBidi" w:cstheme="majorBidi"/>
          <w:color w:val="auto"/>
        </w:rPr>
        <w:t xml:space="preserve">% in Gaza Strip.  </w:t>
      </w:r>
      <w:r w:rsidR="00E60850" w:rsidRPr="00E00DC4">
        <w:rPr>
          <w:rFonts w:asciiTheme="majorBidi" w:hAnsiTheme="majorBidi" w:cstheme="majorBidi"/>
          <w:color w:val="auto"/>
        </w:rPr>
        <w:t>The</w:t>
      </w:r>
      <w:r w:rsidR="007F0FB2" w:rsidRPr="00E00DC4">
        <w:rPr>
          <w:rFonts w:asciiTheme="majorBidi" w:hAnsiTheme="majorBidi" w:cstheme="majorBidi"/>
          <w:color w:val="auto"/>
        </w:rPr>
        <w:t xml:space="preserve"> percentage of</w:t>
      </w:r>
      <w:r w:rsidR="00E60850" w:rsidRPr="00E00DC4">
        <w:rPr>
          <w:rFonts w:asciiTheme="majorBidi" w:hAnsiTheme="majorBidi" w:cstheme="majorBidi"/>
          <w:color w:val="auto"/>
        </w:rPr>
        <w:t xml:space="preserve"> </w:t>
      </w:r>
      <w:r w:rsidR="00C63B1E" w:rsidRPr="00E00DC4">
        <w:rPr>
          <w:rFonts w:asciiTheme="majorBidi" w:hAnsiTheme="majorBidi" w:cstheme="majorBidi"/>
          <w:color w:val="auto"/>
        </w:rPr>
        <w:t xml:space="preserve">the </w:t>
      </w:r>
      <w:r w:rsidR="00E60850" w:rsidRPr="00E00DC4">
        <w:rPr>
          <w:rFonts w:asciiTheme="majorBidi" w:hAnsiTheme="majorBidi" w:cstheme="majorBidi"/>
          <w:color w:val="auto"/>
        </w:rPr>
        <w:t xml:space="preserve">elderly population aged (65 years and </w:t>
      </w:r>
      <w:r w:rsidR="0051753D" w:rsidRPr="00E00DC4">
        <w:rPr>
          <w:rFonts w:asciiTheme="majorBidi" w:hAnsiTheme="majorBidi" w:cstheme="majorBidi"/>
          <w:color w:val="auto"/>
        </w:rPr>
        <w:t>above</w:t>
      </w:r>
      <w:r w:rsidR="001C08EC" w:rsidRPr="00E00DC4">
        <w:rPr>
          <w:rFonts w:asciiTheme="majorBidi" w:hAnsiTheme="majorBidi" w:cstheme="majorBidi"/>
          <w:color w:val="auto"/>
        </w:rPr>
        <w:t>)</w:t>
      </w:r>
      <w:r w:rsidR="00E60850" w:rsidRPr="00E00DC4">
        <w:rPr>
          <w:rFonts w:asciiTheme="majorBidi" w:hAnsiTheme="majorBidi" w:cstheme="majorBidi"/>
          <w:color w:val="auto"/>
        </w:rPr>
        <w:t xml:space="preserve"> </w:t>
      </w:r>
      <w:r w:rsidR="007F0FB2" w:rsidRPr="00E00DC4">
        <w:rPr>
          <w:rFonts w:asciiTheme="majorBidi" w:hAnsiTheme="majorBidi" w:cstheme="majorBidi"/>
          <w:color w:val="auto"/>
        </w:rPr>
        <w:t xml:space="preserve">reached </w:t>
      </w:r>
      <w:r w:rsidR="00E239B3" w:rsidRPr="00E00DC4">
        <w:rPr>
          <w:rFonts w:asciiTheme="majorBidi" w:hAnsiTheme="majorBidi" w:cstheme="majorBidi"/>
          <w:color w:val="auto"/>
          <w:rtl/>
        </w:rPr>
        <w:t>4</w:t>
      </w:r>
      <w:r w:rsidR="00E60850" w:rsidRPr="00E00DC4">
        <w:rPr>
          <w:rFonts w:asciiTheme="majorBidi" w:hAnsiTheme="majorBidi" w:cstheme="majorBidi"/>
          <w:color w:val="auto"/>
        </w:rPr>
        <w:t>% of the total population</w:t>
      </w:r>
      <w:r w:rsidR="00C456B6" w:rsidRPr="00E00DC4">
        <w:rPr>
          <w:rFonts w:asciiTheme="majorBidi" w:hAnsiTheme="majorBidi" w:cstheme="majorBidi"/>
          <w:color w:val="auto"/>
        </w:rPr>
        <w:t>;</w:t>
      </w:r>
      <w:r w:rsidR="00AC0DD5" w:rsidRPr="00E00DC4">
        <w:rPr>
          <w:rFonts w:asciiTheme="majorBidi" w:hAnsiTheme="majorBidi" w:cstheme="majorBidi"/>
          <w:color w:val="auto"/>
        </w:rPr>
        <w:t xml:space="preserve"> of </w:t>
      </w:r>
      <w:r w:rsidR="00DD34F3" w:rsidRPr="00E00DC4">
        <w:rPr>
          <w:rFonts w:asciiTheme="majorBidi" w:hAnsiTheme="majorBidi" w:cstheme="majorBidi"/>
          <w:color w:val="auto"/>
        </w:rPr>
        <w:t xml:space="preserve">whom </w:t>
      </w:r>
      <w:r w:rsidR="00905D31" w:rsidRPr="00E00DC4">
        <w:rPr>
          <w:rFonts w:asciiTheme="majorBidi" w:hAnsiTheme="majorBidi" w:cstheme="majorBidi"/>
          <w:color w:val="auto"/>
        </w:rPr>
        <w:t>4</w:t>
      </w:r>
      <w:r w:rsidR="00E60850" w:rsidRPr="00E00DC4">
        <w:rPr>
          <w:rFonts w:asciiTheme="majorBidi" w:hAnsiTheme="majorBidi" w:cstheme="majorBidi"/>
          <w:color w:val="auto"/>
        </w:rPr>
        <w:t xml:space="preserve">% in the West Bank and </w:t>
      </w:r>
      <w:r w:rsidR="00905D31" w:rsidRPr="00E00DC4">
        <w:rPr>
          <w:rFonts w:asciiTheme="majorBidi" w:hAnsiTheme="majorBidi" w:cstheme="majorBidi"/>
          <w:color w:val="auto"/>
        </w:rPr>
        <w:t>3</w:t>
      </w:r>
      <w:r w:rsidR="00E60850" w:rsidRPr="00E00DC4">
        <w:rPr>
          <w:rFonts w:asciiTheme="majorBidi" w:hAnsiTheme="majorBidi" w:cstheme="majorBidi"/>
          <w:color w:val="auto"/>
        </w:rPr>
        <w:t xml:space="preserve">% in Gaza </w:t>
      </w:r>
      <w:r w:rsidR="00970B89" w:rsidRPr="00E00DC4">
        <w:rPr>
          <w:rFonts w:asciiTheme="majorBidi" w:hAnsiTheme="majorBidi" w:cstheme="majorBidi"/>
          <w:color w:val="auto"/>
        </w:rPr>
        <w:t>Strip</w:t>
      </w:r>
      <w:r w:rsidR="00C63B1E" w:rsidRPr="00E00DC4">
        <w:rPr>
          <w:rFonts w:asciiTheme="majorBidi" w:hAnsiTheme="majorBidi" w:cstheme="majorBidi"/>
          <w:color w:val="auto"/>
        </w:rPr>
        <w:t>,</w:t>
      </w:r>
      <w:r w:rsidR="00970B89" w:rsidRPr="00E00DC4">
        <w:rPr>
          <w:rFonts w:asciiTheme="majorBidi" w:hAnsiTheme="majorBidi" w:cstheme="majorBidi"/>
          <w:color w:val="auto"/>
        </w:rPr>
        <w:t xml:space="preserve"> in</w:t>
      </w:r>
      <w:r w:rsidR="00905D31" w:rsidRPr="00E00DC4">
        <w:rPr>
          <w:rFonts w:asciiTheme="majorBidi" w:hAnsiTheme="majorBidi" w:cstheme="majorBidi"/>
          <w:color w:val="auto"/>
        </w:rPr>
        <w:t xml:space="preserve"> </w:t>
      </w:r>
      <w:r w:rsidR="009B3E2C" w:rsidRPr="00E00DC4">
        <w:rPr>
          <w:rFonts w:asciiTheme="majorBidi" w:hAnsiTheme="majorBidi" w:cstheme="majorBidi"/>
          <w:color w:val="auto"/>
        </w:rPr>
        <w:t>mid-</w:t>
      </w:r>
      <w:r w:rsidR="00AC74C6" w:rsidRPr="00E00DC4">
        <w:rPr>
          <w:rFonts w:asciiTheme="majorBidi" w:hAnsiTheme="majorBidi" w:cstheme="majorBidi"/>
          <w:color w:val="auto"/>
          <w:rtl/>
        </w:rPr>
        <w:t>2023</w:t>
      </w:r>
      <w:r w:rsidR="00AF1DEF" w:rsidRPr="00E00DC4">
        <w:rPr>
          <w:rFonts w:asciiTheme="majorBidi" w:hAnsiTheme="majorBidi" w:cstheme="majorBidi"/>
          <w:color w:val="auto"/>
        </w:rPr>
        <w:t>.</w:t>
      </w:r>
      <w:r w:rsidR="00E60850" w:rsidRPr="00E00DC4">
        <w:rPr>
          <w:rFonts w:asciiTheme="majorBidi" w:hAnsiTheme="majorBidi" w:cstheme="majorBidi"/>
          <w:color w:val="auto"/>
        </w:rPr>
        <w:t> </w:t>
      </w:r>
    </w:p>
    <w:p w14:paraId="776D9E1A" w14:textId="77777777" w:rsidR="007C0466" w:rsidRPr="00E00DC4" w:rsidRDefault="007C0466" w:rsidP="00AC0DD5">
      <w:pPr>
        <w:pStyle w:val="BodyText2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14:paraId="22169DFD" w14:textId="51F1A601" w:rsidR="00F03F33" w:rsidRPr="00E00DC4" w:rsidRDefault="00F03F33" w:rsidP="00C63B1E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One out of </w:t>
      </w:r>
      <w:r w:rsidR="00C63B1E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Ten </w:t>
      </w:r>
      <w:r w:rsidRPr="00E00DC4">
        <w:rPr>
          <w:rFonts w:asciiTheme="majorBidi" w:hAnsiTheme="majorBidi" w:cstheme="majorBidi"/>
          <w:b/>
          <w:bCs/>
          <w:sz w:val="28"/>
          <w:szCs w:val="28"/>
        </w:rPr>
        <w:t>Households is Headed by a Female</w:t>
      </w:r>
    </w:p>
    <w:p w14:paraId="58B7B538" w14:textId="3FD39AE4" w:rsidR="00F03F33" w:rsidRPr="00E00DC4" w:rsidRDefault="00F03F33" w:rsidP="00F03F33">
      <w:pPr>
        <w:shd w:val="clear" w:color="auto" w:fill="FFFFFF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E00DC4">
        <w:rPr>
          <w:rFonts w:asciiTheme="majorBidi" w:hAnsiTheme="majorBidi" w:cstheme="majorBidi"/>
          <w:sz w:val="26"/>
          <w:szCs w:val="26"/>
        </w:rPr>
        <w:t>12% of the</w:t>
      </w:r>
      <w:r w:rsidR="00523FC4" w:rsidRPr="00E00DC4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523FC4" w:rsidRPr="00E00DC4">
        <w:rPr>
          <w:rFonts w:asciiTheme="majorBidi" w:hAnsiTheme="majorBidi" w:cstheme="majorBidi"/>
          <w:sz w:val="26"/>
          <w:szCs w:val="26"/>
        </w:rPr>
        <w:t>Palestinian</w:t>
      </w:r>
      <w:r w:rsidRPr="00E00DC4">
        <w:rPr>
          <w:rFonts w:asciiTheme="majorBidi" w:hAnsiTheme="majorBidi" w:cstheme="majorBidi"/>
          <w:sz w:val="26"/>
          <w:szCs w:val="26"/>
        </w:rPr>
        <w:t xml:space="preserve"> households were headed by females in Palestine (12% in the West Bank and </w:t>
      </w:r>
      <w:r w:rsidRPr="00E00DC4">
        <w:rPr>
          <w:rFonts w:asciiTheme="majorBidi" w:hAnsiTheme="majorBidi" w:cstheme="majorBidi"/>
          <w:sz w:val="26"/>
          <w:szCs w:val="26"/>
          <w:rtl/>
        </w:rPr>
        <w:t>11</w:t>
      </w:r>
      <w:r w:rsidRPr="00E00DC4">
        <w:rPr>
          <w:rFonts w:asciiTheme="majorBidi" w:hAnsiTheme="majorBidi" w:cstheme="majorBidi"/>
          <w:sz w:val="26"/>
          <w:szCs w:val="26"/>
        </w:rPr>
        <w:t xml:space="preserve">% in Gaza Strip). </w:t>
      </w:r>
    </w:p>
    <w:p w14:paraId="1AB01C08" w14:textId="77777777" w:rsidR="00F03F33" w:rsidRPr="00E00DC4" w:rsidRDefault="00F03F33" w:rsidP="00F03F33">
      <w:pPr>
        <w:shd w:val="clear" w:color="auto" w:fill="FFFFFF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1302DF4" w14:textId="77777777" w:rsidR="00F03F33" w:rsidRPr="00E00DC4" w:rsidRDefault="00F03F33" w:rsidP="00F03F33">
      <w:pPr>
        <w:bidi w:val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>Constant Decline in the Average Household Size</w:t>
      </w:r>
    </w:p>
    <w:p w14:paraId="605FDBAE" w14:textId="59C67DA2" w:rsidR="00F03F33" w:rsidRPr="00E00DC4" w:rsidRDefault="00F03F33" w:rsidP="00FC3771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E00DC4">
        <w:rPr>
          <w:rFonts w:asciiTheme="majorBidi" w:hAnsiTheme="majorBidi" w:cstheme="majorBidi"/>
          <w:sz w:val="26"/>
          <w:szCs w:val="26"/>
        </w:rPr>
        <w:t xml:space="preserve">The </w:t>
      </w:r>
      <w:r w:rsidR="00FC3771" w:rsidRPr="00E00DC4">
        <w:rPr>
          <w:rFonts w:asciiTheme="majorBidi" w:hAnsiTheme="majorBidi" w:cstheme="majorBidi"/>
          <w:sz w:val="26"/>
          <w:szCs w:val="26"/>
        </w:rPr>
        <w:t xml:space="preserve">Estimates </w:t>
      </w:r>
      <w:r w:rsidRPr="00E00DC4">
        <w:rPr>
          <w:rFonts w:asciiTheme="majorBidi" w:hAnsiTheme="majorBidi" w:cstheme="majorBidi"/>
          <w:sz w:val="26"/>
          <w:szCs w:val="26"/>
        </w:rPr>
        <w:t>indicated a decline in the average household size in Palestine compared to 2007. Thus, the average size of the household declined to 5.</w:t>
      </w:r>
      <w:r w:rsidRPr="00E00DC4">
        <w:rPr>
          <w:rFonts w:asciiTheme="majorBidi" w:hAnsiTheme="majorBidi" w:cstheme="majorBidi"/>
          <w:sz w:val="26"/>
          <w:szCs w:val="26"/>
          <w:rtl/>
        </w:rPr>
        <w:t>0</w:t>
      </w:r>
      <w:r w:rsidRPr="00E00DC4">
        <w:rPr>
          <w:rFonts w:asciiTheme="majorBidi" w:hAnsiTheme="majorBidi" w:cstheme="majorBidi"/>
          <w:sz w:val="26"/>
          <w:szCs w:val="26"/>
        </w:rPr>
        <w:t xml:space="preserve"> individuals in </w:t>
      </w:r>
      <w:r w:rsidRPr="00E00DC4">
        <w:rPr>
          <w:rFonts w:asciiTheme="majorBidi" w:hAnsiTheme="majorBidi" w:cstheme="majorBidi"/>
          <w:sz w:val="26"/>
          <w:szCs w:val="26"/>
          <w:rtl/>
        </w:rPr>
        <w:t>2022</w:t>
      </w:r>
      <w:r w:rsidRPr="00E00DC4">
        <w:rPr>
          <w:rFonts w:asciiTheme="majorBidi" w:hAnsiTheme="majorBidi" w:cstheme="majorBidi"/>
          <w:sz w:val="26"/>
          <w:szCs w:val="26"/>
        </w:rPr>
        <w:t xml:space="preserve"> compared to 5.8 individuals in 2007. On the other hand, the average household size in the West Bank declined to 4.</w:t>
      </w:r>
      <w:r w:rsidRPr="00E00DC4">
        <w:rPr>
          <w:rFonts w:asciiTheme="majorBidi" w:hAnsiTheme="majorBidi" w:cstheme="majorBidi"/>
          <w:sz w:val="26"/>
          <w:szCs w:val="26"/>
          <w:rtl/>
        </w:rPr>
        <w:t>7</w:t>
      </w:r>
      <w:r w:rsidRPr="00E00DC4">
        <w:rPr>
          <w:rFonts w:asciiTheme="majorBidi" w:hAnsiTheme="majorBidi" w:cstheme="majorBidi"/>
          <w:sz w:val="26"/>
          <w:szCs w:val="26"/>
        </w:rPr>
        <w:t xml:space="preserve"> individuals in </w:t>
      </w:r>
      <w:r w:rsidRPr="00E00DC4">
        <w:rPr>
          <w:rFonts w:asciiTheme="majorBidi" w:hAnsiTheme="majorBidi" w:cstheme="majorBidi"/>
          <w:sz w:val="26"/>
          <w:szCs w:val="26"/>
          <w:rtl/>
        </w:rPr>
        <w:t>2022</w:t>
      </w:r>
      <w:r w:rsidRPr="00E00DC4">
        <w:rPr>
          <w:rFonts w:asciiTheme="majorBidi" w:hAnsiTheme="majorBidi" w:cstheme="majorBidi"/>
          <w:sz w:val="26"/>
          <w:szCs w:val="26"/>
        </w:rPr>
        <w:t xml:space="preserve"> compared to 5.5 individuals in 2007. In Gaza Strip, the average household size declined to 5.</w:t>
      </w:r>
      <w:r w:rsidRPr="00E00DC4">
        <w:rPr>
          <w:rFonts w:asciiTheme="majorBidi" w:hAnsiTheme="majorBidi" w:cstheme="majorBidi"/>
          <w:sz w:val="26"/>
          <w:szCs w:val="26"/>
          <w:rtl/>
        </w:rPr>
        <w:t>5</w:t>
      </w:r>
      <w:r w:rsidRPr="00E00DC4">
        <w:rPr>
          <w:rFonts w:asciiTheme="majorBidi" w:hAnsiTheme="majorBidi" w:cstheme="majorBidi"/>
          <w:sz w:val="26"/>
          <w:szCs w:val="26"/>
        </w:rPr>
        <w:t xml:space="preserve"> </w:t>
      </w:r>
      <w:r w:rsidR="007841C3" w:rsidRPr="00E00DC4">
        <w:rPr>
          <w:rFonts w:asciiTheme="majorBidi" w:hAnsiTheme="majorBidi" w:cstheme="majorBidi"/>
          <w:sz w:val="26"/>
          <w:szCs w:val="26"/>
        </w:rPr>
        <w:t xml:space="preserve">individuals </w:t>
      </w:r>
      <w:r w:rsidRPr="00E00DC4">
        <w:rPr>
          <w:rFonts w:asciiTheme="majorBidi" w:hAnsiTheme="majorBidi" w:cstheme="majorBidi"/>
          <w:sz w:val="26"/>
          <w:szCs w:val="26"/>
        </w:rPr>
        <w:t xml:space="preserve">in </w:t>
      </w:r>
      <w:r w:rsidRPr="00E00DC4">
        <w:rPr>
          <w:rFonts w:asciiTheme="majorBidi" w:hAnsiTheme="majorBidi" w:cstheme="majorBidi"/>
          <w:sz w:val="26"/>
          <w:szCs w:val="26"/>
          <w:rtl/>
        </w:rPr>
        <w:t>2022</w:t>
      </w:r>
      <w:r w:rsidRPr="00E00DC4">
        <w:rPr>
          <w:rFonts w:asciiTheme="majorBidi" w:hAnsiTheme="majorBidi" w:cstheme="majorBidi"/>
          <w:sz w:val="26"/>
          <w:szCs w:val="26"/>
        </w:rPr>
        <w:t xml:space="preserve"> compared to 6.5 in 2007.</w:t>
      </w:r>
    </w:p>
    <w:p w14:paraId="79EB49D7" w14:textId="77777777" w:rsidR="000D5141" w:rsidRDefault="000D5141" w:rsidP="00E00D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3D0286C" w14:textId="77777777" w:rsidR="000D5141" w:rsidRDefault="000D5141" w:rsidP="00E00D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4DE5D5" w14:textId="77777777" w:rsidR="000D5141" w:rsidRDefault="000D5141" w:rsidP="00E00D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69B164" w14:textId="77777777" w:rsidR="000D5141" w:rsidRDefault="000D5141" w:rsidP="00E00D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52A9609" w14:textId="08AE7715" w:rsidR="000D5141" w:rsidRPr="00E00DC4" w:rsidRDefault="00F03F33" w:rsidP="000D5141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>The Average Household Size in Palestine by Region, 2007-2022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</w:tblGrid>
      <w:tr w:rsidR="008378E6" w:rsidRPr="008378E6" w14:paraId="68745B64" w14:textId="77777777" w:rsidTr="00E00DC4">
        <w:trPr>
          <w:trHeight w:val="2984"/>
          <w:jc w:val="center"/>
        </w:trPr>
        <w:tc>
          <w:tcPr>
            <w:tcW w:w="7513" w:type="dxa"/>
          </w:tcPr>
          <w:p w14:paraId="6E91BFB4" w14:textId="77777777" w:rsidR="00F03F33" w:rsidRPr="008378E6" w:rsidRDefault="00F03F33" w:rsidP="004E151C">
            <w:pPr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8378E6">
              <w:rPr>
                <w:rFonts w:ascii="Calibri" w:eastAsia="Calibri" w:hAnsi="Calibri" w:cs="Simplified Arabic"/>
                <w:b/>
                <w:bCs/>
                <w:noProof/>
              </w:rPr>
              <w:drawing>
                <wp:inline distT="0" distB="0" distL="0" distR="0" wp14:anchorId="6A91B9D6" wp14:editId="3E7D7AB1">
                  <wp:extent cx="4537075" cy="1828800"/>
                  <wp:effectExtent l="0" t="0" r="0" b="0"/>
                  <wp:docPr id="3" name="Ch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2E30709" w14:textId="730DE334" w:rsidR="00F03F33" w:rsidRPr="00E00DC4" w:rsidRDefault="00F03F33" w:rsidP="00F03F33">
      <w:pPr>
        <w:tabs>
          <w:tab w:val="right" w:pos="8100"/>
        </w:tabs>
        <w:bidi w:val="0"/>
        <w:ind w:right="71"/>
        <w:jc w:val="lowKashida"/>
        <w:rPr>
          <w:b/>
          <w:bCs/>
          <w:snapToGrid w:val="0"/>
          <w:sz w:val="20"/>
          <w:szCs w:val="20"/>
          <w:rtl/>
          <w:lang w:eastAsia="ar-SA"/>
        </w:rPr>
      </w:pPr>
      <w:r w:rsidRPr="00E00DC4">
        <w:rPr>
          <w:b/>
          <w:bCs/>
          <w:snapToGrid w:val="0"/>
          <w:sz w:val="20"/>
          <w:szCs w:val="20"/>
          <w:lang w:eastAsia="ar-SA"/>
        </w:rPr>
        <w:t xml:space="preserve">Source: Palestinian Central Bureau of Statistics, 2023. </w:t>
      </w:r>
      <w:r w:rsidRPr="00E00DC4">
        <w:rPr>
          <w:snapToGrid w:val="0"/>
          <w:sz w:val="20"/>
          <w:szCs w:val="20"/>
          <w:lang w:eastAsia="ar-SA"/>
        </w:rPr>
        <w:t xml:space="preserve">Estimates based on the results of the Labor Force Survey and on the final results of </w:t>
      </w:r>
      <w:r w:rsidR="007841C3" w:rsidRPr="00E00DC4">
        <w:rPr>
          <w:snapToGrid w:val="0"/>
          <w:sz w:val="20"/>
          <w:szCs w:val="20"/>
          <w:lang w:eastAsia="ar-SA"/>
        </w:rPr>
        <w:t xml:space="preserve">the </w:t>
      </w:r>
      <w:r w:rsidRPr="00E00DC4">
        <w:rPr>
          <w:snapToGrid w:val="0"/>
          <w:sz w:val="20"/>
          <w:szCs w:val="20"/>
          <w:lang w:eastAsia="ar-SA"/>
        </w:rPr>
        <w:t>Population, Housing and Establishments Census, 2007, 2022. Ramallah - Palestine</w:t>
      </w:r>
      <w:r w:rsidRPr="00E00DC4">
        <w:rPr>
          <w:snapToGrid w:val="0"/>
          <w:sz w:val="20"/>
          <w:szCs w:val="20"/>
          <w:rtl/>
          <w:lang w:eastAsia="ar-SA"/>
        </w:rPr>
        <w:t>.</w:t>
      </w:r>
    </w:p>
    <w:p w14:paraId="50A021CC" w14:textId="77777777" w:rsidR="00337A34" w:rsidRPr="00E00DC4" w:rsidRDefault="00337A34" w:rsidP="00337A34">
      <w:pPr>
        <w:tabs>
          <w:tab w:val="right" w:pos="8100"/>
        </w:tabs>
        <w:bidi w:val="0"/>
        <w:ind w:right="71"/>
        <w:jc w:val="lowKashida"/>
        <w:rPr>
          <w:b/>
          <w:bCs/>
          <w:snapToGrid w:val="0"/>
          <w:sz w:val="16"/>
          <w:szCs w:val="16"/>
          <w:rtl/>
          <w:lang w:eastAsia="ar-SA"/>
        </w:rPr>
      </w:pPr>
    </w:p>
    <w:p w14:paraId="2F8757C1" w14:textId="77777777" w:rsidR="008A3558" w:rsidRPr="00E00DC4" w:rsidRDefault="008A3558" w:rsidP="008A3558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t>Development in the field of education is the cornerstone and the basis of development and it achieves equity, justice, and equality between women and men</w:t>
      </w:r>
    </w:p>
    <w:p w14:paraId="282FF073" w14:textId="77777777" w:rsidR="00E00DC4" w:rsidRPr="00E00DC4" w:rsidRDefault="00E00DC4" w:rsidP="008A3558">
      <w:pPr>
        <w:bidi w:val="0"/>
        <w:jc w:val="lowKashida"/>
        <w:rPr>
          <w:rFonts w:asciiTheme="majorBidi" w:hAnsiTheme="majorBidi" w:cstheme="majorBidi"/>
          <w:sz w:val="8"/>
          <w:szCs w:val="8"/>
        </w:rPr>
      </w:pPr>
    </w:p>
    <w:p w14:paraId="5DC9C067" w14:textId="3B3CD7CF" w:rsidR="008A3558" w:rsidRPr="00E00DC4" w:rsidRDefault="00FC3771" w:rsidP="00E00DC4">
      <w:pPr>
        <w:bidi w:val="0"/>
        <w:jc w:val="lowKashida"/>
        <w:rPr>
          <w:rFonts w:asciiTheme="majorBidi" w:hAnsiTheme="majorBidi" w:cstheme="majorBidi"/>
          <w:sz w:val="26"/>
          <w:szCs w:val="26"/>
          <w:rtl/>
        </w:rPr>
      </w:pPr>
      <w:r w:rsidRPr="00E00DC4">
        <w:rPr>
          <w:rFonts w:asciiTheme="majorBidi" w:hAnsiTheme="majorBidi" w:cstheme="majorBidi"/>
          <w:sz w:val="26"/>
          <w:szCs w:val="26"/>
        </w:rPr>
        <w:t xml:space="preserve">The </w:t>
      </w:r>
      <w:r w:rsidR="008A3558" w:rsidRPr="00E00DC4">
        <w:rPr>
          <w:rFonts w:asciiTheme="majorBidi" w:hAnsiTheme="majorBidi" w:cstheme="majorBidi"/>
          <w:sz w:val="26"/>
          <w:szCs w:val="26"/>
        </w:rPr>
        <w:t>illiteracy rate among individuals (15 years and above) was 2.2%. The illiteracy gap is significantly noticed among males and females with percentages of 1.1% and 3.3%, respectively</w:t>
      </w:r>
      <w:r w:rsidR="008A3558" w:rsidRPr="00E00DC4">
        <w:rPr>
          <w:rFonts w:asciiTheme="majorBidi" w:hAnsiTheme="majorBidi" w:cstheme="majorBidi"/>
          <w:sz w:val="26"/>
          <w:szCs w:val="26"/>
          <w:rtl/>
        </w:rPr>
        <w:t>.</w:t>
      </w:r>
      <w:r w:rsidR="008A3558" w:rsidRPr="00E00DC4">
        <w:rPr>
          <w:rFonts w:asciiTheme="majorBidi" w:hAnsiTheme="majorBidi" w:cstheme="majorBidi"/>
          <w:sz w:val="26"/>
          <w:szCs w:val="26"/>
        </w:rPr>
        <w:t xml:space="preserve"> </w:t>
      </w:r>
    </w:p>
    <w:p w14:paraId="5FE464A5" w14:textId="77777777" w:rsidR="008A3558" w:rsidRPr="00E00DC4" w:rsidRDefault="008A3558" w:rsidP="008A3558">
      <w:pPr>
        <w:bidi w:val="0"/>
        <w:jc w:val="lowKashida"/>
        <w:rPr>
          <w:rFonts w:asciiTheme="majorBidi" w:eastAsia="Calibri" w:hAnsiTheme="majorBidi" w:cstheme="majorBidi"/>
          <w:sz w:val="16"/>
          <w:szCs w:val="16"/>
          <w:rtl/>
        </w:rPr>
      </w:pPr>
    </w:p>
    <w:p w14:paraId="2CEFA20B" w14:textId="19F7FD40" w:rsidR="008A3558" w:rsidRPr="00E00DC4" w:rsidRDefault="008A3558" w:rsidP="00762531">
      <w:pPr>
        <w:bidi w:val="0"/>
        <w:jc w:val="lowKashida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>Data for the scholastic year 2021/2022 showed that the participation rate in formal education (one year before enrolling in the official elementary stage) in Palestine is approximately 73% (68% among males, and 78% among females).</w:t>
      </w:r>
      <w:r w:rsidRPr="00E00DC4">
        <w:rPr>
          <w:rFonts w:asciiTheme="majorBidi" w:hAnsiTheme="majorBidi" w:cstheme="majorBidi"/>
          <w:sz w:val="26"/>
          <w:szCs w:val="26"/>
        </w:rPr>
        <w:t xml:space="preserve"> </w:t>
      </w:r>
      <w:r w:rsidR="00582D6A" w:rsidRPr="00E00DC4">
        <w:rPr>
          <w:rFonts w:asciiTheme="majorBidi" w:hAnsiTheme="majorBidi" w:cstheme="majorBidi"/>
          <w:sz w:val="26"/>
          <w:szCs w:val="26"/>
        </w:rPr>
        <w:t xml:space="preserve">While </w:t>
      </w:r>
      <w:r w:rsidRPr="00E00DC4">
        <w:rPr>
          <w:rFonts w:asciiTheme="majorBidi" w:hAnsiTheme="majorBidi" w:cstheme="majorBidi"/>
          <w:sz w:val="26"/>
          <w:szCs w:val="26"/>
        </w:rPr>
        <w:t xml:space="preserve">the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data for 2022 showed that the </w:t>
      </w:r>
      <w:r w:rsidR="00582D6A" w:rsidRPr="00E00DC4">
        <w:rPr>
          <w:rFonts w:asciiTheme="majorBidi" w:eastAsia="Calibri" w:hAnsiTheme="majorBidi" w:cstheme="majorBidi"/>
          <w:sz w:val="26"/>
          <w:szCs w:val="26"/>
        </w:rPr>
        <w:t xml:space="preserve">completion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percentages of different educational levels (lower and upper secondary education) were </w:t>
      </w:r>
      <w:r w:rsidR="00762531" w:rsidRPr="00E00DC4">
        <w:rPr>
          <w:rFonts w:asciiTheme="majorBidi" w:eastAsia="Calibri" w:hAnsiTheme="majorBidi" w:cstheme="majorBidi"/>
          <w:sz w:val="26"/>
          <w:szCs w:val="26"/>
        </w:rPr>
        <w:t>higher among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 females reaching 97% and 78%, respectively, while the percentages </w:t>
      </w:r>
      <w:r w:rsidR="00762531" w:rsidRPr="00E00DC4">
        <w:rPr>
          <w:rFonts w:asciiTheme="majorBidi" w:eastAsia="Calibri" w:hAnsiTheme="majorBidi" w:cstheme="majorBidi"/>
          <w:sz w:val="26"/>
          <w:szCs w:val="26"/>
        </w:rPr>
        <w:t xml:space="preserve">among males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were 90% and 53% respectively. </w:t>
      </w:r>
    </w:p>
    <w:p w14:paraId="00284C47" w14:textId="77777777" w:rsidR="008A3558" w:rsidRPr="00E00DC4" w:rsidRDefault="008A3558" w:rsidP="008A3558">
      <w:pPr>
        <w:bidi w:val="0"/>
        <w:jc w:val="both"/>
        <w:rPr>
          <w:rFonts w:asciiTheme="majorBidi" w:eastAsia="Calibri" w:hAnsiTheme="majorBidi" w:cstheme="majorBidi"/>
          <w:b/>
          <w:bCs/>
          <w:sz w:val="16"/>
          <w:szCs w:val="16"/>
        </w:rPr>
      </w:pPr>
    </w:p>
    <w:p w14:paraId="2502EFD3" w14:textId="6923C139" w:rsidR="008A3558" w:rsidRPr="00E00DC4" w:rsidRDefault="008A3558" w:rsidP="008A3558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>As for the percentage of female students enrolled in Palestinian higher education institutions, it reached 62% out of the total number of students enrolled in higher education institutions in 2021-2022, of whom about 10% are enrolled in the ICT major.</w:t>
      </w:r>
    </w:p>
    <w:p w14:paraId="6179E0BF" w14:textId="62A3A3ED" w:rsidR="00337A34" w:rsidRPr="00E00DC4" w:rsidRDefault="00337A34" w:rsidP="00337A34">
      <w:pPr>
        <w:shd w:val="clear" w:color="auto" w:fill="FFFFFF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  <w:r w:rsidRPr="00E00DC4">
        <w:rPr>
          <w:rFonts w:asciiTheme="majorBidi" w:hAnsiTheme="majorBidi" w:cstheme="majorBidi"/>
          <w:sz w:val="26"/>
          <w:szCs w:val="26"/>
        </w:rPr>
        <w:t xml:space="preserve"> </w:t>
      </w:r>
    </w:p>
    <w:p w14:paraId="7D319B9D" w14:textId="5130556E" w:rsidR="00A504D0" w:rsidRPr="00E00DC4" w:rsidRDefault="00A504D0" w:rsidP="009165E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Illiteracy Rates among </w:t>
      </w:r>
      <w:r w:rsidR="000B57B8"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E00DC4">
        <w:rPr>
          <w:rFonts w:asciiTheme="majorBidi" w:hAnsiTheme="majorBidi" w:cstheme="majorBidi"/>
          <w:b/>
          <w:bCs/>
          <w:sz w:val="28"/>
          <w:szCs w:val="28"/>
        </w:rPr>
        <w:t>Palestinian Population (15 years and above) in Palestine</w:t>
      </w:r>
      <w:r w:rsidR="009165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00DC4">
        <w:rPr>
          <w:rFonts w:asciiTheme="majorBidi" w:hAnsiTheme="majorBidi" w:cstheme="majorBidi"/>
          <w:b/>
          <w:bCs/>
          <w:sz w:val="28"/>
          <w:szCs w:val="28"/>
        </w:rPr>
        <w:t>by Sex: 2000-2022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8378E6" w:rsidRPr="008378E6" w14:paraId="743F6E79" w14:textId="77777777" w:rsidTr="009165E4">
        <w:trPr>
          <w:jc w:val="center"/>
        </w:trPr>
        <w:tc>
          <w:tcPr>
            <w:tcW w:w="7938" w:type="dxa"/>
          </w:tcPr>
          <w:p w14:paraId="732BD962" w14:textId="77777777" w:rsidR="00A504D0" w:rsidRPr="008378E6" w:rsidRDefault="00A504D0" w:rsidP="004E151C">
            <w:pPr>
              <w:pStyle w:val="BodyText3"/>
              <w:jc w:val="center"/>
              <w:rPr>
                <w:b/>
                <w:bCs/>
              </w:rPr>
            </w:pPr>
            <w:r w:rsidRPr="008378E6">
              <w:rPr>
                <w:b/>
                <w:bCs/>
                <w:noProof/>
                <w:lang w:eastAsia="en-US"/>
              </w:rPr>
              <w:drawing>
                <wp:inline distT="0" distB="0" distL="0" distR="0" wp14:anchorId="3E7D8525" wp14:editId="55D8BF61">
                  <wp:extent cx="5486400" cy="210502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30A12C7" w14:textId="6583F0CE" w:rsidR="00E00DC4" w:rsidRDefault="00A504D0" w:rsidP="009165E4">
      <w:pPr>
        <w:pStyle w:val="BodyTextIndent"/>
        <w:tabs>
          <w:tab w:val="right" w:pos="8100"/>
        </w:tabs>
        <w:ind w:right="71"/>
        <w:rPr>
          <w:rFonts w:cs="Times New Roman"/>
          <w:sz w:val="20"/>
          <w:szCs w:val="20"/>
        </w:rPr>
      </w:pPr>
      <w:r w:rsidRPr="00E00DC4">
        <w:rPr>
          <w:rFonts w:cs="Times New Roman" w:hint="cs"/>
          <w:b/>
          <w:bCs/>
          <w:sz w:val="20"/>
          <w:szCs w:val="20"/>
          <w:rtl/>
        </w:rPr>
        <w:t xml:space="preserve">         </w:t>
      </w:r>
      <w:r w:rsidRPr="00E00DC4">
        <w:rPr>
          <w:rFonts w:cs="Times New Roman"/>
          <w:b/>
          <w:bCs/>
          <w:sz w:val="20"/>
          <w:szCs w:val="20"/>
        </w:rPr>
        <w:t xml:space="preserve">Source: Palestinian Central Bureau of Statistics, 2023. </w:t>
      </w:r>
      <w:r w:rsidRPr="00E00DC4">
        <w:rPr>
          <w:rFonts w:cs="Times New Roman"/>
          <w:sz w:val="20"/>
          <w:szCs w:val="20"/>
        </w:rPr>
        <w:t>Database of the Labor Force Survey 2000-2022.</w:t>
      </w:r>
    </w:p>
    <w:p w14:paraId="52AF7D8D" w14:textId="7848E9F1" w:rsidR="006602EE" w:rsidRPr="00E00DC4" w:rsidRDefault="00E00DC4" w:rsidP="009165E4">
      <w:pPr>
        <w:pStyle w:val="BodyTextIndent"/>
        <w:tabs>
          <w:tab w:val="right" w:pos="8100"/>
        </w:tabs>
        <w:ind w:right="71"/>
        <w:rPr>
          <w:rFonts w:cs="Times New Roman"/>
          <w:sz w:val="20"/>
          <w:szCs w:val="20"/>
          <w:rtl/>
        </w:rPr>
      </w:pPr>
      <w:r>
        <w:rPr>
          <w:rFonts w:cs="Times New Roman"/>
          <w:sz w:val="20"/>
          <w:szCs w:val="20"/>
        </w:rPr>
        <w:t xml:space="preserve">         </w:t>
      </w:r>
      <w:r w:rsidR="00A504D0" w:rsidRPr="00E00DC4">
        <w:rPr>
          <w:rFonts w:cs="Times New Roman"/>
          <w:sz w:val="20"/>
          <w:szCs w:val="20"/>
        </w:rPr>
        <w:t>Ramallah - Palestine</w:t>
      </w:r>
      <w:r w:rsidR="006602EE" w:rsidRPr="00E00DC4">
        <w:rPr>
          <w:rFonts w:cs="Times New Roman"/>
          <w:sz w:val="20"/>
          <w:szCs w:val="20"/>
        </w:rPr>
        <w:t xml:space="preserve"> </w:t>
      </w:r>
    </w:p>
    <w:p w14:paraId="31706C61" w14:textId="77777777" w:rsidR="006602EE" w:rsidRPr="00E00DC4" w:rsidRDefault="006602EE" w:rsidP="006602EE">
      <w:pPr>
        <w:pStyle w:val="BodyTextIndent"/>
        <w:tabs>
          <w:tab w:val="right" w:pos="8100"/>
        </w:tabs>
        <w:ind w:right="71"/>
        <w:rPr>
          <w:rFonts w:cs="Times New Roman"/>
          <w:sz w:val="16"/>
          <w:szCs w:val="16"/>
        </w:rPr>
      </w:pPr>
      <w:r w:rsidRPr="00E00DC4">
        <w:rPr>
          <w:rFonts w:cs="Times New Roman"/>
          <w:sz w:val="16"/>
          <w:szCs w:val="16"/>
        </w:rPr>
        <w:t xml:space="preserve"> </w:t>
      </w:r>
    </w:p>
    <w:p w14:paraId="46FCCB64" w14:textId="77777777" w:rsidR="000D5141" w:rsidRDefault="000D5141" w:rsidP="00E00DC4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26873325" w14:textId="7A69C6CE" w:rsidR="00FF33AB" w:rsidRPr="00E00DC4" w:rsidRDefault="00FF33AB" w:rsidP="000D5141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Women’s Access to decent jobs and ensuring their active participation on the basis of equality which lead</w:t>
      </w:r>
      <w:r w:rsidR="000B57B8" w:rsidRPr="00E00DC4">
        <w:rPr>
          <w:rFonts w:asciiTheme="majorBidi" w:eastAsia="Calibri" w:hAnsiTheme="majorBidi" w:cstheme="majorBidi"/>
          <w:b/>
          <w:bCs/>
          <w:sz w:val="28"/>
          <w:szCs w:val="28"/>
        </w:rPr>
        <w:t>s</w:t>
      </w: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to sustainable economic empowerment of women</w:t>
      </w:r>
    </w:p>
    <w:p w14:paraId="018C7439" w14:textId="77777777" w:rsidR="00E00DC4" w:rsidRPr="00E00DC4" w:rsidRDefault="00E00DC4" w:rsidP="00FF33AB">
      <w:pPr>
        <w:bidi w:val="0"/>
        <w:jc w:val="both"/>
        <w:rPr>
          <w:rFonts w:asciiTheme="majorBidi" w:eastAsia="Calibri" w:hAnsiTheme="majorBidi" w:cstheme="majorBidi"/>
          <w:sz w:val="8"/>
          <w:szCs w:val="8"/>
        </w:rPr>
      </w:pPr>
    </w:p>
    <w:p w14:paraId="2BC1E696" w14:textId="0B6A214E" w:rsidR="00FF33AB" w:rsidRPr="00E00DC4" w:rsidRDefault="00FF33AB" w:rsidP="00E00DC4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>Women’s participation rate in the labour force increased in 2022 compared to 2021, where it reached about 19% out of the total number of women at work age in 2022. Notably, this percentage was 17% in 2021, knowing that the rate of men's participation in the labour force reached 71% in 2022, compared to 69% in 2021.</w:t>
      </w:r>
    </w:p>
    <w:p w14:paraId="48B7E1A8" w14:textId="77777777" w:rsidR="00FF33AB" w:rsidRPr="00E00DC4" w:rsidRDefault="00FF33AB" w:rsidP="00FF33AB">
      <w:pPr>
        <w:bidi w:val="0"/>
        <w:jc w:val="lowKashida"/>
        <w:rPr>
          <w:rFonts w:asciiTheme="majorBidi" w:eastAsia="Calibri" w:hAnsiTheme="majorBidi" w:cstheme="majorBidi"/>
          <w:sz w:val="8"/>
          <w:szCs w:val="8"/>
        </w:rPr>
      </w:pPr>
    </w:p>
    <w:p w14:paraId="6388A11A" w14:textId="3D39A44A" w:rsidR="00FF33AB" w:rsidRPr="00E00DC4" w:rsidRDefault="00FF33AB" w:rsidP="00032923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>On the other hand, the unemployment rate among women participating in the labour force was about 40% compared to 20% among men in 2022. The unemployment rate among the youth (19–29 years) graduates of</w:t>
      </w:r>
      <w:r w:rsidRPr="00E00DC4">
        <w:rPr>
          <w:rFonts w:eastAsia="Calibri"/>
        </w:rPr>
        <w:t xml:space="preserve">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those who hold Intermediate Diploma and higher reached 48% (61% among females compared with 34% among males). </w:t>
      </w:r>
    </w:p>
    <w:p w14:paraId="563F4998" w14:textId="4687D1CE" w:rsidR="00FF33AB" w:rsidRPr="00E00DC4" w:rsidRDefault="00FF33AB" w:rsidP="00FF33AB">
      <w:pPr>
        <w:bidi w:val="0"/>
        <w:jc w:val="both"/>
        <w:rPr>
          <w:rFonts w:asciiTheme="majorBidi" w:eastAsia="Calibri" w:hAnsiTheme="majorBidi" w:cstheme="majorBidi"/>
          <w:sz w:val="8"/>
          <w:szCs w:val="8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 xml:space="preserve"> </w:t>
      </w:r>
    </w:p>
    <w:p w14:paraId="54F73D6F" w14:textId="7EF86A03" w:rsidR="00FF33AB" w:rsidRPr="00E00DC4" w:rsidRDefault="00FF33AB" w:rsidP="0040207E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 xml:space="preserve">About 40% of wage employees in the private sector earn a monthly wage less than the minimum average wage (1,880 NIS), as the percentage was 38% </w:t>
      </w:r>
      <w:r w:rsidR="0040207E" w:rsidRPr="00E00DC4">
        <w:rPr>
          <w:rFonts w:asciiTheme="majorBidi" w:eastAsia="Calibri" w:hAnsiTheme="majorBidi" w:cstheme="majorBidi"/>
          <w:sz w:val="26"/>
          <w:szCs w:val="26"/>
        </w:rPr>
        <w:t xml:space="preserve">among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men, compared to 50% </w:t>
      </w:r>
      <w:r w:rsidR="0040207E" w:rsidRPr="00E00DC4">
        <w:rPr>
          <w:rFonts w:asciiTheme="majorBidi" w:eastAsia="Calibri" w:hAnsiTheme="majorBidi" w:cstheme="majorBidi"/>
          <w:sz w:val="26"/>
          <w:szCs w:val="26"/>
        </w:rPr>
        <w:t xml:space="preserve">among </w:t>
      </w:r>
      <w:r w:rsidRPr="00E00DC4">
        <w:rPr>
          <w:rFonts w:asciiTheme="majorBidi" w:eastAsia="Calibri" w:hAnsiTheme="majorBidi" w:cstheme="majorBidi"/>
          <w:sz w:val="26"/>
          <w:szCs w:val="26"/>
        </w:rPr>
        <w:t>women. Moreover, 40% of female employees hired in the private sector work without an employment contract, and 44% of them receive a contribution in financing retirement/end of the service package. On the other hand, 46% of female employees in the private sector received paid maternity leave in 2022.</w:t>
      </w:r>
    </w:p>
    <w:p w14:paraId="2BFCB6C6" w14:textId="77777777" w:rsidR="00FF33AB" w:rsidRPr="00E00DC4" w:rsidRDefault="00FF33AB" w:rsidP="00FF33AB">
      <w:pPr>
        <w:bidi w:val="0"/>
        <w:jc w:val="both"/>
        <w:rPr>
          <w:rFonts w:asciiTheme="majorBidi" w:eastAsia="Calibri" w:hAnsiTheme="majorBidi" w:cstheme="majorBidi"/>
          <w:sz w:val="8"/>
          <w:szCs w:val="8"/>
        </w:rPr>
      </w:pPr>
    </w:p>
    <w:p w14:paraId="18FC8F8A" w14:textId="1B07FBE3" w:rsidR="00FF33AB" w:rsidRPr="00E00DC4" w:rsidRDefault="00FF33AB" w:rsidP="0040207E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 xml:space="preserve">According to the </w:t>
      </w:r>
      <w:r w:rsidR="0040207E" w:rsidRPr="00E00DC4">
        <w:rPr>
          <w:rFonts w:asciiTheme="majorBidi" w:eastAsia="Calibri" w:hAnsiTheme="majorBidi" w:cstheme="majorBidi"/>
          <w:sz w:val="26"/>
          <w:szCs w:val="26"/>
        </w:rPr>
        <w:t xml:space="preserve">data of the </w:t>
      </w:r>
      <w:r w:rsidRPr="00E00DC4">
        <w:rPr>
          <w:rFonts w:asciiTheme="majorBidi" w:eastAsia="Calibri" w:hAnsiTheme="majorBidi" w:cstheme="majorBidi"/>
          <w:sz w:val="26"/>
          <w:szCs w:val="26"/>
        </w:rPr>
        <w:t>General Personnel Council up to February 2023, the percentage of women's participation in the public sector reached about 48% of the total employees in the public sector. The gap is significant in the percentage of those who hold the rank of Director General and higher, where this percentage reached 14% among women compared to 86% among men.</w:t>
      </w:r>
    </w:p>
    <w:p w14:paraId="2B9FD8C7" w14:textId="77777777" w:rsidR="00FF33AB" w:rsidRPr="00E00DC4" w:rsidRDefault="00FF33AB" w:rsidP="00FF33AB">
      <w:pPr>
        <w:bidi w:val="0"/>
        <w:jc w:val="both"/>
        <w:rPr>
          <w:rFonts w:asciiTheme="majorBidi" w:eastAsia="Calibri" w:hAnsiTheme="majorBidi" w:cstheme="majorBidi"/>
          <w:sz w:val="16"/>
          <w:szCs w:val="16"/>
        </w:rPr>
      </w:pPr>
    </w:p>
    <w:p w14:paraId="4C010F90" w14:textId="77777777" w:rsidR="00E00DC4" w:rsidRDefault="00F03F33" w:rsidP="00F03F3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>Unemployment Rate among Labour Force Participants (15 years and above)</w:t>
      </w:r>
    </w:p>
    <w:p w14:paraId="3C2C9F30" w14:textId="1BC093BB" w:rsidR="00F03F33" w:rsidRPr="00E00DC4" w:rsidRDefault="00F03F33" w:rsidP="00E00D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DC4">
        <w:rPr>
          <w:rFonts w:asciiTheme="majorBidi" w:hAnsiTheme="majorBidi" w:cstheme="majorBidi"/>
          <w:b/>
          <w:bCs/>
          <w:sz w:val="28"/>
          <w:szCs w:val="28"/>
        </w:rPr>
        <w:t xml:space="preserve"> in Palestine by Region: 2015-2022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8378E6" w:rsidRPr="008378E6" w14:paraId="3C508CC2" w14:textId="77777777" w:rsidTr="00E00DC4">
        <w:trPr>
          <w:trHeight w:val="2817"/>
          <w:jc w:val="center"/>
        </w:trPr>
        <w:tc>
          <w:tcPr>
            <w:tcW w:w="8788" w:type="dxa"/>
          </w:tcPr>
          <w:p w14:paraId="16E3CD88" w14:textId="77777777" w:rsidR="00F03F33" w:rsidRPr="008378E6" w:rsidRDefault="00F03F33" w:rsidP="004E151C">
            <w:pPr>
              <w:bidi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8378E6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4107337D" wp14:editId="5D421EA0">
                  <wp:extent cx="4548505" cy="1809750"/>
                  <wp:effectExtent l="0" t="0" r="0" b="0"/>
                  <wp:docPr id="5" name="Ch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7934CAB6" w14:textId="043D5BA4" w:rsidR="00F03F33" w:rsidRPr="00E00DC4" w:rsidRDefault="009165E4" w:rsidP="005030BD">
      <w:pPr>
        <w:bidi w:val="0"/>
        <w:ind w:hanging="567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     </w:t>
      </w:r>
      <w:r w:rsidR="00F03F33" w:rsidRPr="00E00DC4">
        <w:rPr>
          <w:b/>
          <w:bCs/>
          <w:sz w:val="20"/>
          <w:szCs w:val="20"/>
          <w:lang w:eastAsia="ar-SA"/>
        </w:rPr>
        <w:t xml:space="preserve">Source: Palestinian Central Bureau of Statistics, 2023. </w:t>
      </w:r>
      <w:r w:rsidR="00F03F33" w:rsidRPr="00E00DC4">
        <w:rPr>
          <w:sz w:val="20"/>
          <w:szCs w:val="20"/>
          <w:lang w:eastAsia="ar-SA"/>
        </w:rPr>
        <w:t>Database</w:t>
      </w:r>
      <w:r w:rsidR="00F03F33" w:rsidRPr="00E00DC4">
        <w:rPr>
          <w:rFonts w:hint="cs"/>
          <w:sz w:val="20"/>
          <w:szCs w:val="20"/>
          <w:rtl/>
          <w:lang w:eastAsia="ar-SA"/>
        </w:rPr>
        <w:t xml:space="preserve"> </w:t>
      </w:r>
      <w:r w:rsidR="00F03F33" w:rsidRPr="00E00DC4">
        <w:rPr>
          <w:sz w:val="20"/>
          <w:szCs w:val="20"/>
          <w:lang w:eastAsia="ar-SA"/>
        </w:rPr>
        <w:t>of the Labor Force Survey</w:t>
      </w:r>
      <w:r w:rsidR="005030BD" w:rsidRPr="00E00DC4">
        <w:rPr>
          <w:sz w:val="20"/>
          <w:szCs w:val="20"/>
          <w:lang w:eastAsia="ar-SA"/>
        </w:rPr>
        <w:t xml:space="preserve">, </w:t>
      </w:r>
      <w:r w:rsidR="00F03F33" w:rsidRPr="00E00DC4">
        <w:rPr>
          <w:sz w:val="20"/>
          <w:szCs w:val="20"/>
          <w:lang w:eastAsia="ar-SA"/>
        </w:rPr>
        <w:t>2022. Ramallah - Palestine.</w:t>
      </w:r>
    </w:p>
    <w:p w14:paraId="795198F5" w14:textId="77777777" w:rsidR="00F03F33" w:rsidRPr="009165E4" w:rsidRDefault="00F03F33" w:rsidP="00F03F33">
      <w:pPr>
        <w:bidi w:val="0"/>
        <w:rPr>
          <w:sz w:val="16"/>
          <w:szCs w:val="16"/>
          <w:lang w:eastAsia="ar-SA"/>
        </w:rPr>
      </w:pPr>
    </w:p>
    <w:p w14:paraId="0147CA91" w14:textId="67FD36B4" w:rsidR="00064F2B" w:rsidRPr="00E00DC4" w:rsidRDefault="00064F2B" w:rsidP="006476B1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t>The participation of women in decision-making, public life, and leadership positions is an essential aspect of gender equality</w:t>
      </w:r>
    </w:p>
    <w:p w14:paraId="6B42E0E1" w14:textId="77777777" w:rsidR="00E00DC4" w:rsidRPr="00E00DC4" w:rsidRDefault="00E00DC4" w:rsidP="001E47A4">
      <w:pPr>
        <w:bidi w:val="0"/>
        <w:jc w:val="both"/>
        <w:rPr>
          <w:rFonts w:asciiTheme="majorBidi" w:eastAsia="Calibri" w:hAnsiTheme="majorBidi" w:cstheme="majorBidi"/>
          <w:sz w:val="8"/>
          <w:szCs w:val="8"/>
        </w:rPr>
      </w:pPr>
    </w:p>
    <w:p w14:paraId="14C9A9F0" w14:textId="7D0AA4BD" w:rsidR="006D5DFD" w:rsidRDefault="00064F2B" w:rsidP="00E00DC4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 xml:space="preserve">The percentage of women elected and appointed in the 2021-2022 local elections was 21% compared to 79% among men. Also, the participation of women in decision-making positions is still limited compared to men's participation, as data for 2021 showed that women constitute about 23% of the members of the Central Council, 19% of the members of </w:t>
      </w:r>
      <w:r w:rsidR="005030BD" w:rsidRPr="00E00DC4">
        <w:rPr>
          <w:rFonts w:asciiTheme="majorBidi" w:eastAsia="Calibri" w:hAnsiTheme="majorBidi" w:cstheme="majorBidi"/>
          <w:sz w:val="26"/>
          <w:szCs w:val="26"/>
        </w:rPr>
        <w:t xml:space="preserve">the </w:t>
      </w:r>
      <w:r w:rsidRPr="00E00DC4">
        <w:rPr>
          <w:rFonts w:asciiTheme="majorBidi" w:eastAsia="Calibri" w:hAnsiTheme="majorBidi" w:cstheme="majorBidi"/>
          <w:sz w:val="26"/>
          <w:szCs w:val="26"/>
        </w:rPr>
        <w:t>Palestinian National Council, and 12% of members of the Council of Ministers.  Moreover, there is only one woman who holds the position of a Governor out of 15 Governors, and 1% of the heads of local councils</w:t>
      </w:r>
      <w:r w:rsidRPr="00E00DC4">
        <w:rPr>
          <w:rFonts w:asciiTheme="majorBidi" w:eastAsia="Calibri" w:hAnsiTheme="majorBidi" w:cstheme="majorBidi"/>
          <w:sz w:val="26"/>
          <w:szCs w:val="26"/>
          <w:rtl/>
        </w:rPr>
        <w:t xml:space="preserve">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in Palestine are women. As for the Board of Directors of the Chambers of Commerce, Industry and Agriculture, the percentage of men reached 99% compared to only 1% of women, and about 19% of judges are women, and the percentage of female prosecutors is 18%. </w:t>
      </w:r>
    </w:p>
    <w:p w14:paraId="1C5EF4E0" w14:textId="77777777" w:rsidR="00E00DC4" w:rsidRPr="00E00DC4" w:rsidRDefault="00E00DC4" w:rsidP="00E00DC4">
      <w:pPr>
        <w:bidi w:val="0"/>
        <w:jc w:val="both"/>
        <w:rPr>
          <w:rFonts w:asciiTheme="majorBidi" w:eastAsia="Calibri" w:hAnsiTheme="majorBidi" w:cstheme="majorBidi"/>
          <w:sz w:val="26"/>
          <w:szCs w:val="26"/>
          <w:rtl/>
        </w:rPr>
      </w:pPr>
    </w:p>
    <w:p w14:paraId="1ACD4242" w14:textId="1D710B42" w:rsidR="00C4592D" w:rsidRPr="00E00DC4" w:rsidRDefault="00C4592D" w:rsidP="006D5DFD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t>Promoting the use of empowerment technology, especially information and communication technology for women, leads to their empowerment and achieving gender equality</w:t>
      </w:r>
    </w:p>
    <w:p w14:paraId="77B3A30E" w14:textId="77777777" w:rsidR="00E00DC4" w:rsidRPr="00E00DC4" w:rsidRDefault="00E00DC4" w:rsidP="00980E6F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8"/>
          <w:szCs w:val="8"/>
          <w:lang w:eastAsia="ar-SA"/>
        </w:rPr>
      </w:pPr>
    </w:p>
    <w:p w14:paraId="0DDFA5CB" w14:textId="42DB7210" w:rsidR="00E01F57" w:rsidRPr="00E00DC4" w:rsidRDefault="00C4592D" w:rsidP="00E00DC4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26"/>
          <w:szCs w:val="26"/>
          <w:lang w:eastAsia="ar-SA"/>
        </w:rPr>
      </w:pP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In the year 2022, about 92% of households in Palestine </w:t>
      </w:r>
      <w:r w:rsidR="00E01F57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stated that they have access to internet service at home or at one of their household members</w:t>
      </w:r>
      <w:r w:rsidR="00E01F57" w:rsidRPr="00E00DC4">
        <w:rPr>
          <w:rFonts w:asciiTheme="majorBidi" w:hAnsiTheme="majorBidi" w:cstheme="majorBidi"/>
          <w:sz w:val="26"/>
          <w:szCs w:val="26"/>
        </w:rPr>
        <w:t xml:space="preserve"> </w:t>
      </w:r>
      <w:r w:rsidR="00E01F57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in Palestine for the year 2022, (93% in the West Bank and 92% in Gaza Strip).  Meanwhile the percentage of individuals (10 years and above) who used the internet from anywhere reached 89% in Palestine (92% in the West Bank and 83% in Gaza Strip).  89% </w:t>
      </w:r>
      <w:r w:rsidR="00980E6F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="00E01F57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males and 88% </w:t>
      </w:r>
      <w:r w:rsidR="00980E6F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="00E01F57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females.</w:t>
      </w:r>
    </w:p>
    <w:p w14:paraId="57E82859" w14:textId="77777777" w:rsidR="00E01F57" w:rsidRPr="00E00DC4" w:rsidRDefault="00E01F57" w:rsidP="00E01F57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16"/>
          <w:szCs w:val="16"/>
          <w:lang w:eastAsia="ar-SA"/>
        </w:rPr>
      </w:pPr>
    </w:p>
    <w:p w14:paraId="3A623A5C" w14:textId="01BCE949" w:rsidR="00327073" w:rsidRPr="00E00DC4" w:rsidRDefault="00327073" w:rsidP="00CD58F3">
      <w:pPr>
        <w:bidi w:val="0"/>
        <w:jc w:val="lowKashida"/>
        <w:rPr>
          <w:rFonts w:asciiTheme="majorBidi" w:hAnsiTheme="majorBidi" w:cstheme="majorBidi"/>
          <w:snapToGrid w:val="0"/>
          <w:sz w:val="26"/>
          <w:szCs w:val="26"/>
          <w:lang w:eastAsia="ar-SA"/>
        </w:rPr>
      </w:pP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The data also showed that the percentage of individuals (10 years and above) who own a cellular phone is 79% (86% in the West Bank and 69% in Gaza Strip). </w:t>
      </w:r>
      <w:r w:rsidR="00CD58F3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There is a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gap in </w:t>
      </w:r>
      <w:r w:rsidR="00CD58F3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cellular 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phone ownership between males and females, where the percentage reached 83% </w:t>
      </w:r>
      <w:r w:rsidR="00980E6F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males and 76% </w:t>
      </w:r>
      <w:r w:rsidR="00980E6F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females for the year 2022.</w:t>
      </w:r>
    </w:p>
    <w:p w14:paraId="6565A885" w14:textId="77777777" w:rsidR="00327073" w:rsidRPr="00E00DC4" w:rsidRDefault="00327073" w:rsidP="00327073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16"/>
          <w:szCs w:val="16"/>
          <w:lang w:eastAsia="ar-SA"/>
        </w:rPr>
      </w:pP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 </w:t>
      </w:r>
    </w:p>
    <w:p w14:paraId="07FEF300" w14:textId="65CCEA40" w:rsidR="00327073" w:rsidRPr="00E00DC4" w:rsidRDefault="00327073" w:rsidP="005816C5">
      <w:pPr>
        <w:tabs>
          <w:tab w:val="right" w:pos="8100"/>
        </w:tabs>
        <w:bidi w:val="0"/>
        <w:ind w:right="71"/>
        <w:jc w:val="lowKashida"/>
        <w:rPr>
          <w:rFonts w:asciiTheme="majorBidi" w:hAnsiTheme="majorBidi" w:cstheme="majorBidi"/>
          <w:snapToGrid w:val="0"/>
          <w:sz w:val="26"/>
          <w:szCs w:val="26"/>
          <w:rtl/>
          <w:lang w:eastAsia="ar-SA"/>
        </w:rPr>
      </w:pP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The percentage of individuals (10 years and above) who own a smartphone is 73% (83% in the West Bank and 58% in Gaza Strip). 74% </w:t>
      </w:r>
      <w:r w:rsidR="005816C5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males and 72% </w:t>
      </w:r>
      <w:r w:rsidR="005816C5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 xml:space="preserve">among </w:t>
      </w:r>
      <w:r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females for the year 2022</w:t>
      </w:r>
      <w:r w:rsidR="005816C5" w:rsidRPr="00E00DC4">
        <w:rPr>
          <w:rFonts w:asciiTheme="majorBidi" w:hAnsiTheme="majorBidi" w:cstheme="majorBidi"/>
          <w:snapToGrid w:val="0"/>
          <w:sz w:val="26"/>
          <w:szCs w:val="26"/>
          <w:lang w:eastAsia="ar-SA"/>
        </w:rPr>
        <w:t>.</w:t>
      </w:r>
    </w:p>
    <w:p w14:paraId="3C7B79E9" w14:textId="0B002978" w:rsidR="00327073" w:rsidRPr="008378E6" w:rsidRDefault="00327073" w:rsidP="00327073">
      <w:pPr>
        <w:tabs>
          <w:tab w:val="right" w:pos="8100"/>
        </w:tabs>
        <w:bidi w:val="0"/>
        <w:ind w:right="71"/>
        <w:jc w:val="lowKashida"/>
        <w:rPr>
          <w:snapToGrid w:val="0"/>
          <w:sz w:val="10"/>
          <w:szCs w:val="10"/>
          <w:rtl/>
          <w:lang w:eastAsia="ar-SA"/>
        </w:rPr>
      </w:pPr>
    </w:p>
    <w:p w14:paraId="787D78BB" w14:textId="304D383B" w:rsidR="00327073" w:rsidRPr="00E00DC4" w:rsidRDefault="00327073" w:rsidP="00327073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 xml:space="preserve">Within this context, the data of </w:t>
      </w:r>
      <w:r w:rsidR="005816C5" w:rsidRPr="00E00DC4">
        <w:rPr>
          <w:rFonts w:asciiTheme="majorBidi" w:eastAsia="Calibri" w:hAnsiTheme="majorBidi" w:cstheme="majorBidi"/>
          <w:sz w:val="26"/>
          <w:szCs w:val="26"/>
        </w:rPr>
        <w:t xml:space="preserve">the </w:t>
      </w:r>
      <w:r w:rsidRPr="00E00DC4">
        <w:rPr>
          <w:rFonts w:asciiTheme="majorBidi" w:eastAsia="Calibri" w:hAnsiTheme="majorBidi" w:cstheme="majorBidi"/>
          <w:sz w:val="26"/>
          <w:szCs w:val="26"/>
        </w:rPr>
        <w:t>Report of the Digital Reality in Palestine by "ipoke" for 2022 indicated that the prevalence rate of social media in Palestine was about 66%, whereas the percentage of using social media by sex was 51% among males and 49% among females.</w:t>
      </w:r>
    </w:p>
    <w:p w14:paraId="008D8EA1" w14:textId="77777777" w:rsidR="00327073" w:rsidRPr="00E00DC4" w:rsidRDefault="00327073" w:rsidP="00327073">
      <w:pPr>
        <w:bidi w:val="0"/>
        <w:jc w:val="both"/>
        <w:rPr>
          <w:rFonts w:asciiTheme="majorBidi" w:eastAsia="Calibri" w:hAnsiTheme="majorBidi" w:cstheme="majorBidi"/>
          <w:b/>
          <w:bCs/>
          <w:sz w:val="16"/>
          <w:szCs w:val="16"/>
        </w:rPr>
      </w:pPr>
    </w:p>
    <w:p w14:paraId="0F887BA0" w14:textId="7C07DDE8" w:rsidR="00C4592D" w:rsidRPr="00E00DC4" w:rsidRDefault="00C4592D" w:rsidP="006D5DFD">
      <w:pPr>
        <w:bidi w:val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E00DC4">
        <w:rPr>
          <w:rFonts w:asciiTheme="majorBidi" w:eastAsia="Calibri" w:hAnsiTheme="majorBidi" w:cstheme="majorBidi"/>
          <w:b/>
          <w:bCs/>
          <w:sz w:val="28"/>
          <w:szCs w:val="28"/>
        </w:rPr>
        <w:t>Digital space is not a safe place for women, as cyber violence against women is an extension and perpetuation of violence against women in the real world.</w:t>
      </w:r>
    </w:p>
    <w:p w14:paraId="63AEAA8F" w14:textId="4E378F60" w:rsidR="00E00DC4" w:rsidRDefault="00C4592D" w:rsidP="006476B1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E00DC4">
        <w:rPr>
          <w:rFonts w:asciiTheme="majorBidi" w:eastAsia="Calibri" w:hAnsiTheme="majorBidi" w:cstheme="majorBidi"/>
          <w:sz w:val="26"/>
          <w:szCs w:val="26"/>
        </w:rPr>
        <w:t>About 10% of currently or ever married women (15-64 years) in Palestine were exposed to some forms of cyber violence through social media networks. Also,</w:t>
      </w:r>
      <w:r w:rsidRPr="00E00DC4">
        <w:rPr>
          <w:rFonts w:asciiTheme="majorBidi" w:eastAsia="Calibri" w:hAnsiTheme="majorBidi" w:cstheme="majorBidi"/>
          <w:sz w:val="26"/>
          <w:szCs w:val="26"/>
          <w:rtl/>
        </w:rPr>
        <w:t xml:space="preserve"> </w:t>
      </w:r>
      <w:r w:rsidRPr="00E00DC4">
        <w:rPr>
          <w:rFonts w:asciiTheme="majorBidi" w:eastAsia="Calibri" w:hAnsiTheme="majorBidi" w:cstheme="majorBidi"/>
          <w:sz w:val="26"/>
          <w:szCs w:val="26"/>
        </w:rPr>
        <w:t xml:space="preserve">8% of women were exposed to violence through telecommunication (any threatening, blackmailing, or harassing </w:t>
      </w:r>
      <w:r w:rsidR="005816C5" w:rsidRPr="00E00DC4">
        <w:rPr>
          <w:rFonts w:asciiTheme="majorBidi" w:eastAsia="Calibri" w:hAnsiTheme="majorBidi" w:cstheme="majorBidi"/>
          <w:sz w:val="26"/>
          <w:szCs w:val="26"/>
        </w:rPr>
        <w:t xml:space="preserve">by </w:t>
      </w:r>
      <w:r w:rsidRPr="00E00DC4">
        <w:rPr>
          <w:rFonts w:asciiTheme="majorBidi" w:eastAsia="Calibri" w:hAnsiTheme="majorBidi" w:cstheme="majorBidi"/>
          <w:sz w:val="26"/>
          <w:szCs w:val="26"/>
        </w:rPr>
        <w:t>different people or parties through calls or messages).</w:t>
      </w:r>
    </w:p>
    <w:p w14:paraId="44843E66" w14:textId="77777777" w:rsidR="000D5141" w:rsidRPr="006476B1" w:rsidRDefault="000D5141" w:rsidP="000D5141">
      <w:pPr>
        <w:bidi w:val="0"/>
        <w:jc w:val="both"/>
        <w:rPr>
          <w:rFonts w:asciiTheme="majorBidi" w:eastAsia="Calibri" w:hAnsiTheme="majorBidi" w:cstheme="majorBidi"/>
          <w:sz w:val="26"/>
          <w:szCs w:val="26"/>
        </w:rPr>
      </w:pPr>
    </w:p>
    <w:p w14:paraId="21EF296F" w14:textId="77777777" w:rsidR="00E00DC4" w:rsidRPr="008378E6" w:rsidRDefault="00E00DC4" w:rsidP="00E00DC4">
      <w:pPr>
        <w:tabs>
          <w:tab w:val="right" w:pos="8100"/>
        </w:tabs>
        <w:bidi w:val="0"/>
        <w:ind w:right="71"/>
        <w:jc w:val="lowKashida"/>
        <w:rPr>
          <w:rFonts w:hint="cs"/>
          <w:rtl/>
          <w:lang w:eastAsia="ar-SA"/>
        </w:rPr>
      </w:pPr>
    </w:p>
    <w:p w14:paraId="5B82D1B9" w14:textId="21CB1E68" w:rsidR="00DE6C98" w:rsidRPr="008378E6" w:rsidRDefault="000D5141" w:rsidP="000D5141">
      <w:pPr>
        <w:bidi w:val="0"/>
        <w:jc w:val="center"/>
        <w:rPr>
          <w:lang w:eastAsia="ar-SA"/>
        </w:rPr>
      </w:pPr>
      <w:bookmarkStart w:id="1" w:name="_GoBack"/>
      <w:bookmarkEnd w:id="1"/>
      <w:r w:rsidRPr="000D5141">
        <w:rPr>
          <w:rFonts w:eastAsia="Calibri"/>
          <w:noProof/>
          <w:sz w:val="18"/>
          <w:szCs w:val="18"/>
          <w:rtl/>
        </w:rPr>
        <w:drawing>
          <wp:inline distT="0" distB="0" distL="0" distR="0" wp14:anchorId="085A498F" wp14:editId="32133FF6">
            <wp:extent cx="885825" cy="120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52" cy="12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C98" w:rsidRPr="008378E6" w:rsidSect="00E00DC4">
      <w:footerReference w:type="even" r:id="rId13"/>
      <w:footerReference w:type="default" r:id="rId14"/>
      <w:pgSz w:w="11906" w:h="16838"/>
      <w:pgMar w:top="1134" w:right="1134" w:bottom="1134" w:left="1134" w:header="720" w:footer="258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C361" w14:textId="77777777" w:rsidR="00CD1C29" w:rsidRDefault="00CD1C29">
      <w:r>
        <w:separator/>
      </w:r>
    </w:p>
  </w:endnote>
  <w:endnote w:type="continuationSeparator" w:id="0">
    <w:p w14:paraId="731EC064" w14:textId="77777777" w:rsidR="00CD1C29" w:rsidRDefault="00CD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81B6" w14:textId="77777777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A1BFC36" w14:textId="77777777" w:rsidR="005F581B" w:rsidRDefault="005F581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E755" w14:textId="2336CB21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E253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F4C725C" w14:textId="77777777" w:rsidR="005F581B" w:rsidRDefault="005F581B">
    <w:pPr>
      <w:pStyle w:val="Footer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3DF3" w14:textId="77777777" w:rsidR="00CD1C29" w:rsidRDefault="00CD1C29">
      <w:r>
        <w:separator/>
      </w:r>
    </w:p>
  </w:footnote>
  <w:footnote w:type="continuationSeparator" w:id="0">
    <w:p w14:paraId="001398A6" w14:textId="77777777" w:rsidR="00CD1C29" w:rsidRDefault="00CD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54"/>
    <w:rsid w:val="000021E8"/>
    <w:rsid w:val="000063A3"/>
    <w:rsid w:val="000128D6"/>
    <w:rsid w:val="000220F0"/>
    <w:rsid w:val="00023EB9"/>
    <w:rsid w:val="000314F4"/>
    <w:rsid w:val="0003189B"/>
    <w:rsid w:val="00032923"/>
    <w:rsid w:val="00034057"/>
    <w:rsid w:val="00035F1A"/>
    <w:rsid w:val="000411CE"/>
    <w:rsid w:val="0004322D"/>
    <w:rsid w:val="000474B2"/>
    <w:rsid w:val="000552B4"/>
    <w:rsid w:val="000612A9"/>
    <w:rsid w:val="00064F2B"/>
    <w:rsid w:val="000702B4"/>
    <w:rsid w:val="000708A2"/>
    <w:rsid w:val="000736D0"/>
    <w:rsid w:val="000746DA"/>
    <w:rsid w:val="000814BC"/>
    <w:rsid w:val="000829A7"/>
    <w:rsid w:val="00084CBD"/>
    <w:rsid w:val="00084E8A"/>
    <w:rsid w:val="00085617"/>
    <w:rsid w:val="00087EA1"/>
    <w:rsid w:val="00090FCD"/>
    <w:rsid w:val="00097AC0"/>
    <w:rsid w:val="000A0915"/>
    <w:rsid w:val="000B074E"/>
    <w:rsid w:val="000B2980"/>
    <w:rsid w:val="000B2C39"/>
    <w:rsid w:val="000B2FCD"/>
    <w:rsid w:val="000B343B"/>
    <w:rsid w:val="000B394D"/>
    <w:rsid w:val="000B55C9"/>
    <w:rsid w:val="000B57B8"/>
    <w:rsid w:val="000B59F2"/>
    <w:rsid w:val="000C017A"/>
    <w:rsid w:val="000C1BBB"/>
    <w:rsid w:val="000C622E"/>
    <w:rsid w:val="000D2A9B"/>
    <w:rsid w:val="000D2BC8"/>
    <w:rsid w:val="000D5141"/>
    <w:rsid w:val="000E21E9"/>
    <w:rsid w:val="000E6F3E"/>
    <w:rsid w:val="000E7A7D"/>
    <w:rsid w:val="000F278C"/>
    <w:rsid w:val="000F3265"/>
    <w:rsid w:val="000F3CA9"/>
    <w:rsid w:val="000F4450"/>
    <w:rsid w:val="000F49EE"/>
    <w:rsid w:val="000F5280"/>
    <w:rsid w:val="000F56FD"/>
    <w:rsid w:val="000F7AC7"/>
    <w:rsid w:val="001019B4"/>
    <w:rsid w:val="00104478"/>
    <w:rsid w:val="00106C47"/>
    <w:rsid w:val="001105C8"/>
    <w:rsid w:val="00110FAE"/>
    <w:rsid w:val="0012124F"/>
    <w:rsid w:val="00121640"/>
    <w:rsid w:val="00122A5D"/>
    <w:rsid w:val="00124D3D"/>
    <w:rsid w:val="0012688C"/>
    <w:rsid w:val="00133849"/>
    <w:rsid w:val="00133E61"/>
    <w:rsid w:val="00143BFD"/>
    <w:rsid w:val="001457B6"/>
    <w:rsid w:val="00146248"/>
    <w:rsid w:val="00146ECF"/>
    <w:rsid w:val="00160010"/>
    <w:rsid w:val="00165F13"/>
    <w:rsid w:val="00173F9E"/>
    <w:rsid w:val="0018284B"/>
    <w:rsid w:val="0018326B"/>
    <w:rsid w:val="00184C57"/>
    <w:rsid w:val="00184DC8"/>
    <w:rsid w:val="00190ABC"/>
    <w:rsid w:val="00191C74"/>
    <w:rsid w:val="00196FA1"/>
    <w:rsid w:val="001A1DE8"/>
    <w:rsid w:val="001A59A3"/>
    <w:rsid w:val="001B14FE"/>
    <w:rsid w:val="001B2A04"/>
    <w:rsid w:val="001B34B4"/>
    <w:rsid w:val="001B357A"/>
    <w:rsid w:val="001C08EC"/>
    <w:rsid w:val="001C0CEE"/>
    <w:rsid w:val="001C3E97"/>
    <w:rsid w:val="001C527C"/>
    <w:rsid w:val="001C5D06"/>
    <w:rsid w:val="001C6801"/>
    <w:rsid w:val="001E2718"/>
    <w:rsid w:val="001E47A4"/>
    <w:rsid w:val="001F3FA2"/>
    <w:rsid w:val="001F5B63"/>
    <w:rsid w:val="001F69AE"/>
    <w:rsid w:val="00203ECE"/>
    <w:rsid w:val="0020497F"/>
    <w:rsid w:val="00205541"/>
    <w:rsid w:val="002074BE"/>
    <w:rsid w:val="00210098"/>
    <w:rsid w:val="0021158F"/>
    <w:rsid w:val="002146B2"/>
    <w:rsid w:val="00226149"/>
    <w:rsid w:val="0022733D"/>
    <w:rsid w:val="00233A74"/>
    <w:rsid w:val="00234AD2"/>
    <w:rsid w:val="00237115"/>
    <w:rsid w:val="00244FD5"/>
    <w:rsid w:val="002454B1"/>
    <w:rsid w:val="002503B6"/>
    <w:rsid w:val="00254E4F"/>
    <w:rsid w:val="00254EAD"/>
    <w:rsid w:val="0025574C"/>
    <w:rsid w:val="002626E5"/>
    <w:rsid w:val="002667C1"/>
    <w:rsid w:val="00277661"/>
    <w:rsid w:val="002842C3"/>
    <w:rsid w:val="00284528"/>
    <w:rsid w:val="002862A4"/>
    <w:rsid w:val="002876CB"/>
    <w:rsid w:val="00287C28"/>
    <w:rsid w:val="002908C4"/>
    <w:rsid w:val="00290C02"/>
    <w:rsid w:val="00290EE6"/>
    <w:rsid w:val="00291304"/>
    <w:rsid w:val="00294AF4"/>
    <w:rsid w:val="00296AB5"/>
    <w:rsid w:val="002971EC"/>
    <w:rsid w:val="002973F3"/>
    <w:rsid w:val="002A0C43"/>
    <w:rsid w:val="002A1BB0"/>
    <w:rsid w:val="002A5EA8"/>
    <w:rsid w:val="002D2891"/>
    <w:rsid w:val="002D3FDE"/>
    <w:rsid w:val="002D40CE"/>
    <w:rsid w:val="002E1A34"/>
    <w:rsid w:val="002E2537"/>
    <w:rsid w:val="002E5089"/>
    <w:rsid w:val="002F4A16"/>
    <w:rsid w:val="00301013"/>
    <w:rsid w:val="00301A1E"/>
    <w:rsid w:val="00313146"/>
    <w:rsid w:val="00314CB2"/>
    <w:rsid w:val="003162E7"/>
    <w:rsid w:val="00327073"/>
    <w:rsid w:val="0033328E"/>
    <w:rsid w:val="00337835"/>
    <w:rsid w:val="00337A34"/>
    <w:rsid w:val="00340F00"/>
    <w:rsid w:val="003476CF"/>
    <w:rsid w:val="00354616"/>
    <w:rsid w:val="003605DE"/>
    <w:rsid w:val="00364361"/>
    <w:rsid w:val="003707D0"/>
    <w:rsid w:val="00372130"/>
    <w:rsid w:val="00372533"/>
    <w:rsid w:val="00385420"/>
    <w:rsid w:val="0038550A"/>
    <w:rsid w:val="00387F92"/>
    <w:rsid w:val="0039254F"/>
    <w:rsid w:val="0039757C"/>
    <w:rsid w:val="003A1E9B"/>
    <w:rsid w:val="003A45FD"/>
    <w:rsid w:val="003B056F"/>
    <w:rsid w:val="003C14ED"/>
    <w:rsid w:val="003C174B"/>
    <w:rsid w:val="003C1E90"/>
    <w:rsid w:val="003C34A4"/>
    <w:rsid w:val="003C5F49"/>
    <w:rsid w:val="003D24F6"/>
    <w:rsid w:val="003D3CA9"/>
    <w:rsid w:val="003D562A"/>
    <w:rsid w:val="003D66BB"/>
    <w:rsid w:val="003E32D9"/>
    <w:rsid w:val="003E38CB"/>
    <w:rsid w:val="003E66B2"/>
    <w:rsid w:val="003F0C0A"/>
    <w:rsid w:val="003F72EE"/>
    <w:rsid w:val="00400A9E"/>
    <w:rsid w:val="0040207E"/>
    <w:rsid w:val="004043E7"/>
    <w:rsid w:val="00405149"/>
    <w:rsid w:val="004060E9"/>
    <w:rsid w:val="00406EAD"/>
    <w:rsid w:val="00410A2D"/>
    <w:rsid w:val="004155EB"/>
    <w:rsid w:val="00420BB4"/>
    <w:rsid w:val="00420BEC"/>
    <w:rsid w:val="0042184E"/>
    <w:rsid w:val="0042273B"/>
    <w:rsid w:val="00422E31"/>
    <w:rsid w:val="00424FAF"/>
    <w:rsid w:val="004276FC"/>
    <w:rsid w:val="00431160"/>
    <w:rsid w:val="0043526D"/>
    <w:rsid w:val="00435E3F"/>
    <w:rsid w:val="004416E0"/>
    <w:rsid w:val="00441B53"/>
    <w:rsid w:val="00444640"/>
    <w:rsid w:val="00445022"/>
    <w:rsid w:val="00445A5A"/>
    <w:rsid w:val="00451728"/>
    <w:rsid w:val="0045441B"/>
    <w:rsid w:val="00454540"/>
    <w:rsid w:val="004547A7"/>
    <w:rsid w:val="00457B46"/>
    <w:rsid w:val="00460538"/>
    <w:rsid w:val="0046124E"/>
    <w:rsid w:val="00464D20"/>
    <w:rsid w:val="004654CB"/>
    <w:rsid w:val="00466C4A"/>
    <w:rsid w:val="0047165F"/>
    <w:rsid w:val="00474EA9"/>
    <w:rsid w:val="00482CE8"/>
    <w:rsid w:val="004871D9"/>
    <w:rsid w:val="004933DD"/>
    <w:rsid w:val="0049430C"/>
    <w:rsid w:val="004961DB"/>
    <w:rsid w:val="004A054E"/>
    <w:rsid w:val="004A14F3"/>
    <w:rsid w:val="004A5626"/>
    <w:rsid w:val="004B3515"/>
    <w:rsid w:val="004B3612"/>
    <w:rsid w:val="004B7DBD"/>
    <w:rsid w:val="004C2EE9"/>
    <w:rsid w:val="004C3E67"/>
    <w:rsid w:val="004D61F1"/>
    <w:rsid w:val="004D7A59"/>
    <w:rsid w:val="004D7B63"/>
    <w:rsid w:val="004E3F7C"/>
    <w:rsid w:val="004E4EC8"/>
    <w:rsid w:val="004E7AFE"/>
    <w:rsid w:val="004F777F"/>
    <w:rsid w:val="004F7DD0"/>
    <w:rsid w:val="005030BD"/>
    <w:rsid w:val="00503831"/>
    <w:rsid w:val="00504880"/>
    <w:rsid w:val="00504DD3"/>
    <w:rsid w:val="00504FB6"/>
    <w:rsid w:val="005059DD"/>
    <w:rsid w:val="00516A40"/>
    <w:rsid w:val="0051753D"/>
    <w:rsid w:val="0052005B"/>
    <w:rsid w:val="00523FC4"/>
    <w:rsid w:val="0052443C"/>
    <w:rsid w:val="005246B9"/>
    <w:rsid w:val="00526017"/>
    <w:rsid w:val="0052758A"/>
    <w:rsid w:val="0053039A"/>
    <w:rsid w:val="00530D3B"/>
    <w:rsid w:val="00531F97"/>
    <w:rsid w:val="00536726"/>
    <w:rsid w:val="00537638"/>
    <w:rsid w:val="005409C2"/>
    <w:rsid w:val="005417CD"/>
    <w:rsid w:val="00541BCF"/>
    <w:rsid w:val="0054695E"/>
    <w:rsid w:val="00546EF9"/>
    <w:rsid w:val="00547623"/>
    <w:rsid w:val="00547D78"/>
    <w:rsid w:val="005646F6"/>
    <w:rsid w:val="00564711"/>
    <w:rsid w:val="005654E2"/>
    <w:rsid w:val="00565508"/>
    <w:rsid w:val="00576567"/>
    <w:rsid w:val="005816C5"/>
    <w:rsid w:val="00582D6A"/>
    <w:rsid w:val="005A08A5"/>
    <w:rsid w:val="005A4D23"/>
    <w:rsid w:val="005A6027"/>
    <w:rsid w:val="005A620E"/>
    <w:rsid w:val="005A6242"/>
    <w:rsid w:val="005B067C"/>
    <w:rsid w:val="005B14AC"/>
    <w:rsid w:val="005B1B1C"/>
    <w:rsid w:val="005B47F5"/>
    <w:rsid w:val="005B7E46"/>
    <w:rsid w:val="005C15E8"/>
    <w:rsid w:val="005C18C4"/>
    <w:rsid w:val="005C4FB8"/>
    <w:rsid w:val="005D1FFE"/>
    <w:rsid w:val="005D5CF0"/>
    <w:rsid w:val="005E1EE1"/>
    <w:rsid w:val="005E1FF4"/>
    <w:rsid w:val="005E2853"/>
    <w:rsid w:val="005E3CC5"/>
    <w:rsid w:val="005E421C"/>
    <w:rsid w:val="005E6A32"/>
    <w:rsid w:val="005F581B"/>
    <w:rsid w:val="005F5E4E"/>
    <w:rsid w:val="006054D9"/>
    <w:rsid w:val="00606B94"/>
    <w:rsid w:val="00607C0C"/>
    <w:rsid w:val="00623759"/>
    <w:rsid w:val="00625759"/>
    <w:rsid w:val="00637B92"/>
    <w:rsid w:val="00641BD1"/>
    <w:rsid w:val="006438BC"/>
    <w:rsid w:val="00645709"/>
    <w:rsid w:val="006476B1"/>
    <w:rsid w:val="00650E75"/>
    <w:rsid w:val="00653B8D"/>
    <w:rsid w:val="00656940"/>
    <w:rsid w:val="0065694A"/>
    <w:rsid w:val="006602EE"/>
    <w:rsid w:val="00660945"/>
    <w:rsid w:val="006619CD"/>
    <w:rsid w:val="00671838"/>
    <w:rsid w:val="006757AE"/>
    <w:rsid w:val="006808F9"/>
    <w:rsid w:val="00681A79"/>
    <w:rsid w:val="006867CD"/>
    <w:rsid w:val="006A0607"/>
    <w:rsid w:val="006A06EF"/>
    <w:rsid w:val="006A342F"/>
    <w:rsid w:val="006B6CD0"/>
    <w:rsid w:val="006B747B"/>
    <w:rsid w:val="006C1904"/>
    <w:rsid w:val="006C32BC"/>
    <w:rsid w:val="006C5F32"/>
    <w:rsid w:val="006D0BA4"/>
    <w:rsid w:val="006D5D12"/>
    <w:rsid w:val="006D5DFD"/>
    <w:rsid w:val="006D5E0C"/>
    <w:rsid w:val="006D67D3"/>
    <w:rsid w:val="006D78C6"/>
    <w:rsid w:val="006E1103"/>
    <w:rsid w:val="006E3C0E"/>
    <w:rsid w:val="006E4C5C"/>
    <w:rsid w:val="006F00F6"/>
    <w:rsid w:val="006F2ED2"/>
    <w:rsid w:val="006F438B"/>
    <w:rsid w:val="006F598A"/>
    <w:rsid w:val="006F7163"/>
    <w:rsid w:val="006F79B3"/>
    <w:rsid w:val="006F79CE"/>
    <w:rsid w:val="00706707"/>
    <w:rsid w:val="007133C4"/>
    <w:rsid w:val="00731F6D"/>
    <w:rsid w:val="00732205"/>
    <w:rsid w:val="007348B1"/>
    <w:rsid w:val="00735F7F"/>
    <w:rsid w:val="00736382"/>
    <w:rsid w:val="007479C1"/>
    <w:rsid w:val="007511DD"/>
    <w:rsid w:val="00755D59"/>
    <w:rsid w:val="00762531"/>
    <w:rsid w:val="00762580"/>
    <w:rsid w:val="00766ADB"/>
    <w:rsid w:val="007738DA"/>
    <w:rsid w:val="0077511E"/>
    <w:rsid w:val="00780D6E"/>
    <w:rsid w:val="00782856"/>
    <w:rsid w:val="007841C3"/>
    <w:rsid w:val="00791110"/>
    <w:rsid w:val="00796C73"/>
    <w:rsid w:val="007A2282"/>
    <w:rsid w:val="007B4C9B"/>
    <w:rsid w:val="007B5DF7"/>
    <w:rsid w:val="007C0466"/>
    <w:rsid w:val="007C2848"/>
    <w:rsid w:val="007C2A66"/>
    <w:rsid w:val="007C326F"/>
    <w:rsid w:val="007C655F"/>
    <w:rsid w:val="007D460C"/>
    <w:rsid w:val="007F0402"/>
    <w:rsid w:val="007F0FB2"/>
    <w:rsid w:val="007F5D67"/>
    <w:rsid w:val="007F6815"/>
    <w:rsid w:val="00802D34"/>
    <w:rsid w:val="00804A00"/>
    <w:rsid w:val="008101F2"/>
    <w:rsid w:val="00810401"/>
    <w:rsid w:val="0082120C"/>
    <w:rsid w:val="00821C4C"/>
    <w:rsid w:val="00824C92"/>
    <w:rsid w:val="00826F69"/>
    <w:rsid w:val="00830D01"/>
    <w:rsid w:val="00831283"/>
    <w:rsid w:val="00831950"/>
    <w:rsid w:val="008378E6"/>
    <w:rsid w:val="00837A54"/>
    <w:rsid w:val="008409A6"/>
    <w:rsid w:val="00841622"/>
    <w:rsid w:val="00843122"/>
    <w:rsid w:val="00850BC4"/>
    <w:rsid w:val="00852A71"/>
    <w:rsid w:val="00854733"/>
    <w:rsid w:val="00854A3D"/>
    <w:rsid w:val="008564C0"/>
    <w:rsid w:val="0086267C"/>
    <w:rsid w:val="008634AB"/>
    <w:rsid w:val="0086519F"/>
    <w:rsid w:val="008667F7"/>
    <w:rsid w:val="00867B70"/>
    <w:rsid w:val="00871BA0"/>
    <w:rsid w:val="008720C3"/>
    <w:rsid w:val="00883D38"/>
    <w:rsid w:val="00884C33"/>
    <w:rsid w:val="00891D2D"/>
    <w:rsid w:val="0089334E"/>
    <w:rsid w:val="0089424D"/>
    <w:rsid w:val="008A0E63"/>
    <w:rsid w:val="008A2B21"/>
    <w:rsid w:val="008A3558"/>
    <w:rsid w:val="008A3D39"/>
    <w:rsid w:val="008A49E1"/>
    <w:rsid w:val="008C14F0"/>
    <w:rsid w:val="008C5005"/>
    <w:rsid w:val="008C560D"/>
    <w:rsid w:val="008C7A3A"/>
    <w:rsid w:val="008D37A5"/>
    <w:rsid w:val="008D3E6C"/>
    <w:rsid w:val="008D6C56"/>
    <w:rsid w:val="008E0125"/>
    <w:rsid w:val="008E0B4E"/>
    <w:rsid w:val="008F22E1"/>
    <w:rsid w:val="009000AE"/>
    <w:rsid w:val="009015EC"/>
    <w:rsid w:val="0090430D"/>
    <w:rsid w:val="00905D31"/>
    <w:rsid w:val="00911F37"/>
    <w:rsid w:val="009165E4"/>
    <w:rsid w:val="00925C77"/>
    <w:rsid w:val="00930451"/>
    <w:rsid w:val="00930A4C"/>
    <w:rsid w:val="00936DDB"/>
    <w:rsid w:val="00940175"/>
    <w:rsid w:val="00943FC5"/>
    <w:rsid w:val="00960F5F"/>
    <w:rsid w:val="00962155"/>
    <w:rsid w:val="009658B8"/>
    <w:rsid w:val="00970B89"/>
    <w:rsid w:val="00971727"/>
    <w:rsid w:val="009757B8"/>
    <w:rsid w:val="00975F53"/>
    <w:rsid w:val="00976C8F"/>
    <w:rsid w:val="00980E6F"/>
    <w:rsid w:val="00985FE8"/>
    <w:rsid w:val="0098753A"/>
    <w:rsid w:val="00987FB6"/>
    <w:rsid w:val="00990C9A"/>
    <w:rsid w:val="00992104"/>
    <w:rsid w:val="00992AB3"/>
    <w:rsid w:val="0099424F"/>
    <w:rsid w:val="009967D4"/>
    <w:rsid w:val="009A63A7"/>
    <w:rsid w:val="009B1A86"/>
    <w:rsid w:val="009B221D"/>
    <w:rsid w:val="009B3E2C"/>
    <w:rsid w:val="009B3EC9"/>
    <w:rsid w:val="009B5077"/>
    <w:rsid w:val="009B6A06"/>
    <w:rsid w:val="009B73B8"/>
    <w:rsid w:val="009C0510"/>
    <w:rsid w:val="009D202A"/>
    <w:rsid w:val="009E3541"/>
    <w:rsid w:val="009E3576"/>
    <w:rsid w:val="009E3CF8"/>
    <w:rsid w:val="009E6ED5"/>
    <w:rsid w:val="009F01EC"/>
    <w:rsid w:val="009F0CD1"/>
    <w:rsid w:val="00A1328D"/>
    <w:rsid w:val="00A13C75"/>
    <w:rsid w:val="00A1616B"/>
    <w:rsid w:val="00A21082"/>
    <w:rsid w:val="00A22AD9"/>
    <w:rsid w:val="00A22E3D"/>
    <w:rsid w:val="00A23B82"/>
    <w:rsid w:val="00A23CB3"/>
    <w:rsid w:val="00A23DA5"/>
    <w:rsid w:val="00A25BA3"/>
    <w:rsid w:val="00A26E92"/>
    <w:rsid w:val="00A4589A"/>
    <w:rsid w:val="00A45C32"/>
    <w:rsid w:val="00A46934"/>
    <w:rsid w:val="00A504D0"/>
    <w:rsid w:val="00A61F4E"/>
    <w:rsid w:val="00A62ED3"/>
    <w:rsid w:val="00A66A25"/>
    <w:rsid w:val="00A70158"/>
    <w:rsid w:val="00A72F52"/>
    <w:rsid w:val="00A76340"/>
    <w:rsid w:val="00A81BEB"/>
    <w:rsid w:val="00A81E32"/>
    <w:rsid w:val="00A84DC6"/>
    <w:rsid w:val="00A87107"/>
    <w:rsid w:val="00A87A0F"/>
    <w:rsid w:val="00A92846"/>
    <w:rsid w:val="00A92C2B"/>
    <w:rsid w:val="00A95A6E"/>
    <w:rsid w:val="00A9657B"/>
    <w:rsid w:val="00A96EF5"/>
    <w:rsid w:val="00AA2FCB"/>
    <w:rsid w:val="00AA4DE9"/>
    <w:rsid w:val="00AA6C06"/>
    <w:rsid w:val="00AB2846"/>
    <w:rsid w:val="00AB7521"/>
    <w:rsid w:val="00AC0DD5"/>
    <w:rsid w:val="00AC67C7"/>
    <w:rsid w:val="00AC72B8"/>
    <w:rsid w:val="00AC74C6"/>
    <w:rsid w:val="00AD259E"/>
    <w:rsid w:val="00AD6178"/>
    <w:rsid w:val="00AF1DEF"/>
    <w:rsid w:val="00AF29A7"/>
    <w:rsid w:val="00AF2E22"/>
    <w:rsid w:val="00AF62F4"/>
    <w:rsid w:val="00AF789D"/>
    <w:rsid w:val="00B02896"/>
    <w:rsid w:val="00B040B0"/>
    <w:rsid w:val="00B06ECA"/>
    <w:rsid w:val="00B11ECD"/>
    <w:rsid w:val="00B11F17"/>
    <w:rsid w:val="00B13985"/>
    <w:rsid w:val="00B149AA"/>
    <w:rsid w:val="00B16891"/>
    <w:rsid w:val="00B16E70"/>
    <w:rsid w:val="00B2131C"/>
    <w:rsid w:val="00B21A2C"/>
    <w:rsid w:val="00B233E5"/>
    <w:rsid w:val="00B30D06"/>
    <w:rsid w:val="00B322F8"/>
    <w:rsid w:val="00B36296"/>
    <w:rsid w:val="00B3690A"/>
    <w:rsid w:val="00B3774C"/>
    <w:rsid w:val="00B405D0"/>
    <w:rsid w:val="00B45B04"/>
    <w:rsid w:val="00B45CF7"/>
    <w:rsid w:val="00B57302"/>
    <w:rsid w:val="00B63626"/>
    <w:rsid w:val="00B64BAA"/>
    <w:rsid w:val="00B659A8"/>
    <w:rsid w:val="00B72D92"/>
    <w:rsid w:val="00B84142"/>
    <w:rsid w:val="00B8451D"/>
    <w:rsid w:val="00B869D6"/>
    <w:rsid w:val="00B87A73"/>
    <w:rsid w:val="00B96DB3"/>
    <w:rsid w:val="00BA3B8D"/>
    <w:rsid w:val="00BB1782"/>
    <w:rsid w:val="00BB225E"/>
    <w:rsid w:val="00BB2397"/>
    <w:rsid w:val="00BB28DD"/>
    <w:rsid w:val="00BB3175"/>
    <w:rsid w:val="00BB64B8"/>
    <w:rsid w:val="00BC0705"/>
    <w:rsid w:val="00BC1407"/>
    <w:rsid w:val="00BC17BE"/>
    <w:rsid w:val="00BC5096"/>
    <w:rsid w:val="00BD5B75"/>
    <w:rsid w:val="00BD7A77"/>
    <w:rsid w:val="00BE39A8"/>
    <w:rsid w:val="00BE418B"/>
    <w:rsid w:val="00BF0317"/>
    <w:rsid w:val="00BF0978"/>
    <w:rsid w:val="00BF1027"/>
    <w:rsid w:val="00BF10DD"/>
    <w:rsid w:val="00BF21FD"/>
    <w:rsid w:val="00BF5F7A"/>
    <w:rsid w:val="00BF72C5"/>
    <w:rsid w:val="00C0114B"/>
    <w:rsid w:val="00C064FB"/>
    <w:rsid w:val="00C10CC2"/>
    <w:rsid w:val="00C15E11"/>
    <w:rsid w:val="00C21AF5"/>
    <w:rsid w:val="00C25E15"/>
    <w:rsid w:val="00C436CD"/>
    <w:rsid w:val="00C456B6"/>
    <w:rsid w:val="00C4592D"/>
    <w:rsid w:val="00C45C54"/>
    <w:rsid w:val="00C46EF4"/>
    <w:rsid w:val="00C51845"/>
    <w:rsid w:val="00C52246"/>
    <w:rsid w:val="00C6200C"/>
    <w:rsid w:val="00C637E1"/>
    <w:rsid w:val="00C6388C"/>
    <w:rsid w:val="00C63B1E"/>
    <w:rsid w:val="00C72C41"/>
    <w:rsid w:val="00C731B5"/>
    <w:rsid w:val="00C8423B"/>
    <w:rsid w:val="00C85E1E"/>
    <w:rsid w:val="00C879F0"/>
    <w:rsid w:val="00C93887"/>
    <w:rsid w:val="00C94016"/>
    <w:rsid w:val="00C94EDE"/>
    <w:rsid w:val="00C96210"/>
    <w:rsid w:val="00CA033D"/>
    <w:rsid w:val="00CA2F95"/>
    <w:rsid w:val="00CA332D"/>
    <w:rsid w:val="00CA5CD9"/>
    <w:rsid w:val="00CB5E49"/>
    <w:rsid w:val="00CC058D"/>
    <w:rsid w:val="00CC1183"/>
    <w:rsid w:val="00CC1FE3"/>
    <w:rsid w:val="00CC201D"/>
    <w:rsid w:val="00CC3D29"/>
    <w:rsid w:val="00CC562C"/>
    <w:rsid w:val="00CC59FF"/>
    <w:rsid w:val="00CC7829"/>
    <w:rsid w:val="00CD1C29"/>
    <w:rsid w:val="00CD58F3"/>
    <w:rsid w:val="00CD7153"/>
    <w:rsid w:val="00CE1260"/>
    <w:rsid w:val="00CE6A0D"/>
    <w:rsid w:val="00CE7700"/>
    <w:rsid w:val="00D045D9"/>
    <w:rsid w:val="00D04C79"/>
    <w:rsid w:val="00D0709F"/>
    <w:rsid w:val="00D1037C"/>
    <w:rsid w:val="00D14B0E"/>
    <w:rsid w:val="00D2315A"/>
    <w:rsid w:val="00D24B67"/>
    <w:rsid w:val="00D302FF"/>
    <w:rsid w:val="00D3058A"/>
    <w:rsid w:val="00D305B4"/>
    <w:rsid w:val="00D3264A"/>
    <w:rsid w:val="00D35968"/>
    <w:rsid w:val="00D37A99"/>
    <w:rsid w:val="00D37C5B"/>
    <w:rsid w:val="00D40C05"/>
    <w:rsid w:val="00D45167"/>
    <w:rsid w:val="00D73991"/>
    <w:rsid w:val="00D73D08"/>
    <w:rsid w:val="00D80400"/>
    <w:rsid w:val="00D819C9"/>
    <w:rsid w:val="00D872E9"/>
    <w:rsid w:val="00D95859"/>
    <w:rsid w:val="00DA34AA"/>
    <w:rsid w:val="00DB4F4A"/>
    <w:rsid w:val="00DB591A"/>
    <w:rsid w:val="00DC341F"/>
    <w:rsid w:val="00DC543A"/>
    <w:rsid w:val="00DC6358"/>
    <w:rsid w:val="00DD34F3"/>
    <w:rsid w:val="00DE5287"/>
    <w:rsid w:val="00DE6629"/>
    <w:rsid w:val="00DE6C98"/>
    <w:rsid w:val="00DE7A04"/>
    <w:rsid w:val="00DF248A"/>
    <w:rsid w:val="00DF2681"/>
    <w:rsid w:val="00DF7D3D"/>
    <w:rsid w:val="00E00991"/>
    <w:rsid w:val="00E00DC4"/>
    <w:rsid w:val="00E01F57"/>
    <w:rsid w:val="00E024BC"/>
    <w:rsid w:val="00E044D8"/>
    <w:rsid w:val="00E05400"/>
    <w:rsid w:val="00E07B5C"/>
    <w:rsid w:val="00E10A3E"/>
    <w:rsid w:val="00E16285"/>
    <w:rsid w:val="00E17334"/>
    <w:rsid w:val="00E234E7"/>
    <w:rsid w:val="00E239B3"/>
    <w:rsid w:val="00E34D12"/>
    <w:rsid w:val="00E356B0"/>
    <w:rsid w:val="00E37538"/>
    <w:rsid w:val="00E37E34"/>
    <w:rsid w:val="00E40B2B"/>
    <w:rsid w:val="00E46093"/>
    <w:rsid w:val="00E50540"/>
    <w:rsid w:val="00E52505"/>
    <w:rsid w:val="00E546AB"/>
    <w:rsid w:val="00E60850"/>
    <w:rsid w:val="00E61A62"/>
    <w:rsid w:val="00E6792B"/>
    <w:rsid w:val="00E71BDA"/>
    <w:rsid w:val="00E770AF"/>
    <w:rsid w:val="00E80393"/>
    <w:rsid w:val="00E8074D"/>
    <w:rsid w:val="00E81C79"/>
    <w:rsid w:val="00E8656E"/>
    <w:rsid w:val="00E86FCD"/>
    <w:rsid w:val="00E976DD"/>
    <w:rsid w:val="00EA5A9D"/>
    <w:rsid w:val="00EA7DDC"/>
    <w:rsid w:val="00EB55AF"/>
    <w:rsid w:val="00EC2793"/>
    <w:rsid w:val="00EC3BDC"/>
    <w:rsid w:val="00EC41C6"/>
    <w:rsid w:val="00ED3D2B"/>
    <w:rsid w:val="00ED4E7C"/>
    <w:rsid w:val="00EE3228"/>
    <w:rsid w:val="00EE6165"/>
    <w:rsid w:val="00EF0A2B"/>
    <w:rsid w:val="00EF35B3"/>
    <w:rsid w:val="00EF3835"/>
    <w:rsid w:val="00EF7FB4"/>
    <w:rsid w:val="00F03F33"/>
    <w:rsid w:val="00F072EE"/>
    <w:rsid w:val="00F10A80"/>
    <w:rsid w:val="00F17442"/>
    <w:rsid w:val="00F1793C"/>
    <w:rsid w:val="00F24797"/>
    <w:rsid w:val="00F25D55"/>
    <w:rsid w:val="00F311E8"/>
    <w:rsid w:val="00F31D09"/>
    <w:rsid w:val="00F35837"/>
    <w:rsid w:val="00F36728"/>
    <w:rsid w:val="00F37101"/>
    <w:rsid w:val="00F3791A"/>
    <w:rsid w:val="00F407B0"/>
    <w:rsid w:val="00F4545B"/>
    <w:rsid w:val="00F518F1"/>
    <w:rsid w:val="00F51C38"/>
    <w:rsid w:val="00F52144"/>
    <w:rsid w:val="00F528C8"/>
    <w:rsid w:val="00F556D1"/>
    <w:rsid w:val="00F56735"/>
    <w:rsid w:val="00F620C3"/>
    <w:rsid w:val="00F637A5"/>
    <w:rsid w:val="00F64286"/>
    <w:rsid w:val="00F65EC6"/>
    <w:rsid w:val="00F67844"/>
    <w:rsid w:val="00F75C00"/>
    <w:rsid w:val="00F80773"/>
    <w:rsid w:val="00F81A63"/>
    <w:rsid w:val="00F8678E"/>
    <w:rsid w:val="00F912C8"/>
    <w:rsid w:val="00F91F48"/>
    <w:rsid w:val="00F92FAD"/>
    <w:rsid w:val="00F93037"/>
    <w:rsid w:val="00F94F97"/>
    <w:rsid w:val="00FA1B76"/>
    <w:rsid w:val="00FA2605"/>
    <w:rsid w:val="00FA2801"/>
    <w:rsid w:val="00FA4BAC"/>
    <w:rsid w:val="00FA4C99"/>
    <w:rsid w:val="00FA680F"/>
    <w:rsid w:val="00FB027C"/>
    <w:rsid w:val="00FB217B"/>
    <w:rsid w:val="00FB3069"/>
    <w:rsid w:val="00FB4B0D"/>
    <w:rsid w:val="00FB52AE"/>
    <w:rsid w:val="00FC0790"/>
    <w:rsid w:val="00FC2E24"/>
    <w:rsid w:val="00FC3053"/>
    <w:rsid w:val="00FC3771"/>
    <w:rsid w:val="00FC5546"/>
    <w:rsid w:val="00FC5C69"/>
    <w:rsid w:val="00FD42C1"/>
    <w:rsid w:val="00FD61DE"/>
    <w:rsid w:val="00FE5E42"/>
    <w:rsid w:val="00FF33AB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0A22B0"/>
  <w15:docId w15:val="{84A5E739-535C-46F4-941D-3E263B1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4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  <w:style w:type="table" w:styleId="TableGrid">
    <w:name w:val="Table Grid"/>
    <w:basedOn w:val="TableNormal"/>
    <w:rsid w:val="00301A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5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1B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E2718"/>
  </w:style>
  <w:style w:type="paragraph" w:styleId="BlockText">
    <w:name w:val="Block Text"/>
    <w:basedOn w:val="Normal"/>
    <w:uiPriority w:val="99"/>
    <w:semiHidden/>
    <w:rsid w:val="003D562A"/>
    <w:pPr>
      <w:bidi w:val="0"/>
      <w:ind w:left="-284" w:right="-338"/>
      <w:jc w:val="lowKashida"/>
    </w:pPr>
    <w:rPr>
      <w:rFonts w:cs="Traditional Arabic"/>
    </w:rPr>
  </w:style>
  <w:style w:type="paragraph" w:styleId="Title">
    <w:name w:val="Title"/>
    <w:basedOn w:val="Normal"/>
    <w:link w:val="TitleChar"/>
    <w:qFormat/>
    <w:rsid w:val="003D562A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3D562A"/>
    <w:rPr>
      <w:rFonts w:cs="Simplified Arabic"/>
      <w:b/>
      <w:bCs/>
      <w:sz w:val="24"/>
      <w:szCs w:val="24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57656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656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6Char">
    <w:name w:val="Heading 6 Char"/>
    <w:basedOn w:val="DefaultParagraphFont"/>
    <w:link w:val="Heading6"/>
    <w:rsid w:val="00F67844"/>
    <w:rPr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4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9089384660262"/>
          <c:y val="5.4624943099824706E-2"/>
          <c:w val="0.80923581667676658"/>
          <c:h val="0.78556759740825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B00-46AB-8AE4-0A086368F07B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EB00-46AB-8AE4-0A086368F07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B00-46AB-8AE4-0A086368F07B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State of Palestine </c:v>
                </c:pt>
                <c:pt idx="1">
                  <c:v>1948 Territory</c:v>
                </c:pt>
                <c:pt idx="2">
                  <c:v>Arab Countries</c:v>
                </c:pt>
                <c:pt idx="3">
                  <c:v>Foreign Countries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5483450</c:v>
                </c:pt>
                <c:pt idx="1">
                  <c:v>1726442</c:v>
                </c:pt>
                <c:pt idx="2">
                  <c:v>6502781</c:v>
                </c:pt>
                <c:pt idx="3">
                  <c:v>766391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00-46AB-8AE4-0A086368F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32928"/>
        <c:axId val="133934464"/>
      </c:barChart>
      <c:catAx>
        <c:axId val="1339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34464"/>
        <c:crosses val="autoZero"/>
        <c:auto val="1"/>
        <c:lblAlgn val="ctr"/>
        <c:lblOffset val="100"/>
        <c:noMultiLvlLbl val="0"/>
      </c:catAx>
      <c:valAx>
        <c:axId val="133934464"/>
        <c:scaling>
          <c:orientation val="minMax"/>
        </c:scaling>
        <c:delete val="0"/>
        <c:axPos val="l"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3292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2620633959216705E-3"/>
                <c:y val="0.30479542998301684"/>
              </c:manualLayout>
            </c:layout>
            <c:tx>
              <c:rich>
                <a:bodyPr/>
                <a:lstStyle/>
                <a:p>
                  <a:pPr>
                    <a:defRPr sz="800">
                      <a:latin typeface="Arial" pitchFamily="34" charset="0"/>
                      <a:cs typeface="Arial" pitchFamily="34" charset="0"/>
                    </a:defRPr>
                  </a:pPr>
                  <a:r>
                    <a:rPr lang="en-US" sz="800">
                      <a:latin typeface="Arial" pitchFamily="34" charset="0"/>
                      <a:cs typeface="Arial" pitchFamily="34" charset="0"/>
                    </a:rPr>
                    <a:t>Million</a:t>
                  </a:r>
                  <a:endParaRPr lang="ar-SA" sz="800">
                    <a:latin typeface="Arial" pitchFamily="34" charset="0"/>
                    <a:cs typeface="Arial" pitchFamily="34" charset="0"/>
                  </a:endParaRPr>
                </a:p>
              </c:rich>
            </c:tx>
          </c:dispUnitsLbl>
        </c:dispUnits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7259754295423"/>
          <c:y val="0.17970930520477393"/>
          <c:w val="0.81556427507031948"/>
          <c:h val="0.70918735925763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B6F-4AA8-A242-C03A30CFD6FD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B6F-4AA8-A242-C03A30CFD6FD}"/>
              </c:ext>
            </c:extLst>
          </c:dPt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0.0</c:formatCode>
                <c:ptCount val="2"/>
                <c:pt idx="0" formatCode="General">
                  <c:v>5.8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6F-4AA8-A242-C03A30CFD6F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5.5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6F-4AA8-A242-C03A30CFD6F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invertIfNegative val="0"/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6.5</c:v>
                </c:pt>
                <c:pt idx="1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B6F-4AA8-A242-C03A30CFD6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642656"/>
        <c:axId val="1"/>
      </c:barChart>
      <c:catAx>
        <c:axId val="17764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764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93625314003133"/>
          <c:y val="4.0806970134650331E-2"/>
          <c:w val="0.68685073164137744"/>
          <c:h val="0.10939508301107333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564413823272994E-2"/>
          <c:y val="4.4057617797775513E-2"/>
          <c:w val="0.88248651210264872"/>
          <c:h val="0.7091829650325965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3.2407407407407413E-2"/>
                  <c:y val="-4.580152671755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C9-4201-BB9B-CAC5EBFF0470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C9-4201-BB9B-CAC5EBFF04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Sheet1!$A$2:$A$24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Sheet1!$B$2:$B$24</c:f>
              <c:numCache>
                <c:formatCode>0.0</c:formatCode>
                <c:ptCount val="23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  <c:pt idx="21">
                  <c:v>1.2</c:v>
                </c:pt>
                <c:pt idx="2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C9-4201-BB9B-CAC5EBFF04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5462962962962962E-2"/>
                  <c:y val="-5.5979643765903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C9-4201-BB9B-CAC5EBFF0470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C9-4201-BB9B-CAC5EBFF04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Sheet1!$A$2:$A$24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Sheet1!$C$2:$C$24</c:f>
              <c:numCache>
                <c:formatCode>0.0</c:formatCode>
                <c:ptCount val="23"/>
                <c:pt idx="0">
                  <c:v>16.100000000000001</c:v>
                </c:pt>
                <c:pt idx="1">
                  <c:v>15</c:v>
                </c:pt>
                <c:pt idx="2">
                  <c:v>13.6</c:v>
                </c:pt>
                <c:pt idx="3">
                  <c:v>12.6</c:v>
                </c:pt>
                <c:pt idx="4">
                  <c:v>12</c:v>
                </c:pt>
                <c:pt idx="5">
                  <c:v>11.1</c:v>
                </c:pt>
                <c:pt idx="6">
                  <c:v>10.200000000000001</c:v>
                </c:pt>
                <c:pt idx="7">
                  <c:v>9.5</c:v>
                </c:pt>
                <c:pt idx="8">
                  <c:v>9.1</c:v>
                </c:pt>
                <c:pt idx="9">
                  <c:v>8.3000000000000007</c:v>
                </c:pt>
                <c:pt idx="10">
                  <c:v>7.8</c:v>
                </c:pt>
                <c:pt idx="11">
                  <c:v>7.4</c:v>
                </c:pt>
                <c:pt idx="12">
                  <c:v>6.4</c:v>
                </c:pt>
                <c:pt idx="13">
                  <c:v>5.9</c:v>
                </c:pt>
                <c:pt idx="14">
                  <c:v>5.6</c:v>
                </c:pt>
                <c:pt idx="15">
                  <c:v>5.0999999999999996</c:v>
                </c:pt>
                <c:pt idx="16">
                  <c:v>4.8</c:v>
                </c:pt>
                <c:pt idx="17">
                  <c:v>5</c:v>
                </c:pt>
                <c:pt idx="18">
                  <c:v>4.3</c:v>
                </c:pt>
                <c:pt idx="19">
                  <c:v>4.0999999999999996</c:v>
                </c:pt>
                <c:pt idx="20">
                  <c:v>3.8</c:v>
                </c:pt>
                <c:pt idx="21">
                  <c:v>3.5</c:v>
                </c:pt>
                <c:pt idx="22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DC9-4201-BB9B-CAC5EBFF0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918400"/>
        <c:axId val="105729408"/>
      </c:lineChart>
      <c:catAx>
        <c:axId val="9891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5729408"/>
        <c:crosses val="autoZero"/>
        <c:auto val="1"/>
        <c:lblAlgn val="ctr"/>
        <c:lblOffset val="100"/>
        <c:noMultiLvlLbl val="0"/>
      </c:catAx>
      <c:valAx>
        <c:axId val="10572940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91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349537037037065"/>
          <c:y val="0.17030589926259221"/>
          <c:w val="0.29057870370370642"/>
          <c:h val="9.5896137982752205E-2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51961993989995"/>
          <c:y val="4.6431359846476623E-2"/>
          <c:w val="0.86375221920296241"/>
          <c:h val="0.8244386621909375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5.8203400968200002E-2"/>
                  <c:y val="-7.1149220337981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8B-4D5A-9E6F-6CD4495691F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8B-4D5A-9E6F-6CD4495691F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8B-4D5A-9E6F-6CD4495691F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8B-4D5A-9E6F-6CD4495691F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8B-4D5A-9E6F-6CD4495691F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8B-4D5A-9E6F-6CD4495691F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8B-4D5A-9E6F-6CD4495691F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 formatCode="0.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  <c:pt idx="5">
                  <c:v>25.9</c:v>
                </c:pt>
                <c:pt idx="6">
                  <c:v>26.4</c:v>
                </c:pt>
                <c:pt idx="7">
                  <c:v>24.4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28B-4D5A-9E6F-6CD4495691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6.2680585658061561E-2"/>
                  <c:y val="9.055355315743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8B-4D5A-9E6F-6CD4495691F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8B-4D5A-9E6F-6CD4495691F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8B-4D5A-9E6F-6CD4495691F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8B-4D5A-9E6F-6CD4495691F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8B-4D5A-9E6F-6CD4495691F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8B-4D5A-9E6F-6CD4495691F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8B-4D5A-9E6F-6CD4495691F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  <c:pt idx="7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28B-4D5A-9E6F-6CD4495691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B28B-4D5A-9E6F-6CD4495691F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28B-4D5A-9E6F-6CD4495691F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28B-4D5A-9E6F-6CD4495691F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28B-4D5A-9E6F-6CD4495691F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28B-4D5A-9E6F-6CD4495691F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28B-4D5A-9E6F-6CD4495691F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28B-4D5A-9E6F-6CD4495691F8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  <c:pt idx="7">
                  <c:v>45.3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B28B-4D5A-9E6F-6CD449569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25208"/>
        <c:axId val="1"/>
      </c:lineChart>
      <c:catAx>
        <c:axId val="183625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5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83625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36640869570105"/>
          <c:y val="3.8813005517167494E-2"/>
          <c:w val="0.74074940846526938"/>
          <c:h val="0.10571321441962614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D10C1-A76B-489B-9E01-97E39C86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Indeed, demographic</vt:lpstr>
      <vt:lpstr>Indeed, demographic</vt:lpstr>
    </vt:vector>
  </TitlesOfParts>
  <Company>marsel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Hadeel Badran</cp:lastModifiedBy>
  <cp:revision>2</cp:revision>
  <cp:lastPrinted>2023-07-10T07:09:00Z</cp:lastPrinted>
  <dcterms:created xsi:type="dcterms:W3CDTF">2023-07-10T07:10:00Z</dcterms:created>
  <dcterms:modified xsi:type="dcterms:W3CDTF">2023-07-10T07:10:00Z</dcterms:modified>
</cp:coreProperties>
</file>