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F0" w:rsidRPr="00947A2B" w:rsidRDefault="008021F0" w:rsidP="00947A2B">
      <w:pPr>
        <w:bidi w:val="0"/>
        <w:outlineLvl w:val="0"/>
        <w:rPr>
          <w:rFonts w:asciiTheme="majorBidi" w:hAnsiTheme="majorBidi" w:cstheme="majorBidi"/>
          <w:b/>
          <w:bCs/>
          <w:sz w:val="26"/>
          <w:szCs w:val="26"/>
          <w:rtl/>
        </w:rPr>
      </w:pPr>
    </w:p>
    <w:p w:rsidR="00947A2B" w:rsidRPr="00FB76DF" w:rsidRDefault="00947A2B" w:rsidP="00947A2B">
      <w:pPr>
        <w:pStyle w:val="Heading1"/>
        <w:bidi w:val="0"/>
        <w:jc w:val="center"/>
        <w:rPr>
          <w:sz w:val="32"/>
          <w:szCs w:val="32"/>
        </w:rPr>
      </w:pPr>
      <w:r w:rsidRPr="00FB76DF">
        <w:rPr>
          <w:color w:val="000000"/>
          <w:sz w:val="32"/>
          <w:szCs w:val="32"/>
        </w:rPr>
        <w:t>Palestinian Central Bureau of Statistics (PCBS)</w:t>
      </w:r>
    </w:p>
    <w:p w:rsidR="00947A2B" w:rsidRPr="00FB76DF" w:rsidRDefault="00947A2B" w:rsidP="00947A2B">
      <w:pPr>
        <w:bidi w:val="0"/>
        <w:jc w:val="center"/>
        <w:rPr>
          <w:rFonts w:eastAsiaTheme="minorHAnsi"/>
          <w:sz w:val="16"/>
          <w:szCs w:val="16"/>
          <w:rtl/>
        </w:rPr>
      </w:pPr>
      <w:r w:rsidRPr="00FB76DF">
        <w:rPr>
          <w:sz w:val="16"/>
          <w:szCs w:val="16"/>
        </w:rPr>
        <w:t> </w:t>
      </w:r>
    </w:p>
    <w:p w:rsidR="00947A2B" w:rsidRPr="00FB76DF" w:rsidRDefault="00947A2B" w:rsidP="00947A2B">
      <w:pPr>
        <w:bidi w:val="0"/>
        <w:jc w:val="center"/>
        <w:rPr>
          <w:b/>
          <w:bCs/>
          <w:sz w:val="28"/>
          <w:szCs w:val="28"/>
        </w:rPr>
      </w:pPr>
      <w:r w:rsidRPr="00FB76DF">
        <w:rPr>
          <w:b/>
          <w:bCs/>
          <w:sz w:val="28"/>
          <w:szCs w:val="28"/>
        </w:rPr>
        <w:t xml:space="preserve">Industrial Production Index (IPI) in Palestine During </w:t>
      </w:r>
      <w:r>
        <w:rPr>
          <w:rFonts w:hint="cs"/>
          <w:b/>
          <w:bCs/>
          <w:sz w:val="28"/>
          <w:szCs w:val="28"/>
          <w:rtl/>
        </w:rPr>
        <w:t>2020</w:t>
      </w:r>
      <w:r w:rsidRPr="00FB76DF">
        <w:rPr>
          <w:b/>
          <w:bCs/>
          <w:sz w:val="28"/>
          <w:szCs w:val="28"/>
        </w:rPr>
        <w:t>&amp;</w:t>
      </w:r>
      <w:r>
        <w:rPr>
          <w:b/>
          <w:bCs/>
          <w:sz w:val="28"/>
          <w:szCs w:val="28"/>
        </w:rPr>
        <w:t xml:space="preserve"> </w:t>
      </w:r>
      <w:r w:rsidRPr="00FB76DF">
        <w:rPr>
          <w:b/>
          <w:bCs/>
          <w:sz w:val="28"/>
          <w:szCs w:val="28"/>
        </w:rPr>
        <w:t>During, 12/</w:t>
      </w:r>
      <w:r>
        <w:rPr>
          <w:rFonts w:hint="cs"/>
          <w:b/>
          <w:bCs/>
          <w:sz w:val="28"/>
          <w:szCs w:val="28"/>
          <w:rtl/>
        </w:rPr>
        <w:t>2020</w:t>
      </w:r>
    </w:p>
    <w:p w:rsidR="00947A2B" w:rsidRPr="00947A2B" w:rsidRDefault="00947A2B" w:rsidP="00947A2B">
      <w:pPr>
        <w:bidi w:val="0"/>
        <w:rPr>
          <w:b/>
          <w:bCs/>
          <w:sz w:val="16"/>
          <w:szCs w:val="16"/>
        </w:rPr>
      </w:pPr>
      <w:r w:rsidRPr="00FB76DF">
        <w:rPr>
          <w:b/>
          <w:bCs/>
          <w:sz w:val="28"/>
          <w:szCs w:val="28"/>
        </w:rPr>
        <w:t> </w:t>
      </w:r>
      <w:bookmarkStart w:id="0" w:name="_GoBack"/>
      <w:bookmarkEnd w:id="0"/>
    </w:p>
    <w:p w:rsidR="00C157FD" w:rsidRPr="00947A2B" w:rsidRDefault="00152C46" w:rsidP="00947A2B">
      <w:pPr>
        <w:bidi w:val="0"/>
        <w:jc w:val="both"/>
        <w:outlineLvl w:val="0"/>
        <w:rPr>
          <w:rFonts w:asciiTheme="majorBidi" w:hAnsiTheme="majorBidi" w:cstheme="majorBidi"/>
          <w:b/>
          <w:bCs/>
          <w:sz w:val="28"/>
          <w:szCs w:val="28"/>
        </w:rPr>
      </w:pPr>
      <w:r w:rsidRPr="00947A2B">
        <w:rPr>
          <w:rFonts w:asciiTheme="majorBidi" w:hAnsiTheme="majorBidi" w:cstheme="majorBidi"/>
          <w:b/>
          <w:bCs/>
          <w:sz w:val="28"/>
          <w:szCs w:val="28"/>
        </w:rPr>
        <w:t xml:space="preserve">Sharp </w:t>
      </w:r>
      <w:r w:rsidR="00DA0F7E" w:rsidRPr="00947A2B">
        <w:rPr>
          <w:rFonts w:asciiTheme="majorBidi" w:hAnsiTheme="majorBidi" w:cstheme="majorBidi"/>
          <w:b/>
          <w:bCs/>
          <w:sz w:val="28"/>
          <w:szCs w:val="28"/>
        </w:rPr>
        <w:t>Decrease</w:t>
      </w:r>
      <w:r w:rsidR="00C157FD" w:rsidRPr="00947A2B">
        <w:rPr>
          <w:rFonts w:asciiTheme="majorBidi" w:hAnsiTheme="majorBidi" w:cstheme="majorBidi"/>
          <w:b/>
          <w:bCs/>
          <w:sz w:val="28"/>
          <w:szCs w:val="28"/>
        </w:rPr>
        <w:t xml:space="preserve"> in the Industrial Production Index (IPI) in Palestine</w:t>
      </w:r>
      <w:r w:rsidR="00C157FD" w:rsidRPr="00947A2B">
        <w:rPr>
          <w:rFonts w:asciiTheme="majorBidi" w:hAnsiTheme="majorBidi" w:cstheme="majorBidi"/>
          <w:b/>
          <w:bCs/>
          <w:kern w:val="36"/>
          <w:sz w:val="28"/>
          <w:szCs w:val="28"/>
        </w:rPr>
        <w:t xml:space="preserve"> </w:t>
      </w:r>
      <w:r w:rsidR="00C157FD" w:rsidRPr="00947A2B">
        <w:rPr>
          <w:rFonts w:asciiTheme="majorBidi" w:hAnsiTheme="majorBidi" w:cstheme="majorBidi"/>
          <w:b/>
          <w:bCs/>
          <w:sz w:val="28"/>
          <w:szCs w:val="28"/>
        </w:rPr>
        <w:t xml:space="preserve">during </w:t>
      </w:r>
      <w:r w:rsidR="00DA0F7E" w:rsidRPr="00947A2B">
        <w:rPr>
          <w:rFonts w:asciiTheme="majorBidi" w:hAnsiTheme="majorBidi" w:cstheme="majorBidi"/>
          <w:b/>
          <w:bCs/>
          <w:kern w:val="36"/>
          <w:sz w:val="28"/>
          <w:szCs w:val="28"/>
        </w:rPr>
        <w:t>2020</w:t>
      </w:r>
    </w:p>
    <w:p w:rsidR="00947A2B" w:rsidRPr="00947A2B" w:rsidRDefault="00947A2B" w:rsidP="00947A2B">
      <w:pPr>
        <w:bidi w:val="0"/>
        <w:jc w:val="both"/>
        <w:outlineLvl w:val="0"/>
        <w:rPr>
          <w:rFonts w:asciiTheme="majorBidi" w:hAnsiTheme="majorBidi" w:cstheme="majorBidi"/>
          <w:sz w:val="10"/>
          <w:szCs w:val="10"/>
          <w:rtl/>
        </w:rPr>
      </w:pPr>
    </w:p>
    <w:p w:rsidR="00C157FD" w:rsidRPr="00947A2B" w:rsidRDefault="00C157FD" w:rsidP="00947A2B">
      <w:pPr>
        <w:bidi w:val="0"/>
        <w:jc w:val="both"/>
        <w:outlineLvl w:val="0"/>
        <w:rPr>
          <w:rFonts w:asciiTheme="majorBidi" w:hAnsiTheme="majorBidi" w:cstheme="majorBidi"/>
          <w:sz w:val="26"/>
          <w:szCs w:val="26"/>
        </w:rPr>
      </w:pPr>
      <w:r w:rsidRPr="00947A2B">
        <w:rPr>
          <w:rFonts w:asciiTheme="majorBidi" w:hAnsiTheme="majorBidi" w:cstheme="majorBidi"/>
          <w:sz w:val="26"/>
          <w:szCs w:val="26"/>
        </w:rPr>
        <w:t>The overall</w:t>
      </w:r>
      <w:r w:rsidRPr="00947A2B">
        <w:rPr>
          <w:rFonts w:asciiTheme="majorBidi" w:hAnsiTheme="majorBidi" w:cstheme="majorBidi"/>
          <w:b/>
          <w:bCs/>
          <w:sz w:val="26"/>
          <w:szCs w:val="26"/>
        </w:rPr>
        <w:t xml:space="preserve"> IPI in Palestine </w:t>
      </w:r>
      <w:r w:rsidR="00ED6A1C" w:rsidRPr="00947A2B">
        <w:rPr>
          <w:rFonts w:asciiTheme="majorBidi" w:hAnsiTheme="majorBidi" w:cstheme="majorBidi"/>
          <w:sz w:val="26"/>
          <w:szCs w:val="26"/>
        </w:rPr>
        <w:t xml:space="preserve">with its Base Year </w:t>
      </w:r>
      <w:r w:rsidR="00E009B3" w:rsidRPr="00947A2B">
        <w:rPr>
          <w:rFonts w:asciiTheme="majorBidi" w:hAnsiTheme="majorBidi" w:cstheme="majorBidi"/>
          <w:sz w:val="26"/>
          <w:szCs w:val="26"/>
        </w:rPr>
        <w:t>(</w:t>
      </w:r>
      <w:r w:rsidR="00ED6A1C" w:rsidRPr="00947A2B">
        <w:rPr>
          <w:rFonts w:asciiTheme="majorBidi" w:hAnsiTheme="majorBidi" w:cstheme="majorBidi"/>
          <w:sz w:val="26"/>
          <w:szCs w:val="26"/>
        </w:rPr>
        <w:t>2018 = 100</w:t>
      </w:r>
      <w:r w:rsidR="00E009B3" w:rsidRPr="00947A2B">
        <w:rPr>
          <w:rFonts w:asciiTheme="majorBidi" w:hAnsiTheme="majorBidi" w:cstheme="majorBidi"/>
          <w:sz w:val="26"/>
          <w:szCs w:val="26"/>
        </w:rPr>
        <w:t>)</w:t>
      </w:r>
      <w:r w:rsidR="00ED6A1C" w:rsidRPr="00947A2B">
        <w:rPr>
          <w:rFonts w:asciiTheme="majorBidi" w:hAnsiTheme="majorBidi" w:cstheme="majorBidi"/>
          <w:sz w:val="26"/>
          <w:szCs w:val="26"/>
        </w:rPr>
        <w:t xml:space="preserve"> </w:t>
      </w:r>
      <w:r w:rsidRPr="00947A2B">
        <w:rPr>
          <w:rFonts w:asciiTheme="majorBidi" w:hAnsiTheme="majorBidi" w:cstheme="majorBidi"/>
          <w:sz w:val="26"/>
          <w:szCs w:val="26"/>
        </w:rPr>
        <w:t>reached</w:t>
      </w:r>
      <w:r w:rsidRPr="00947A2B">
        <w:rPr>
          <w:rFonts w:asciiTheme="majorBidi" w:hAnsiTheme="majorBidi" w:cstheme="majorBidi"/>
          <w:b/>
          <w:bCs/>
          <w:sz w:val="26"/>
          <w:szCs w:val="26"/>
        </w:rPr>
        <w:t xml:space="preserve"> </w:t>
      </w:r>
      <w:r w:rsidR="00DA0F7E" w:rsidRPr="00947A2B">
        <w:rPr>
          <w:rFonts w:asciiTheme="majorBidi" w:hAnsiTheme="majorBidi" w:cstheme="majorBidi"/>
          <w:b/>
          <w:bCs/>
          <w:sz w:val="26"/>
          <w:szCs w:val="26"/>
        </w:rPr>
        <w:t>95.60</w:t>
      </w:r>
      <w:r w:rsidRPr="00947A2B">
        <w:rPr>
          <w:rFonts w:asciiTheme="majorBidi" w:hAnsiTheme="majorBidi" w:cstheme="majorBidi"/>
          <w:sz w:val="26"/>
          <w:szCs w:val="26"/>
        </w:rPr>
        <w:t xml:space="preserve"> </w:t>
      </w:r>
      <w:r w:rsidR="00ED6A1C" w:rsidRPr="00947A2B">
        <w:rPr>
          <w:rFonts w:asciiTheme="majorBidi" w:hAnsiTheme="majorBidi" w:cstheme="majorBidi"/>
          <w:b/>
          <w:bCs/>
          <w:sz w:val="26"/>
          <w:szCs w:val="26"/>
        </w:rPr>
        <w:t xml:space="preserve">in </w:t>
      </w:r>
      <w:r w:rsidR="00DA0F7E" w:rsidRPr="00947A2B">
        <w:rPr>
          <w:rFonts w:asciiTheme="majorBidi" w:hAnsiTheme="majorBidi" w:cstheme="majorBidi"/>
          <w:b/>
          <w:bCs/>
          <w:sz w:val="26"/>
          <w:szCs w:val="26"/>
        </w:rPr>
        <w:t>2020</w:t>
      </w:r>
      <w:r w:rsidR="00ED6A1C" w:rsidRPr="00947A2B">
        <w:rPr>
          <w:rFonts w:asciiTheme="majorBidi" w:hAnsiTheme="majorBidi" w:cstheme="majorBidi"/>
          <w:sz w:val="26"/>
          <w:szCs w:val="26"/>
        </w:rPr>
        <w:t xml:space="preserve"> </w:t>
      </w:r>
      <w:r w:rsidR="00ED6A1C" w:rsidRPr="00947A2B">
        <w:rPr>
          <w:rFonts w:asciiTheme="majorBidi" w:hAnsiTheme="majorBidi" w:cstheme="majorBidi"/>
          <w:b/>
          <w:bCs/>
          <w:sz w:val="26"/>
          <w:szCs w:val="26"/>
        </w:rPr>
        <w:t>which indicates</w:t>
      </w:r>
      <w:r w:rsidRPr="00947A2B">
        <w:rPr>
          <w:rFonts w:asciiTheme="majorBidi" w:hAnsiTheme="majorBidi" w:cstheme="majorBidi"/>
          <w:b/>
          <w:bCs/>
          <w:sz w:val="26"/>
          <w:szCs w:val="26"/>
        </w:rPr>
        <w:t xml:space="preserve"> </w:t>
      </w:r>
      <w:r w:rsidR="00DA0F7E" w:rsidRPr="00947A2B">
        <w:rPr>
          <w:rFonts w:asciiTheme="majorBidi" w:hAnsiTheme="majorBidi" w:cstheme="majorBidi"/>
          <w:b/>
          <w:bCs/>
          <w:sz w:val="26"/>
          <w:szCs w:val="26"/>
        </w:rPr>
        <w:t>a</w:t>
      </w:r>
      <w:r w:rsidRPr="00947A2B">
        <w:rPr>
          <w:rFonts w:asciiTheme="majorBidi" w:hAnsiTheme="majorBidi" w:cstheme="majorBidi"/>
          <w:b/>
          <w:bCs/>
          <w:sz w:val="26"/>
          <w:szCs w:val="26"/>
        </w:rPr>
        <w:t xml:space="preserve"> </w:t>
      </w:r>
      <w:r w:rsidR="00152C46" w:rsidRPr="00947A2B">
        <w:rPr>
          <w:rFonts w:asciiTheme="majorBidi" w:hAnsiTheme="majorBidi" w:cstheme="majorBidi"/>
          <w:b/>
          <w:bCs/>
          <w:sz w:val="26"/>
          <w:szCs w:val="26"/>
        </w:rPr>
        <w:t xml:space="preserve">sharp </w:t>
      </w:r>
      <w:r w:rsidR="00DA0F7E" w:rsidRPr="00947A2B">
        <w:rPr>
          <w:rFonts w:asciiTheme="majorBidi" w:hAnsiTheme="majorBidi" w:cstheme="majorBidi"/>
          <w:b/>
          <w:bCs/>
          <w:sz w:val="26"/>
          <w:szCs w:val="26"/>
        </w:rPr>
        <w:t>decrease</w:t>
      </w:r>
      <w:r w:rsidRPr="00947A2B">
        <w:rPr>
          <w:rFonts w:asciiTheme="majorBidi" w:hAnsiTheme="majorBidi" w:cstheme="majorBidi"/>
          <w:b/>
          <w:bCs/>
          <w:sz w:val="26"/>
          <w:szCs w:val="26"/>
        </w:rPr>
        <w:t xml:space="preserve"> </w:t>
      </w:r>
      <w:r w:rsidR="00890BC6" w:rsidRPr="00947A2B">
        <w:rPr>
          <w:rFonts w:asciiTheme="majorBidi" w:hAnsiTheme="majorBidi" w:cstheme="majorBidi"/>
          <w:b/>
          <w:bCs/>
          <w:sz w:val="26"/>
          <w:szCs w:val="26"/>
        </w:rPr>
        <w:t>by</w:t>
      </w:r>
      <w:r w:rsidRPr="00947A2B">
        <w:rPr>
          <w:rFonts w:asciiTheme="majorBidi" w:hAnsiTheme="majorBidi" w:cstheme="majorBidi"/>
          <w:b/>
          <w:bCs/>
          <w:sz w:val="26"/>
          <w:szCs w:val="26"/>
        </w:rPr>
        <w:t xml:space="preserve"> </w:t>
      </w:r>
      <w:r w:rsidR="00DA0F7E" w:rsidRPr="00947A2B">
        <w:rPr>
          <w:rFonts w:asciiTheme="majorBidi" w:hAnsiTheme="majorBidi" w:cstheme="majorBidi"/>
          <w:b/>
          <w:bCs/>
          <w:sz w:val="26"/>
          <w:szCs w:val="26"/>
        </w:rPr>
        <w:t>7.95</w:t>
      </w:r>
      <w:r w:rsidRPr="00947A2B">
        <w:rPr>
          <w:rFonts w:asciiTheme="majorBidi" w:hAnsiTheme="majorBidi" w:cstheme="majorBidi"/>
          <w:b/>
          <w:bCs/>
          <w:sz w:val="26"/>
          <w:szCs w:val="26"/>
        </w:rPr>
        <w:t>% compared to</w:t>
      </w:r>
      <w:r w:rsidR="00ED6A1C" w:rsidRPr="00947A2B">
        <w:rPr>
          <w:rFonts w:asciiTheme="majorBidi" w:hAnsiTheme="majorBidi" w:cstheme="majorBidi"/>
          <w:sz w:val="26"/>
          <w:szCs w:val="26"/>
        </w:rPr>
        <w:t xml:space="preserve"> </w:t>
      </w:r>
      <w:r w:rsidR="00BD7C51" w:rsidRPr="00947A2B">
        <w:rPr>
          <w:rFonts w:asciiTheme="majorBidi" w:hAnsiTheme="majorBidi" w:cstheme="majorBidi"/>
          <w:b/>
          <w:bCs/>
          <w:sz w:val="26"/>
          <w:szCs w:val="26"/>
        </w:rPr>
        <w:t>2019</w:t>
      </w:r>
      <w:r w:rsidRPr="00947A2B">
        <w:rPr>
          <w:rFonts w:asciiTheme="majorBidi" w:hAnsiTheme="majorBidi" w:cstheme="majorBidi"/>
          <w:sz w:val="26"/>
          <w:szCs w:val="26"/>
        </w:rPr>
        <w:t>.</w:t>
      </w:r>
    </w:p>
    <w:p w:rsidR="00C157FD" w:rsidRPr="00947A2B" w:rsidRDefault="00947A2B" w:rsidP="00947A2B">
      <w:pPr>
        <w:tabs>
          <w:tab w:val="left" w:pos="9260"/>
        </w:tabs>
        <w:bidi w:val="0"/>
        <w:jc w:val="both"/>
        <w:outlineLvl w:val="0"/>
        <w:rPr>
          <w:rFonts w:asciiTheme="majorBidi" w:hAnsiTheme="majorBidi" w:cstheme="majorBidi"/>
          <w:sz w:val="16"/>
          <w:szCs w:val="16"/>
        </w:rPr>
      </w:pPr>
      <w:r w:rsidRPr="00947A2B">
        <w:rPr>
          <w:rFonts w:asciiTheme="majorBidi" w:hAnsiTheme="majorBidi" w:cstheme="majorBidi"/>
          <w:sz w:val="16"/>
          <w:szCs w:val="16"/>
          <w:rtl/>
        </w:rPr>
        <w:tab/>
      </w:r>
    </w:p>
    <w:p w:rsidR="00C157FD" w:rsidRPr="00947A2B" w:rsidRDefault="00C157FD" w:rsidP="00947A2B">
      <w:pPr>
        <w:bidi w:val="0"/>
        <w:jc w:val="both"/>
        <w:outlineLvl w:val="0"/>
        <w:rPr>
          <w:rFonts w:asciiTheme="majorBidi" w:hAnsiTheme="majorBidi" w:cstheme="majorBidi"/>
          <w:sz w:val="26"/>
          <w:szCs w:val="26"/>
          <w:rtl/>
        </w:rPr>
      </w:pPr>
      <w:r w:rsidRPr="00947A2B">
        <w:rPr>
          <w:rFonts w:asciiTheme="majorBidi" w:hAnsiTheme="majorBidi" w:cstheme="majorBidi"/>
          <w:sz w:val="26"/>
          <w:szCs w:val="26"/>
        </w:rPr>
        <w:t xml:space="preserve">IPI for </w:t>
      </w:r>
      <w:r w:rsidR="00DA0F7E" w:rsidRPr="00947A2B">
        <w:rPr>
          <w:rFonts w:asciiTheme="majorBidi" w:hAnsiTheme="majorBidi" w:cstheme="majorBidi"/>
          <w:sz w:val="26"/>
          <w:szCs w:val="26"/>
        </w:rPr>
        <w:t>2020</w:t>
      </w:r>
      <w:r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decreased</w:t>
      </w:r>
      <w:r w:rsidRPr="00947A2B">
        <w:rPr>
          <w:rFonts w:asciiTheme="majorBidi" w:hAnsiTheme="majorBidi" w:cstheme="majorBidi"/>
          <w:sz w:val="26"/>
          <w:szCs w:val="26"/>
        </w:rPr>
        <w:t xml:space="preserve"> due to the </w:t>
      </w:r>
      <w:r w:rsidR="00DA0F7E" w:rsidRPr="00947A2B">
        <w:rPr>
          <w:rFonts w:asciiTheme="majorBidi" w:hAnsiTheme="majorBidi" w:cstheme="majorBidi"/>
          <w:sz w:val="26"/>
          <w:szCs w:val="26"/>
        </w:rPr>
        <w:t>decrease</w:t>
      </w:r>
      <w:r w:rsidRPr="00947A2B">
        <w:rPr>
          <w:rFonts w:asciiTheme="majorBidi" w:hAnsiTheme="majorBidi" w:cstheme="majorBidi"/>
          <w:sz w:val="26"/>
          <w:szCs w:val="26"/>
        </w:rPr>
        <w:t xml:space="preserve"> in </w:t>
      </w:r>
      <w:r w:rsidR="00DA0F7E" w:rsidRPr="00947A2B">
        <w:rPr>
          <w:rFonts w:asciiTheme="majorBidi" w:hAnsiTheme="majorBidi" w:cstheme="majorBidi"/>
          <w:sz w:val="26"/>
          <w:szCs w:val="26"/>
        </w:rPr>
        <w:t xml:space="preserve">the </w:t>
      </w:r>
      <w:r w:rsidR="00DA0F7E" w:rsidRPr="00947A2B">
        <w:rPr>
          <w:rFonts w:asciiTheme="majorBidi" w:hAnsiTheme="majorBidi" w:cstheme="majorBidi"/>
          <w:b/>
          <w:bCs/>
          <w:sz w:val="26"/>
          <w:szCs w:val="26"/>
        </w:rPr>
        <w:t>activities of Mining and Quarrying</w:t>
      </w:r>
      <w:r w:rsidR="00DA0F7E" w:rsidRPr="00947A2B">
        <w:rPr>
          <w:rFonts w:asciiTheme="majorBidi" w:hAnsiTheme="majorBidi" w:cstheme="majorBidi"/>
          <w:sz w:val="26"/>
          <w:szCs w:val="26"/>
        </w:rPr>
        <w:t xml:space="preserve"> by 23.07%</w:t>
      </w:r>
      <w:r w:rsidR="0071197F" w:rsidRPr="00947A2B">
        <w:rPr>
          <w:rFonts w:asciiTheme="majorBidi" w:hAnsiTheme="majorBidi" w:cstheme="majorBidi"/>
          <w:sz w:val="26"/>
          <w:szCs w:val="26"/>
        </w:rPr>
        <w:t>,</w:t>
      </w:r>
      <w:r w:rsidR="00DA0F7E" w:rsidRPr="00947A2B">
        <w:rPr>
          <w:rFonts w:asciiTheme="majorBidi" w:hAnsiTheme="majorBidi" w:cstheme="majorBidi"/>
          <w:sz w:val="26"/>
          <w:szCs w:val="26"/>
        </w:rPr>
        <w:t xml:space="preserve"> and the </w:t>
      </w:r>
      <w:r w:rsidR="00DA0F7E" w:rsidRPr="00947A2B">
        <w:rPr>
          <w:rFonts w:asciiTheme="majorBidi" w:hAnsiTheme="majorBidi" w:cstheme="majorBidi"/>
          <w:b/>
          <w:bCs/>
          <w:sz w:val="26"/>
          <w:szCs w:val="26"/>
        </w:rPr>
        <w:t>activities of Manufacturing Industry</w:t>
      </w:r>
      <w:r w:rsidR="00DA0F7E" w:rsidRPr="00947A2B">
        <w:rPr>
          <w:rFonts w:asciiTheme="majorBidi" w:hAnsiTheme="majorBidi" w:cstheme="majorBidi"/>
          <w:sz w:val="26"/>
          <w:szCs w:val="26"/>
        </w:rPr>
        <w:t xml:space="preserve"> by </w:t>
      </w:r>
      <w:r w:rsidR="003E2B31" w:rsidRPr="00947A2B">
        <w:rPr>
          <w:rFonts w:asciiTheme="majorBidi" w:hAnsiTheme="majorBidi" w:cstheme="majorBidi"/>
          <w:sz w:val="26"/>
          <w:szCs w:val="26"/>
        </w:rPr>
        <w:t>10.46</w:t>
      </w:r>
      <w:r w:rsidR="00DA0F7E" w:rsidRPr="00947A2B">
        <w:rPr>
          <w:rFonts w:asciiTheme="majorBidi" w:hAnsiTheme="majorBidi" w:cstheme="majorBidi"/>
          <w:sz w:val="26"/>
          <w:szCs w:val="26"/>
        </w:rPr>
        <w:t xml:space="preserve">%, while the </w:t>
      </w:r>
      <w:r w:rsidR="00DA0F7E" w:rsidRPr="00947A2B">
        <w:rPr>
          <w:rFonts w:asciiTheme="majorBidi" w:hAnsiTheme="majorBidi" w:cstheme="majorBidi"/>
          <w:b/>
          <w:bCs/>
          <w:sz w:val="26"/>
          <w:szCs w:val="26"/>
        </w:rPr>
        <w:t xml:space="preserve">activities of Electricity, Gas, Steam and Air Conditioning Supply </w:t>
      </w:r>
      <w:r w:rsidR="00DA0F7E" w:rsidRPr="00947A2B">
        <w:rPr>
          <w:rFonts w:asciiTheme="majorBidi" w:hAnsiTheme="majorBidi" w:cstheme="majorBidi"/>
          <w:sz w:val="26"/>
          <w:szCs w:val="26"/>
        </w:rPr>
        <w:t>increased</w:t>
      </w:r>
      <w:r w:rsidR="00DA0F7E" w:rsidRPr="00947A2B">
        <w:rPr>
          <w:rFonts w:asciiTheme="majorBidi" w:hAnsiTheme="majorBidi" w:cstheme="majorBidi"/>
          <w:b/>
          <w:bCs/>
          <w:sz w:val="26"/>
          <w:szCs w:val="26"/>
        </w:rPr>
        <w:t xml:space="preserve"> </w:t>
      </w:r>
      <w:r w:rsidR="00DA0F7E" w:rsidRPr="00947A2B">
        <w:rPr>
          <w:rFonts w:asciiTheme="majorBidi" w:hAnsiTheme="majorBidi" w:cstheme="majorBidi"/>
          <w:sz w:val="26"/>
          <w:szCs w:val="26"/>
        </w:rPr>
        <w:t xml:space="preserve">by 11.61%, and </w:t>
      </w:r>
      <w:r w:rsidR="00FA6924" w:rsidRPr="00947A2B">
        <w:rPr>
          <w:rFonts w:asciiTheme="majorBidi" w:hAnsiTheme="majorBidi" w:cstheme="majorBidi"/>
          <w:sz w:val="26"/>
          <w:szCs w:val="26"/>
        </w:rPr>
        <w:t xml:space="preserve">the </w:t>
      </w:r>
      <w:r w:rsidR="00FA6924" w:rsidRPr="00947A2B">
        <w:rPr>
          <w:rFonts w:asciiTheme="majorBidi" w:hAnsiTheme="majorBidi" w:cstheme="majorBidi"/>
          <w:b/>
          <w:bCs/>
          <w:sz w:val="26"/>
          <w:szCs w:val="26"/>
        </w:rPr>
        <w:t>activities of</w:t>
      </w:r>
      <w:r w:rsidR="00FA6924" w:rsidRPr="00947A2B">
        <w:rPr>
          <w:rFonts w:asciiTheme="majorBidi" w:hAnsiTheme="majorBidi" w:cstheme="majorBidi"/>
          <w:sz w:val="26"/>
          <w:szCs w:val="26"/>
        </w:rPr>
        <w:t xml:space="preserve"> </w:t>
      </w:r>
      <w:r w:rsidR="00FA6924" w:rsidRPr="00947A2B">
        <w:rPr>
          <w:rFonts w:asciiTheme="majorBidi" w:hAnsiTheme="majorBidi" w:cstheme="majorBidi"/>
          <w:b/>
          <w:bCs/>
          <w:sz w:val="26"/>
          <w:szCs w:val="26"/>
        </w:rPr>
        <w:t>Water Supply, Sewerage, Waste Management and Remediation</w:t>
      </w:r>
      <w:r w:rsidR="00FA6924"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 xml:space="preserve">increased </w:t>
      </w:r>
      <w:r w:rsidR="00FA6924" w:rsidRPr="00947A2B">
        <w:rPr>
          <w:rFonts w:asciiTheme="majorBidi" w:hAnsiTheme="majorBidi" w:cstheme="majorBidi"/>
          <w:sz w:val="26"/>
          <w:szCs w:val="26"/>
        </w:rPr>
        <w:t xml:space="preserve">by </w:t>
      </w:r>
      <w:r w:rsidR="00DA0F7E" w:rsidRPr="00947A2B">
        <w:rPr>
          <w:rFonts w:asciiTheme="majorBidi" w:hAnsiTheme="majorBidi" w:cstheme="majorBidi"/>
          <w:sz w:val="26"/>
          <w:szCs w:val="26"/>
        </w:rPr>
        <w:t>5.98%.</w:t>
      </w:r>
      <w:r w:rsidRPr="00947A2B">
        <w:rPr>
          <w:rFonts w:asciiTheme="majorBidi" w:hAnsiTheme="majorBidi" w:cstheme="majorBidi"/>
          <w:sz w:val="26"/>
          <w:szCs w:val="26"/>
        </w:rPr>
        <w:t xml:space="preserve"> </w:t>
      </w:r>
    </w:p>
    <w:p w:rsidR="00C157FD" w:rsidRPr="00947A2B" w:rsidRDefault="00C157FD" w:rsidP="00947A2B">
      <w:pPr>
        <w:autoSpaceDE w:val="0"/>
        <w:autoSpaceDN w:val="0"/>
        <w:bidi w:val="0"/>
        <w:adjustRightInd w:val="0"/>
        <w:jc w:val="both"/>
        <w:rPr>
          <w:rFonts w:asciiTheme="majorBidi" w:hAnsiTheme="majorBidi" w:cstheme="majorBidi"/>
          <w:snapToGrid w:val="0"/>
          <w:sz w:val="16"/>
          <w:szCs w:val="16"/>
        </w:rPr>
      </w:pPr>
    </w:p>
    <w:p w:rsidR="00C157FD" w:rsidRPr="00947A2B" w:rsidRDefault="00C157FD" w:rsidP="00947A2B">
      <w:pPr>
        <w:autoSpaceDE w:val="0"/>
        <w:autoSpaceDN w:val="0"/>
        <w:bidi w:val="0"/>
        <w:adjustRightInd w:val="0"/>
        <w:jc w:val="both"/>
        <w:rPr>
          <w:rFonts w:asciiTheme="majorBidi" w:hAnsiTheme="majorBidi" w:cstheme="majorBidi"/>
          <w:b/>
          <w:bCs/>
          <w:sz w:val="26"/>
          <w:szCs w:val="26"/>
        </w:rPr>
      </w:pPr>
      <w:r w:rsidRPr="00947A2B">
        <w:rPr>
          <w:rFonts w:asciiTheme="majorBidi" w:hAnsiTheme="majorBidi" w:cstheme="majorBidi"/>
          <w:b/>
          <w:bCs/>
          <w:sz w:val="26"/>
          <w:szCs w:val="26"/>
        </w:rPr>
        <w:t xml:space="preserve">The </w:t>
      </w:r>
      <w:r w:rsidR="00890BC6" w:rsidRPr="00947A2B">
        <w:rPr>
          <w:rFonts w:asciiTheme="majorBidi" w:hAnsiTheme="majorBidi" w:cstheme="majorBidi"/>
          <w:b/>
          <w:bCs/>
          <w:sz w:val="26"/>
          <w:szCs w:val="26"/>
        </w:rPr>
        <w:t xml:space="preserve">below </w:t>
      </w:r>
      <w:r w:rsidRPr="00947A2B">
        <w:rPr>
          <w:rFonts w:asciiTheme="majorBidi" w:hAnsiTheme="majorBidi" w:cstheme="majorBidi"/>
          <w:b/>
          <w:bCs/>
          <w:sz w:val="26"/>
          <w:szCs w:val="26"/>
        </w:rPr>
        <w:t xml:space="preserve">table shows </w:t>
      </w:r>
      <w:r w:rsidR="003E2B31" w:rsidRPr="00947A2B">
        <w:rPr>
          <w:rFonts w:asciiTheme="majorBidi" w:hAnsiTheme="majorBidi" w:cstheme="majorBidi"/>
          <w:b/>
          <w:bCs/>
          <w:sz w:val="26"/>
          <w:szCs w:val="26"/>
        </w:rPr>
        <w:t xml:space="preserve">yearly </w:t>
      </w:r>
      <w:r w:rsidRPr="00947A2B">
        <w:rPr>
          <w:rFonts w:asciiTheme="majorBidi" w:hAnsiTheme="majorBidi" w:cstheme="majorBidi"/>
          <w:b/>
          <w:bCs/>
          <w:sz w:val="26"/>
          <w:szCs w:val="26"/>
        </w:rPr>
        <w:t>percent changes in IPI in Palestine for the period 201</w:t>
      </w:r>
      <w:r w:rsidRPr="00947A2B">
        <w:rPr>
          <w:rFonts w:asciiTheme="majorBidi" w:hAnsiTheme="majorBidi" w:cstheme="majorBidi"/>
          <w:b/>
          <w:bCs/>
          <w:sz w:val="26"/>
          <w:szCs w:val="26"/>
          <w:rtl/>
        </w:rPr>
        <w:t>2</w:t>
      </w:r>
      <w:r w:rsidRPr="00947A2B">
        <w:rPr>
          <w:rFonts w:asciiTheme="majorBidi" w:hAnsiTheme="majorBidi" w:cstheme="majorBidi"/>
          <w:b/>
          <w:bCs/>
          <w:sz w:val="26"/>
          <w:szCs w:val="26"/>
        </w:rPr>
        <w:t xml:space="preserve"> –</w:t>
      </w:r>
      <w:r w:rsidR="00947A2B">
        <w:rPr>
          <w:rFonts w:asciiTheme="majorBidi" w:hAnsiTheme="majorBidi" w:cstheme="majorBidi"/>
          <w:b/>
          <w:bCs/>
          <w:sz w:val="26"/>
          <w:szCs w:val="26"/>
        </w:rPr>
        <w:t xml:space="preserve"> </w:t>
      </w:r>
      <w:r w:rsidR="00DA0F7E" w:rsidRPr="00947A2B">
        <w:rPr>
          <w:rFonts w:asciiTheme="majorBidi" w:hAnsiTheme="majorBidi" w:cstheme="majorBidi"/>
          <w:b/>
          <w:bCs/>
          <w:sz w:val="26"/>
          <w:szCs w:val="26"/>
        </w:rPr>
        <w:t>2020</w:t>
      </w:r>
      <w:r w:rsidRPr="00947A2B">
        <w:rPr>
          <w:rFonts w:asciiTheme="majorBidi" w:hAnsiTheme="majorBidi" w:cstheme="majorBidi"/>
          <w:b/>
          <w:bCs/>
          <w:sz w:val="26"/>
          <w:szCs w:val="26"/>
        </w:rPr>
        <w:t>:</w:t>
      </w:r>
    </w:p>
    <w:p w:rsidR="00C157FD" w:rsidRPr="00947A2B" w:rsidRDefault="00C157FD" w:rsidP="00947A2B">
      <w:pPr>
        <w:autoSpaceDE w:val="0"/>
        <w:autoSpaceDN w:val="0"/>
        <w:bidi w:val="0"/>
        <w:adjustRightInd w:val="0"/>
        <w:jc w:val="both"/>
        <w:rPr>
          <w:rFonts w:asciiTheme="majorBidi" w:hAnsiTheme="majorBidi" w:cstheme="majorBidi"/>
          <w:snapToGrid w:val="0"/>
          <w:sz w:val="14"/>
          <w:szCs w:val="14"/>
        </w:rPr>
      </w:pPr>
    </w:p>
    <w:tbl>
      <w:tblPr>
        <w:tblW w:w="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3139"/>
      </w:tblGrid>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b/>
                <w:bCs/>
                <w:snapToGrid w:val="0"/>
                <w:sz w:val="26"/>
                <w:szCs w:val="26"/>
              </w:rPr>
            </w:pPr>
            <w:r w:rsidRPr="00947A2B">
              <w:rPr>
                <w:rFonts w:asciiTheme="majorBidi" w:hAnsiTheme="majorBidi" w:cstheme="majorBidi"/>
                <w:b/>
                <w:bCs/>
                <w:snapToGrid w:val="0"/>
                <w:sz w:val="26"/>
                <w:szCs w:val="26"/>
              </w:rPr>
              <w:t>Year</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b/>
                <w:bCs/>
                <w:snapToGrid w:val="0"/>
                <w:sz w:val="26"/>
                <w:szCs w:val="26"/>
              </w:rPr>
            </w:pPr>
            <w:r w:rsidRPr="00947A2B">
              <w:rPr>
                <w:rFonts w:asciiTheme="majorBidi" w:hAnsiTheme="majorBidi" w:cstheme="majorBidi"/>
                <w:b/>
                <w:bCs/>
                <w:snapToGrid w:val="0"/>
                <w:sz w:val="26"/>
                <w:szCs w:val="26"/>
              </w:rPr>
              <w:t>Percent Change</w:t>
            </w:r>
            <w:r w:rsidR="00281386" w:rsidRPr="00947A2B">
              <w:rPr>
                <w:rFonts w:asciiTheme="majorBidi" w:hAnsiTheme="majorBidi" w:cstheme="majorBidi"/>
                <w:b/>
                <w:bCs/>
                <w:snapToGrid w:val="0"/>
                <w:sz w:val="26"/>
                <w:szCs w:val="26"/>
              </w:rPr>
              <w:t>s</w:t>
            </w:r>
            <w:r w:rsidRPr="00947A2B">
              <w:rPr>
                <w:rFonts w:asciiTheme="majorBidi" w:hAnsiTheme="majorBidi" w:cstheme="majorBidi"/>
                <w:b/>
                <w:bCs/>
                <w:snapToGrid w:val="0"/>
                <w:sz w:val="26"/>
                <w:szCs w:val="26"/>
              </w:rPr>
              <w:t xml:space="preserve"> %</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2012</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+ 6.39</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2013</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+ 7.82</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2014</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- 3.92</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2015</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- 3.80</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2016</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+ 0.96</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2017</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+ 4.11</w:t>
            </w:r>
          </w:p>
        </w:tc>
      </w:tr>
      <w:tr w:rsidR="00C157FD" w:rsidRPr="00947A2B" w:rsidTr="00947A2B">
        <w:trPr>
          <w:trHeight w:val="261"/>
          <w:jc w:val="center"/>
        </w:trPr>
        <w:tc>
          <w:tcPr>
            <w:tcW w:w="2131"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2018</w:t>
            </w:r>
          </w:p>
        </w:tc>
        <w:tc>
          <w:tcPr>
            <w:tcW w:w="3139" w:type="dxa"/>
            <w:vAlign w:val="center"/>
          </w:tcPr>
          <w:p w:rsidR="00C157FD" w:rsidRPr="00947A2B" w:rsidRDefault="00C157FD"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- 3.94</w:t>
            </w:r>
          </w:p>
        </w:tc>
      </w:tr>
      <w:tr w:rsidR="00354955" w:rsidRPr="00947A2B" w:rsidTr="00947A2B">
        <w:trPr>
          <w:trHeight w:val="261"/>
          <w:jc w:val="center"/>
        </w:trPr>
        <w:tc>
          <w:tcPr>
            <w:tcW w:w="2131" w:type="dxa"/>
            <w:vAlign w:val="center"/>
          </w:tcPr>
          <w:p w:rsidR="00354955" w:rsidRPr="00947A2B" w:rsidRDefault="00354955"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2019</w:t>
            </w:r>
          </w:p>
        </w:tc>
        <w:tc>
          <w:tcPr>
            <w:tcW w:w="3139" w:type="dxa"/>
            <w:vAlign w:val="center"/>
          </w:tcPr>
          <w:p w:rsidR="00354955" w:rsidRPr="00947A2B" w:rsidRDefault="00354955"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+ 3.86</w:t>
            </w:r>
          </w:p>
        </w:tc>
      </w:tr>
      <w:tr w:rsidR="00DA0F7E" w:rsidRPr="00947A2B" w:rsidTr="00947A2B">
        <w:trPr>
          <w:trHeight w:val="261"/>
          <w:jc w:val="center"/>
        </w:trPr>
        <w:tc>
          <w:tcPr>
            <w:tcW w:w="2131" w:type="dxa"/>
            <w:vAlign w:val="center"/>
          </w:tcPr>
          <w:p w:rsidR="00DA0F7E" w:rsidRPr="00947A2B" w:rsidRDefault="00DA0F7E"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2020</w:t>
            </w:r>
          </w:p>
        </w:tc>
        <w:tc>
          <w:tcPr>
            <w:tcW w:w="3139" w:type="dxa"/>
            <w:vAlign w:val="center"/>
          </w:tcPr>
          <w:p w:rsidR="00DA0F7E" w:rsidRPr="00947A2B" w:rsidRDefault="00DA0F7E" w:rsidP="00947A2B">
            <w:pPr>
              <w:autoSpaceDE w:val="0"/>
              <w:autoSpaceDN w:val="0"/>
              <w:bidi w:val="0"/>
              <w:adjustRightInd w:val="0"/>
              <w:jc w:val="center"/>
              <w:rPr>
                <w:rFonts w:asciiTheme="majorBidi" w:hAnsiTheme="majorBidi" w:cstheme="majorBidi"/>
                <w:snapToGrid w:val="0"/>
                <w:sz w:val="26"/>
                <w:szCs w:val="26"/>
              </w:rPr>
            </w:pPr>
            <w:r w:rsidRPr="00947A2B">
              <w:rPr>
                <w:rFonts w:asciiTheme="majorBidi" w:hAnsiTheme="majorBidi" w:cstheme="majorBidi"/>
                <w:snapToGrid w:val="0"/>
                <w:sz w:val="26"/>
                <w:szCs w:val="26"/>
              </w:rPr>
              <w:t>- 7.95</w:t>
            </w:r>
          </w:p>
        </w:tc>
      </w:tr>
    </w:tbl>
    <w:p w:rsidR="00324426" w:rsidRPr="00947A2B" w:rsidRDefault="00324426" w:rsidP="00947A2B">
      <w:pPr>
        <w:bidi w:val="0"/>
        <w:jc w:val="both"/>
        <w:outlineLvl w:val="0"/>
        <w:rPr>
          <w:rFonts w:asciiTheme="majorBidi" w:hAnsiTheme="majorBidi" w:cstheme="majorBidi"/>
          <w:b/>
          <w:bCs/>
          <w:sz w:val="16"/>
          <w:szCs w:val="16"/>
        </w:rPr>
      </w:pPr>
    </w:p>
    <w:p w:rsidR="002C20FD" w:rsidRPr="00947A2B" w:rsidRDefault="00354955" w:rsidP="00947A2B">
      <w:pPr>
        <w:bidi w:val="0"/>
        <w:jc w:val="both"/>
        <w:outlineLvl w:val="0"/>
        <w:rPr>
          <w:rFonts w:asciiTheme="majorBidi" w:hAnsiTheme="majorBidi" w:cstheme="majorBidi"/>
          <w:b/>
          <w:bCs/>
          <w:sz w:val="26"/>
          <w:szCs w:val="26"/>
        </w:rPr>
      </w:pPr>
      <w:r w:rsidRPr="00947A2B">
        <w:rPr>
          <w:rFonts w:asciiTheme="majorBidi" w:hAnsiTheme="majorBidi" w:cstheme="majorBidi"/>
          <w:b/>
          <w:bCs/>
          <w:sz w:val="26"/>
          <w:szCs w:val="26"/>
        </w:rPr>
        <w:t>Increase</w:t>
      </w:r>
      <w:r w:rsidR="002C20FD" w:rsidRPr="00947A2B">
        <w:rPr>
          <w:rFonts w:asciiTheme="majorBidi" w:hAnsiTheme="majorBidi" w:cstheme="majorBidi"/>
          <w:b/>
          <w:bCs/>
          <w:sz w:val="26"/>
          <w:szCs w:val="26"/>
        </w:rPr>
        <w:t xml:space="preserve"> in the Industrial Production Index (IPI) in Palestine</w:t>
      </w:r>
      <w:r w:rsidR="002C20FD" w:rsidRPr="00947A2B">
        <w:rPr>
          <w:rFonts w:asciiTheme="majorBidi" w:hAnsiTheme="majorBidi" w:cstheme="majorBidi"/>
          <w:b/>
          <w:bCs/>
          <w:kern w:val="36"/>
          <w:sz w:val="26"/>
          <w:szCs w:val="26"/>
        </w:rPr>
        <w:t xml:space="preserve"> </w:t>
      </w:r>
      <w:r w:rsidR="002C20FD" w:rsidRPr="00947A2B">
        <w:rPr>
          <w:rFonts w:asciiTheme="majorBidi" w:hAnsiTheme="majorBidi" w:cstheme="majorBidi"/>
          <w:b/>
          <w:bCs/>
          <w:sz w:val="26"/>
          <w:szCs w:val="26"/>
        </w:rPr>
        <w:t xml:space="preserve">during </w:t>
      </w:r>
      <w:r w:rsidRPr="00947A2B">
        <w:rPr>
          <w:rFonts w:asciiTheme="majorBidi" w:hAnsiTheme="majorBidi" w:cstheme="majorBidi"/>
          <w:b/>
          <w:bCs/>
          <w:sz w:val="26"/>
          <w:szCs w:val="26"/>
        </w:rPr>
        <w:t>December</w:t>
      </w:r>
      <w:r w:rsidR="00947A2B" w:rsidRPr="00947A2B">
        <w:rPr>
          <w:rFonts w:asciiTheme="majorBidi" w:hAnsiTheme="majorBidi" w:cstheme="majorBidi"/>
          <w:b/>
          <w:bCs/>
          <w:sz w:val="26"/>
          <w:szCs w:val="26"/>
        </w:rPr>
        <w:t>,12/2020</w:t>
      </w:r>
      <w:r w:rsidR="002C20FD" w:rsidRPr="00947A2B">
        <w:rPr>
          <w:rFonts w:asciiTheme="majorBidi" w:hAnsiTheme="majorBidi" w:cstheme="majorBidi"/>
          <w:b/>
          <w:bCs/>
          <w:sz w:val="26"/>
          <w:szCs w:val="26"/>
        </w:rPr>
        <w:t xml:space="preserve"> </w:t>
      </w:r>
    </w:p>
    <w:p w:rsidR="002C20FD" w:rsidRPr="00947A2B" w:rsidRDefault="002C20FD" w:rsidP="00947A2B">
      <w:pPr>
        <w:bidi w:val="0"/>
        <w:jc w:val="both"/>
        <w:rPr>
          <w:rFonts w:asciiTheme="majorBidi" w:hAnsiTheme="majorBidi" w:cstheme="majorBidi"/>
          <w:sz w:val="26"/>
          <w:szCs w:val="26"/>
          <w:rtl/>
        </w:rPr>
      </w:pPr>
      <w:r w:rsidRPr="00947A2B">
        <w:rPr>
          <w:rFonts w:asciiTheme="majorBidi" w:hAnsiTheme="majorBidi" w:cstheme="majorBidi"/>
          <w:sz w:val="26"/>
          <w:szCs w:val="26"/>
        </w:rPr>
        <w:t>The overall IPI in Palestine</w:t>
      </w:r>
      <w:r w:rsidR="00635E82" w:rsidRPr="00947A2B">
        <w:rPr>
          <w:rFonts w:asciiTheme="majorBidi" w:hAnsiTheme="majorBidi" w:cstheme="majorBidi"/>
          <w:sz w:val="26"/>
          <w:szCs w:val="26"/>
        </w:rPr>
        <w:t xml:space="preserve"> reached </w:t>
      </w:r>
      <w:r w:rsidR="00DA0F7E" w:rsidRPr="00947A2B">
        <w:rPr>
          <w:rFonts w:asciiTheme="majorBidi" w:hAnsiTheme="majorBidi" w:cstheme="majorBidi"/>
          <w:sz w:val="26"/>
          <w:szCs w:val="26"/>
        </w:rPr>
        <w:t>106.</w:t>
      </w:r>
      <w:r w:rsidR="00BD7C51" w:rsidRPr="00947A2B">
        <w:rPr>
          <w:rFonts w:asciiTheme="majorBidi" w:hAnsiTheme="majorBidi" w:cstheme="majorBidi"/>
          <w:sz w:val="26"/>
          <w:szCs w:val="26"/>
        </w:rPr>
        <w:t>95</w:t>
      </w:r>
      <w:r w:rsidRPr="00947A2B">
        <w:rPr>
          <w:rFonts w:asciiTheme="majorBidi" w:hAnsiTheme="majorBidi" w:cstheme="majorBidi"/>
          <w:sz w:val="26"/>
          <w:szCs w:val="26"/>
        </w:rPr>
        <w:t xml:space="preserve"> </w:t>
      </w:r>
      <w:r w:rsidR="00635E82" w:rsidRPr="00947A2B">
        <w:rPr>
          <w:rFonts w:asciiTheme="majorBidi" w:hAnsiTheme="majorBidi" w:cstheme="majorBidi"/>
          <w:sz w:val="26"/>
          <w:szCs w:val="26"/>
        </w:rPr>
        <w:t xml:space="preserve">during </w:t>
      </w:r>
      <w:r w:rsidR="005B2D35" w:rsidRPr="00947A2B">
        <w:rPr>
          <w:rFonts w:asciiTheme="majorBidi" w:hAnsiTheme="majorBidi" w:cstheme="majorBidi"/>
          <w:sz w:val="26"/>
          <w:szCs w:val="26"/>
        </w:rPr>
        <w:t>December</w:t>
      </w:r>
      <w:r w:rsidR="00635E82"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2020</w:t>
      </w:r>
      <w:r w:rsidR="00635E82" w:rsidRPr="00947A2B">
        <w:rPr>
          <w:rFonts w:asciiTheme="majorBidi" w:hAnsiTheme="majorBidi" w:cstheme="majorBidi"/>
          <w:sz w:val="26"/>
          <w:szCs w:val="26"/>
        </w:rPr>
        <w:t xml:space="preserve"> with </w:t>
      </w:r>
      <w:r w:rsidR="007C7D08" w:rsidRPr="00947A2B">
        <w:rPr>
          <w:rFonts w:asciiTheme="majorBidi" w:hAnsiTheme="majorBidi" w:cstheme="majorBidi"/>
          <w:sz w:val="26"/>
          <w:szCs w:val="26"/>
        </w:rPr>
        <w:t>a</w:t>
      </w:r>
      <w:r w:rsidR="005B2D35" w:rsidRPr="00947A2B">
        <w:rPr>
          <w:rFonts w:asciiTheme="majorBidi" w:hAnsiTheme="majorBidi" w:cstheme="majorBidi"/>
          <w:sz w:val="26"/>
          <w:szCs w:val="26"/>
        </w:rPr>
        <w:t>n</w:t>
      </w:r>
      <w:r w:rsidR="00507FF5" w:rsidRPr="00947A2B">
        <w:rPr>
          <w:rFonts w:asciiTheme="majorBidi" w:hAnsiTheme="majorBidi" w:cstheme="majorBidi"/>
          <w:sz w:val="26"/>
          <w:szCs w:val="26"/>
        </w:rPr>
        <w:t xml:space="preserve"> </w:t>
      </w:r>
      <w:r w:rsidR="005B2D35" w:rsidRPr="00947A2B">
        <w:rPr>
          <w:rFonts w:asciiTheme="majorBidi" w:hAnsiTheme="majorBidi" w:cstheme="majorBidi"/>
          <w:sz w:val="26"/>
          <w:szCs w:val="26"/>
        </w:rPr>
        <w:t>increase</w:t>
      </w:r>
      <w:r w:rsidR="00ED7BD0" w:rsidRPr="00947A2B">
        <w:rPr>
          <w:rFonts w:asciiTheme="majorBidi" w:hAnsiTheme="majorBidi" w:cstheme="majorBidi"/>
          <w:sz w:val="26"/>
          <w:szCs w:val="26"/>
        </w:rPr>
        <w:t xml:space="preserve"> </w:t>
      </w:r>
      <w:r w:rsidR="00635E82" w:rsidRPr="00947A2B">
        <w:rPr>
          <w:rFonts w:asciiTheme="majorBidi" w:hAnsiTheme="majorBidi" w:cstheme="majorBidi"/>
          <w:sz w:val="26"/>
          <w:szCs w:val="26"/>
        </w:rPr>
        <w:t>of</w:t>
      </w:r>
      <w:r w:rsidR="00ED7BD0"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4.</w:t>
      </w:r>
      <w:r w:rsidR="00BD7C51" w:rsidRPr="00947A2B">
        <w:rPr>
          <w:rFonts w:asciiTheme="majorBidi" w:hAnsiTheme="majorBidi" w:cstheme="majorBidi"/>
          <w:sz w:val="26"/>
          <w:szCs w:val="26"/>
        </w:rPr>
        <w:t>49</w:t>
      </w:r>
      <w:r w:rsidR="00ED7BD0" w:rsidRPr="00947A2B">
        <w:rPr>
          <w:rFonts w:asciiTheme="majorBidi" w:hAnsiTheme="majorBidi" w:cstheme="majorBidi"/>
          <w:sz w:val="26"/>
          <w:szCs w:val="26"/>
        </w:rPr>
        <w:t xml:space="preserve">% </w:t>
      </w:r>
      <w:r w:rsidR="00635E82" w:rsidRPr="00947A2B">
        <w:rPr>
          <w:rFonts w:asciiTheme="majorBidi" w:hAnsiTheme="majorBidi" w:cstheme="majorBidi"/>
          <w:sz w:val="26"/>
          <w:szCs w:val="26"/>
        </w:rPr>
        <w:t xml:space="preserve">compared to </w:t>
      </w:r>
      <w:r w:rsidR="005B2D35" w:rsidRPr="00947A2B">
        <w:rPr>
          <w:rFonts w:asciiTheme="majorBidi" w:hAnsiTheme="majorBidi" w:cstheme="majorBidi"/>
          <w:sz w:val="26"/>
          <w:szCs w:val="26"/>
        </w:rPr>
        <w:t>November</w:t>
      </w:r>
      <w:r w:rsidR="00635E82"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2020</w:t>
      </w:r>
      <w:r w:rsidR="00F6707D" w:rsidRPr="00947A2B">
        <w:rPr>
          <w:rFonts w:asciiTheme="majorBidi" w:hAnsiTheme="majorBidi" w:cstheme="majorBidi"/>
          <w:sz w:val="26"/>
          <w:szCs w:val="26"/>
        </w:rPr>
        <w:t xml:space="preserve"> </w:t>
      </w:r>
      <w:r w:rsidR="00635E82" w:rsidRPr="00947A2B">
        <w:rPr>
          <w:rFonts w:asciiTheme="majorBidi" w:hAnsiTheme="majorBidi" w:cstheme="majorBidi"/>
          <w:sz w:val="26"/>
          <w:szCs w:val="26"/>
        </w:rPr>
        <w:t>(Base Year</w:t>
      </w:r>
      <w:r w:rsidR="005F3967" w:rsidRPr="00947A2B">
        <w:rPr>
          <w:rFonts w:asciiTheme="majorBidi" w:hAnsiTheme="majorBidi" w:cstheme="majorBidi"/>
          <w:sz w:val="26"/>
          <w:szCs w:val="26"/>
        </w:rPr>
        <w:t xml:space="preserve"> </w:t>
      </w:r>
      <w:r w:rsidR="00635E82" w:rsidRPr="00947A2B">
        <w:rPr>
          <w:rFonts w:asciiTheme="majorBidi" w:hAnsiTheme="majorBidi" w:cstheme="majorBidi"/>
          <w:sz w:val="26"/>
          <w:szCs w:val="26"/>
        </w:rPr>
        <w:t>2018 = 100)</w:t>
      </w:r>
      <w:r w:rsidRPr="00947A2B">
        <w:rPr>
          <w:rFonts w:asciiTheme="majorBidi" w:hAnsiTheme="majorBidi" w:cstheme="majorBidi"/>
          <w:sz w:val="26"/>
          <w:szCs w:val="26"/>
        </w:rPr>
        <w:t>.</w:t>
      </w:r>
    </w:p>
    <w:p w:rsidR="00696D0D" w:rsidRPr="00947A2B" w:rsidRDefault="00696D0D" w:rsidP="00947A2B">
      <w:pPr>
        <w:bidi w:val="0"/>
        <w:jc w:val="both"/>
        <w:rPr>
          <w:rFonts w:asciiTheme="majorBidi" w:hAnsiTheme="majorBidi" w:cstheme="majorBidi"/>
          <w:sz w:val="16"/>
          <w:szCs w:val="16"/>
          <w:rtl/>
        </w:rPr>
      </w:pPr>
    </w:p>
    <w:p w:rsidR="006F575A" w:rsidRPr="00947A2B" w:rsidRDefault="002C20FD" w:rsidP="00947A2B">
      <w:pPr>
        <w:autoSpaceDE w:val="0"/>
        <w:autoSpaceDN w:val="0"/>
        <w:bidi w:val="0"/>
        <w:adjustRightInd w:val="0"/>
        <w:jc w:val="both"/>
        <w:rPr>
          <w:rFonts w:asciiTheme="majorBidi" w:hAnsiTheme="majorBidi" w:cstheme="majorBidi"/>
          <w:snapToGrid w:val="0"/>
          <w:color w:val="000000"/>
          <w:sz w:val="26"/>
          <w:szCs w:val="26"/>
        </w:rPr>
      </w:pPr>
      <w:r w:rsidRPr="00947A2B">
        <w:rPr>
          <w:rFonts w:asciiTheme="majorBidi" w:hAnsiTheme="majorBidi" w:cstheme="majorBidi"/>
          <w:sz w:val="26"/>
          <w:szCs w:val="26"/>
        </w:rPr>
        <w:t xml:space="preserve">IPI for </w:t>
      </w:r>
      <w:r w:rsidR="005B2D35" w:rsidRPr="00947A2B">
        <w:rPr>
          <w:rFonts w:asciiTheme="majorBidi" w:hAnsiTheme="majorBidi" w:cstheme="majorBidi"/>
          <w:sz w:val="26"/>
          <w:szCs w:val="26"/>
        </w:rPr>
        <w:t>December</w:t>
      </w:r>
      <w:r w:rsidRPr="00947A2B">
        <w:rPr>
          <w:rFonts w:asciiTheme="majorBidi" w:hAnsiTheme="majorBidi" w:cstheme="majorBidi"/>
          <w:sz w:val="26"/>
          <w:szCs w:val="26"/>
        </w:rPr>
        <w:t xml:space="preserve"> </w:t>
      </w:r>
      <w:r w:rsidR="00DA0F7E" w:rsidRPr="00947A2B">
        <w:rPr>
          <w:rFonts w:asciiTheme="majorBidi" w:hAnsiTheme="majorBidi" w:cstheme="majorBidi"/>
          <w:sz w:val="26"/>
          <w:szCs w:val="26"/>
        </w:rPr>
        <w:t>2020</w:t>
      </w:r>
      <w:r w:rsidRPr="00947A2B">
        <w:rPr>
          <w:rFonts w:asciiTheme="majorBidi" w:hAnsiTheme="majorBidi" w:cstheme="majorBidi"/>
          <w:sz w:val="26"/>
          <w:szCs w:val="26"/>
        </w:rPr>
        <w:t xml:space="preserve"> </w:t>
      </w:r>
      <w:r w:rsidR="005B2D35" w:rsidRPr="00947A2B">
        <w:rPr>
          <w:rFonts w:asciiTheme="majorBidi" w:hAnsiTheme="majorBidi" w:cstheme="majorBidi"/>
          <w:sz w:val="26"/>
          <w:szCs w:val="26"/>
        </w:rPr>
        <w:t>increased</w:t>
      </w:r>
      <w:r w:rsidRPr="00947A2B">
        <w:rPr>
          <w:rFonts w:asciiTheme="majorBidi" w:hAnsiTheme="majorBidi" w:cstheme="majorBidi"/>
          <w:sz w:val="26"/>
          <w:szCs w:val="26"/>
        </w:rPr>
        <w:t xml:space="preserve"> due to the </w:t>
      </w:r>
      <w:r w:rsidR="00E61911" w:rsidRPr="00947A2B">
        <w:rPr>
          <w:rFonts w:asciiTheme="majorBidi" w:hAnsiTheme="majorBidi" w:cstheme="majorBidi"/>
          <w:sz w:val="26"/>
          <w:szCs w:val="26"/>
        </w:rPr>
        <w:t>increase</w:t>
      </w:r>
      <w:r w:rsidRPr="00947A2B">
        <w:rPr>
          <w:rFonts w:asciiTheme="majorBidi" w:hAnsiTheme="majorBidi" w:cstheme="majorBidi"/>
          <w:sz w:val="26"/>
          <w:szCs w:val="26"/>
        </w:rPr>
        <w:t xml:space="preserve"> in </w:t>
      </w:r>
      <w:r w:rsidR="00DA0F7E" w:rsidRPr="00947A2B">
        <w:rPr>
          <w:rFonts w:asciiTheme="majorBidi" w:hAnsiTheme="majorBidi" w:cstheme="majorBidi"/>
          <w:sz w:val="26"/>
          <w:szCs w:val="26"/>
        </w:rPr>
        <w:t xml:space="preserve">the </w:t>
      </w:r>
      <w:r w:rsidR="00DA0F7E" w:rsidRPr="00947A2B">
        <w:rPr>
          <w:rFonts w:asciiTheme="majorBidi" w:hAnsiTheme="majorBidi" w:cstheme="majorBidi"/>
          <w:b/>
          <w:bCs/>
          <w:sz w:val="26"/>
          <w:szCs w:val="26"/>
        </w:rPr>
        <w:t xml:space="preserve">activities of Water Supply, Sewerage, Waste Management and Remediation </w:t>
      </w:r>
      <w:r w:rsidR="00DA0F7E" w:rsidRPr="00947A2B">
        <w:rPr>
          <w:rFonts w:asciiTheme="majorBidi" w:hAnsiTheme="majorBidi" w:cstheme="majorBidi"/>
          <w:sz w:val="26"/>
          <w:szCs w:val="26"/>
        </w:rPr>
        <w:t>by 22.16% which had a share of 2.39% of the total industry</w:t>
      </w:r>
      <w:r w:rsidR="00DA0F7E" w:rsidRPr="00947A2B">
        <w:rPr>
          <w:rFonts w:asciiTheme="majorBidi" w:hAnsiTheme="majorBidi" w:cstheme="majorBidi"/>
          <w:snapToGrid w:val="0"/>
          <w:color w:val="000000"/>
          <w:sz w:val="26"/>
          <w:szCs w:val="26"/>
        </w:rPr>
        <w:t xml:space="preserve">, </w:t>
      </w:r>
      <w:r w:rsidR="005B2D35" w:rsidRPr="00947A2B">
        <w:rPr>
          <w:rFonts w:asciiTheme="majorBidi" w:hAnsiTheme="majorBidi" w:cstheme="majorBidi"/>
          <w:sz w:val="26"/>
          <w:szCs w:val="26"/>
        </w:rPr>
        <w:t>the</w:t>
      </w:r>
      <w:r w:rsidR="005B2D35" w:rsidRPr="00947A2B">
        <w:rPr>
          <w:rFonts w:asciiTheme="majorBidi" w:hAnsiTheme="majorBidi" w:cstheme="majorBidi"/>
          <w:b/>
          <w:bCs/>
          <w:sz w:val="26"/>
          <w:szCs w:val="26"/>
        </w:rPr>
        <w:t xml:space="preserve"> activities of Electricity, Gas, Steam and Air Conditioning Supply </w:t>
      </w:r>
      <w:r w:rsidR="005B2D35" w:rsidRPr="00947A2B">
        <w:rPr>
          <w:rFonts w:asciiTheme="majorBidi" w:hAnsiTheme="majorBidi" w:cstheme="majorBidi"/>
          <w:sz w:val="26"/>
          <w:szCs w:val="26"/>
        </w:rPr>
        <w:t xml:space="preserve">by </w:t>
      </w:r>
      <w:r w:rsidR="00DA0F7E" w:rsidRPr="00947A2B">
        <w:rPr>
          <w:rFonts w:asciiTheme="majorBidi" w:hAnsiTheme="majorBidi" w:cstheme="majorBidi"/>
          <w:sz w:val="26"/>
          <w:szCs w:val="26"/>
        </w:rPr>
        <w:t>9.49</w:t>
      </w:r>
      <w:r w:rsidR="005B2D35" w:rsidRPr="00947A2B">
        <w:rPr>
          <w:rFonts w:asciiTheme="majorBidi" w:hAnsiTheme="majorBidi" w:cstheme="majorBidi"/>
          <w:sz w:val="26"/>
          <w:szCs w:val="26"/>
        </w:rPr>
        <w:t>% which had a share of 11.95% of the total industry</w:t>
      </w:r>
      <w:r w:rsidR="005B2D35" w:rsidRPr="00947A2B">
        <w:rPr>
          <w:rFonts w:asciiTheme="majorBidi" w:hAnsiTheme="majorBidi" w:cstheme="majorBidi"/>
          <w:snapToGrid w:val="0"/>
          <w:color w:val="000000"/>
          <w:sz w:val="26"/>
          <w:szCs w:val="26"/>
        </w:rPr>
        <w:t xml:space="preserve">, </w:t>
      </w:r>
      <w:r w:rsidR="000E5E51" w:rsidRPr="00947A2B">
        <w:rPr>
          <w:rFonts w:asciiTheme="majorBidi" w:hAnsiTheme="majorBidi" w:cstheme="majorBidi"/>
          <w:snapToGrid w:val="0"/>
          <w:color w:val="000000"/>
          <w:sz w:val="26"/>
          <w:szCs w:val="26"/>
        </w:rPr>
        <w:t xml:space="preserve">the </w:t>
      </w:r>
      <w:r w:rsidR="000E5E51" w:rsidRPr="00947A2B">
        <w:rPr>
          <w:rFonts w:asciiTheme="majorBidi" w:hAnsiTheme="majorBidi" w:cstheme="majorBidi"/>
          <w:b/>
          <w:bCs/>
          <w:sz w:val="26"/>
          <w:szCs w:val="26"/>
        </w:rPr>
        <w:t>activities of Mining and Quarrying</w:t>
      </w:r>
      <w:r w:rsidR="000E5E51" w:rsidRPr="00947A2B">
        <w:rPr>
          <w:rFonts w:asciiTheme="majorBidi" w:hAnsiTheme="majorBidi" w:cstheme="majorBidi"/>
          <w:sz w:val="26"/>
          <w:szCs w:val="26"/>
        </w:rPr>
        <w:t xml:space="preserve"> by </w:t>
      </w:r>
      <w:r w:rsidR="006745D9" w:rsidRPr="00947A2B">
        <w:rPr>
          <w:rFonts w:asciiTheme="majorBidi" w:hAnsiTheme="majorBidi" w:cstheme="majorBidi"/>
          <w:sz w:val="26"/>
          <w:szCs w:val="26"/>
        </w:rPr>
        <w:t>3.85</w:t>
      </w:r>
      <w:r w:rsidR="000E5E51" w:rsidRPr="00947A2B">
        <w:rPr>
          <w:rFonts w:asciiTheme="majorBidi" w:hAnsiTheme="majorBidi" w:cstheme="majorBidi"/>
          <w:sz w:val="26"/>
          <w:szCs w:val="26"/>
        </w:rPr>
        <w:t xml:space="preserve">% which had a share of 2.68% of the total industry, </w:t>
      </w:r>
      <w:r w:rsidR="00AC07D6" w:rsidRPr="00947A2B">
        <w:rPr>
          <w:rFonts w:asciiTheme="majorBidi" w:hAnsiTheme="majorBidi" w:cstheme="majorBidi"/>
          <w:snapToGrid w:val="0"/>
          <w:color w:val="000000"/>
          <w:sz w:val="26"/>
          <w:szCs w:val="26"/>
        </w:rPr>
        <w:t xml:space="preserve">and </w:t>
      </w:r>
      <w:r w:rsidR="000E7153" w:rsidRPr="00947A2B">
        <w:rPr>
          <w:rFonts w:asciiTheme="majorBidi" w:hAnsiTheme="majorBidi" w:cstheme="majorBidi"/>
          <w:sz w:val="26"/>
          <w:szCs w:val="26"/>
        </w:rPr>
        <w:t>the</w:t>
      </w:r>
      <w:r w:rsidR="000E7153" w:rsidRPr="00947A2B">
        <w:rPr>
          <w:rFonts w:asciiTheme="majorBidi" w:hAnsiTheme="majorBidi" w:cstheme="majorBidi"/>
          <w:b/>
          <w:bCs/>
          <w:sz w:val="26"/>
          <w:szCs w:val="26"/>
        </w:rPr>
        <w:t xml:space="preserve"> activities of</w:t>
      </w:r>
      <w:r w:rsidR="000E7153" w:rsidRPr="00947A2B">
        <w:rPr>
          <w:rFonts w:asciiTheme="majorBidi" w:hAnsiTheme="majorBidi" w:cstheme="majorBidi"/>
          <w:sz w:val="26"/>
          <w:szCs w:val="26"/>
        </w:rPr>
        <w:t xml:space="preserve"> </w:t>
      </w:r>
      <w:r w:rsidR="000E7153" w:rsidRPr="00947A2B">
        <w:rPr>
          <w:rFonts w:asciiTheme="majorBidi" w:hAnsiTheme="majorBidi" w:cstheme="majorBidi"/>
          <w:b/>
          <w:bCs/>
          <w:sz w:val="26"/>
          <w:szCs w:val="26"/>
        </w:rPr>
        <w:t>Manufacturing Industry</w:t>
      </w:r>
      <w:r w:rsidR="000E7153" w:rsidRPr="00947A2B">
        <w:rPr>
          <w:rFonts w:asciiTheme="majorBidi" w:hAnsiTheme="majorBidi" w:cstheme="majorBidi"/>
          <w:sz w:val="26"/>
          <w:szCs w:val="26"/>
        </w:rPr>
        <w:t xml:space="preserve"> by </w:t>
      </w:r>
      <w:r w:rsidR="006745D9" w:rsidRPr="00947A2B">
        <w:rPr>
          <w:rFonts w:asciiTheme="majorBidi" w:hAnsiTheme="majorBidi" w:cstheme="majorBidi"/>
          <w:sz w:val="26"/>
          <w:szCs w:val="26"/>
        </w:rPr>
        <w:t>3.</w:t>
      </w:r>
      <w:r w:rsidR="00BD7C51" w:rsidRPr="00947A2B">
        <w:rPr>
          <w:rFonts w:asciiTheme="majorBidi" w:hAnsiTheme="majorBidi" w:cstheme="majorBidi"/>
          <w:sz w:val="26"/>
          <w:szCs w:val="26"/>
        </w:rPr>
        <w:t>10</w:t>
      </w:r>
      <w:r w:rsidR="000E7153" w:rsidRPr="00947A2B">
        <w:rPr>
          <w:rFonts w:asciiTheme="majorBidi" w:hAnsiTheme="majorBidi" w:cstheme="majorBidi"/>
          <w:sz w:val="26"/>
          <w:szCs w:val="26"/>
        </w:rPr>
        <w:t>% which had a share of 82.98% of the total industry</w:t>
      </w:r>
      <w:r w:rsidR="009D5A95" w:rsidRPr="00947A2B">
        <w:rPr>
          <w:rFonts w:asciiTheme="majorBidi" w:hAnsiTheme="majorBidi" w:cstheme="majorBidi"/>
          <w:sz w:val="26"/>
          <w:szCs w:val="26"/>
        </w:rPr>
        <w:t>.</w:t>
      </w:r>
    </w:p>
    <w:p w:rsidR="001760E0" w:rsidRPr="00947A2B" w:rsidRDefault="001760E0" w:rsidP="00947A2B">
      <w:pPr>
        <w:autoSpaceDE w:val="0"/>
        <w:autoSpaceDN w:val="0"/>
        <w:bidi w:val="0"/>
        <w:adjustRightInd w:val="0"/>
        <w:jc w:val="both"/>
        <w:rPr>
          <w:rFonts w:asciiTheme="majorBidi" w:hAnsiTheme="majorBidi" w:cstheme="majorBidi"/>
          <w:snapToGrid w:val="0"/>
          <w:color w:val="000000"/>
          <w:sz w:val="16"/>
          <w:szCs w:val="16"/>
        </w:rPr>
      </w:pPr>
    </w:p>
    <w:p w:rsidR="000E3C82" w:rsidRPr="00947A2B" w:rsidRDefault="00DF42FD" w:rsidP="00947A2B">
      <w:pPr>
        <w:autoSpaceDE w:val="0"/>
        <w:autoSpaceDN w:val="0"/>
        <w:bidi w:val="0"/>
        <w:adjustRightInd w:val="0"/>
        <w:jc w:val="center"/>
        <w:rPr>
          <w:rFonts w:asciiTheme="majorBidi" w:hAnsiTheme="majorBidi" w:cstheme="majorBidi"/>
          <w:b/>
          <w:bCs/>
          <w:snapToGrid w:val="0"/>
          <w:sz w:val="26"/>
          <w:szCs w:val="26"/>
        </w:rPr>
      </w:pPr>
      <w:r w:rsidRPr="00947A2B">
        <w:rPr>
          <w:rFonts w:asciiTheme="majorBidi" w:hAnsiTheme="majorBidi" w:cstheme="majorBidi"/>
          <w:b/>
          <w:bCs/>
          <w:snapToGrid w:val="0"/>
          <w:sz w:val="26"/>
          <w:szCs w:val="26"/>
        </w:rPr>
        <w:t xml:space="preserve">The </w:t>
      </w:r>
      <w:r w:rsidR="00890BC6" w:rsidRPr="00947A2B">
        <w:rPr>
          <w:rFonts w:asciiTheme="majorBidi" w:hAnsiTheme="majorBidi" w:cstheme="majorBidi"/>
          <w:b/>
          <w:bCs/>
          <w:snapToGrid w:val="0"/>
          <w:sz w:val="26"/>
          <w:szCs w:val="26"/>
        </w:rPr>
        <w:t xml:space="preserve">below </w:t>
      </w:r>
      <w:r w:rsidRPr="00947A2B">
        <w:rPr>
          <w:rFonts w:asciiTheme="majorBidi" w:hAnsiTheme="majorBidi" w:cstheme="majorBidi"/>
          <w:b/>
          <w:bCs/>
          <w:snapToGrid w:val="0"/>
          <w:sz w:val="26"/>
          <w:szCs w:val="26"/>
        </w:rPr>
        <w:t xml:space="preserve">table shows percent changes in IPI for the </w:t>
      </w:r>
      <w:r w:rsidR="00DF2C7D" w:rsidRPr="00947A2B">
        <w:rPr>
          <w:rFonts w:asciiTheme="majorBidi" w:hAnsiTheme="majorBidi" w:cstheme="majorBidi"/>
          <w:b/>
          <w:bCs/>
          <w:sz w:val="26"/>
          <w:szCs w:val="26"/>
        </w:rPr>
        <w:t>period</w:t>
      </w:r>
      <w:r w:rsidRPr="00947A2B">
        <w:rPr>
          <w:rFonts w:asciiTheme="majorBidi" w:hAnsiTheme="majorBidi" w:cstheme="majorBidi"/>
          <w:b/>
          <w:bCs/>
          <w:snapToGrid w:val="0"/>
          <w:sz w:val="26"/>
          <w:szCs w:val="26"/>
        </w:rPr>
        <w:t xml:space="preserve">: January – </w:t>
      </w:r>
      <w:r w:rsidR="00DF2C7D" w:rsidRPr="00947A2B">
        <w:rPr>
          <w:rFonts w:asciiTheme="majorBidi" w:hAnsiTheme="majorBidi" w:cstheme="majorBidi"/>
          <w:b/>
          <w:bCs/>
          <w:snapToGrid w:val="0"/>
          <w:sz w:val="26"/>
          <w:szCs w:val="26"/>
        </w:rPr>
        <w:t>December</w:t>
      </w:r>
      <w:r w:rsidRPr="00947A2B">
        <w:rPr>
          <w:rFonts w:asciiTheme="majorBidi" w:hAnsiTheme="majorBidi" w:cstheme="majorBidi"/>
          <w:b/>
          <w:bCs/>
          <w:snapToGrid w:val="0"/>
          <w:sz w:val="26"/>
          <w:szCs w:val="26"/>
        </w:rPr>
        <w:t xml:space="preserve"> </w:t>
      </w:r>
      <w:r w:rsidR="00021138" w:rsidRPr="00947A2B">
        <w:rPr>
          <w:rFonts w:asciiTheme="majorBidi" w:hAnsiTheme="majorBidi" w:cstheme="majorBidi"/>
          <w:b/>
          <w:bCs/>
          <w:snapToGrid w:val="0"/>
          <w:sz w:val="26"/>
          <w:szCs w:val="26"/>
        </w:rPr>
        <w:t>2020</w:t>
      </w:r>
      <w:r w:rsidRPr="00947A2B">
        <w:rPr>
          <w:rFonts w:asciiTheme="majorBidi" w:hAnsiTheme="majorBidi" w:cstheme="majorBidi"/>
          <w:b/>
          <w:bCs/>
          <w:snapToGrid w:val="0"/>
          <w:sz w:val="26"/>
          <w:szCs w:val="26"/>
        </w:rPr>
        <w:t>:</w:t>
      </w:r>
    </w:p>
    <w:tbl>
      <w:tblPr>
        <w:tblW w:w="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2613"/>
      </w:tblGrid>
      <w:tr w:rsidR="00DF42FD" w:rsidRPr="00947A2B" w:rsidTr="00947A2B">
        <w:trPr>
          <w:trHeight w:val="273"/>
          <w:tblHeader/>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b/>
                <w:bCs/>
                <w:snapToGrid w:val="0"/>
                <w:color w:val="000000"/>
              </w:rPr>
            </w:pPr>
            <w:r w:rsidRPr="00947A2B">
              <w:rPr>
                <w:rFonts w:asciiTheme="majorBidi" w:hAnsiTheme="majorBidi" w:cstheme="majorBidi"/>
                <w:b/>
                <w:bCs/>
                <w:snapToGrid w:val="0"/>
                <w:color w:val="000000"/>
              </w:rPr>
              <w:t>Month</w:t>
            </w:r>
          </w:p>
        </w:tc>
        <w:tc>
          <w:tcPr>
            <w:tcW w:w="2613" w:type="dxa"/>
          </w:tcPr>
          <w:p w:rsidR="00DF42FD" w:rsidRPr="00947A2B" w:rsidRDefault="00DF42FD" w:rsidP="00947A2B">
            <w:pPr>
              <w:autoSpaceDE w:val="0"/>
              <w:autoSpaceDN w:val="0"/>
              <w:bidi w:val="0"/>
              <w:adjustRightInd w:val="0"/>
              <w:jc w:val="center"/>
              <w:rPr>
                <w:rFonts w:asciiTheme="majorBidi" w:hAnsiTheme="majorBidi" w:cstheme="majorBidi"/>
                <w:b/>
                <w:bCs/>
                <w:snapToGrid w:val="0"/>
                <w:color w:val="000000"/>
              </w:rPr>
            </w:pPr>
            <w:r w:rsidRPr="00947A2B">
              <w:rPr>
                <w:rFonts w:asciiTheme="majorBidi" w:hAnsiTheme="majorBidi" w:cstheme="majorBidi"/>
                <w:b/>
                <w:bCs/>
                <w:snapToGrid w:val="0"/>
                <w:color w:val="000000"/>
              </w:rPr>
              <w:t>Percent Change</w:t>
            </w:r>
            <w:r w:rsidR="00281386" w:rsidRPr="00947A2B">
              <w:rPr>
                <w:rFonts w:asciiTheme="majorBidi" w:hAnsiTheme="majorBidi" w:cstheme="majorBidi"/>
                <w:b/>
                <w:bCs/>
                <w:snapToGrid w:val="0"/>
                <w:color w:val="000000"/>
              </w:rPr>
              <w:t>s</w:t>
            </w:r>
            <w:r w:rsidRPr="00947A2B">
              <w:rPr>
                <w:rFonts w:asciiTheme="majorBidi" w:hAnsiTheme="majorBidi" w:cstheme="majorBidi"/>
                <w:b/>
                <w:bCs/>
                <w:snapToGrid w:val="0"/>
                <w:color w:val="000000"/>
              </w:rPr>
              <w:t xml:space="preserve"> (%)</w:t>
            </w:r>
          </w:p>
        </w:tc>
      </w:tr>
      <w:tr w:rsidR="00DF42FD" w:rsidRPr="00947A2B" w:rsidTr="00947A2B">
        <w:trPr>
          <w:trHeight w:val="276"/>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January</w:t>
            </w:r>
          </w:p>
        </w:tc>
        <w:tc>
          <w:tcPr>
            <w:tcW w:w="2613" w:type="dxa"/>
            <w:vAlign w:val="center"/>
          </w:tcPr>
          <w:p w:rsidR="00DF42F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6.65</w:t>
            </w:r>
            <w:r w:rsidR="00DF42FD" w:rsidRPr="00947A2B">
              <w:rPr>
                <w:rFonts w:asciiTheme="majorBidi" w:hAnsiTheme="majorBidi" w:cstheme="majorBidi"/>
                <w:snapToGrid/>
                <w:color w:val="000000"/>
                <w:sz w:val="24"/>
                <w:szCs w:val="24"/>
                <w:rtl/>
                <w:lang w:eastAsia="ar-SA"/>
              </w:rPr>
              <w:t xml:space="preserve"> -</w:t>
            </w:r>
          </w:p>
        </w:tc>
      </w:tr>
      <w:tr w:rsidR="00DF42FD" w:rsidRPr="00947A2B" w:rsidTr="00947A2B">
        <w:trPr>
          <w:trHeight w:val="257"/>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February</w:t>
            </w:r>
          </w:p>
        </w:tc>
        <w:tc>
          <w:tcPr>
            <w:tcW w:w="2613" w:type="dxa"/>
            <w:vAlign w:val="center"/>
          </w:tcPr>
          <w:p w:rsidR="00DF42F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3.98</w:t>
            </w:r>
            <w:r w:rsidR="00DF42FD" w:rsidRPr="00947A2B">
              <w:rPr>
                <w:rFonts w:asciiTheme="majorBidi" w:hAnsiTheme="majorBidi" w:cstheme="majorBidi"/>
                <w:snapToGrid/>
                <w:color w:val="000000"/>
                <w:sz w:val="24"/>
                <w:szCs w:val="24"/>
                <w:rtl/>
                <w:lang w:eastAsia="ar-SA"/>
              </w:rPr>
              <w:t xml:space="preserve"> </w:t>
            </w:r>
            <w:r w:rsidR="00CD11F7" w:rsidRPr="00947A2B">
              <w:rPr>
                <w:rFonts w:asciiTheme="majorBidi" w:hAnsiTheme="majorBidi" w:cstheme="majorBidi"/>
                <w:snapToGrid/>
                <w:color w:val="000000"/>
                <w:sz w:val="24"/>
                <w:szCs w:val="24"/>
                <w:lang w:eastAsia="ar-SA"/>
              </w:rPr>
              <w:t>+</w:t>
            </w:r>
          </w:p>
        </w:tc>
      </w:tr>
      <w:tr w:rsidR="00DF42FD" w:rsidRPr="00947A2B" w:rsidTr="00947A2B">
        <w:trPr>
          <w:trHeight w:val="239"/>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March</w:t>
            </w:r>
          </w:p>
        </w:tc>
        <w:tc>
          <w:tcPr>
            <w:tcW w:w="2613" w:type="dxa"/>
            <w:vAlign w:val="center"/>
          </w:tcPr>
          <w:p w:rsidR="00DF42F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26.03</w:t>
            </w:r>
            <w:r w:rsidR="00DF42FD" w:rsidRPr="00947A2B">
              <w:rPr>
                <w:rFonts w:asciiTheme="majorBidi" w:hAnsiTheme="majorBidi" w:cstheme="majorBidi"/>
                <w:snapToGrid/>
                <w:color w:val="000000"/>
                <w:sz w:val="24"/>
                <w:szCs w:val="24"/>
                <w:rtl/>
                <w:lang w:eastAsia="ar-SA"/>
              </w:rPr>
              <w:t xml:space="preserve"> </w:t>
            </w:r>
            <w:r w:rsidRPr="00947A2B">
              <w:rPr>
                <w:rFonts w:asciiTheme="majorBidi" w:hAnsiTheme="majorBidi" w:cstheme="majorBidi"/>
                <w:snapToGrid/>
                <w:color w:val="000000"/>
                <w:sz w:val="24"/>
                <w:szCs w:val="24"/>
                <w:lang w:eastAsia="ar-SA"/>
              </w:rPr>
              <w:t>-</w:t>
            </w:r>
          </w:p>
        </w:tc>
      </w:tr>
      <w:tr w:rsidR="00DF42FD" w:rsidRPr="00947A2B" w:rsidTr="00947A2B">
        <w:trPr>
          <w:trHeight w:val="230"/>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April</w:t>
            </w:r>
          </w:p>
        </w:tc>
        <w:tc>
          <w:tcPr>
            <w:tcW w:w="2613" w:type="dxa"/>
            <w:vAlign w:val="center"/>
          </w:tcPr>
          <w:p w:rsidR="00DF42F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23.10</w:t>
            </w:r>
            <w:r w:rsidR="00DF42FD" w:rsidRPr="00947A2B">
              <w:rPr>
                <w:rFonts w:asciiTheme="majorBidi" w:hAnsiTheme="majorBidi" w:cstheme="majorBidi"/>
                <w:snapToGrid/>
                <w:color w:val="000000"/>
                <w:sz w:val="24"/>
                <w:szCs w:val="24"/>
                <w:rtl/>
                <w:lang w:eastAsia="ar-SA"/>
              </w:rPr>
              <w:t xml:space="preserve"> </w:t>
            </w:r>
            <w:r w:rsidRPr="00947A2B">
              <w:rPr>
                <w:rFonts w:asciiTheme="majorBidi" w:hAnsiTheme="majorBidi" w:cstheme="majorBidi"/>
                <w:snapToGrid/>
                <w:color w:val="000000"/>
                <w:sz w:val="24"/>
                <w:szCs w:val="24"/>
                <w:lang w:eastAsia="ar-SA"/>
              </w:rPr>
              <w:t>-</w:t>
            </w:r>
          </w:p>
        </w:tc>
      </w:tr>
      <w:tr w:rsidR="00DF42FD" w:rsidRPr="00947A2B" w:rsidTr="00947A2B">
        <w:trPr>
          <w:trHeight w:val="212"/>
          <w:jc w:val="center"/>
        </w:trPr>
        <w:tc>
          <w:tcPr>
            <w:tcW w:w="2763" w:type="dxa"/>
            <w:vAlign w:val="center"/>
          </w:tcPr>
          <w:p w:rsidR="00DF42FD" w:rsidRPr="00947A2B" w:rsidRDefault="00DF42F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May</w:t>
            </w:r>
          </w:p>
        </w:tc>
        <w:tc>
          <w:tcPr>
            <w:tcW w:w="2613" w:type="dxa"/>
            <w:vAlign w:val="center"/>
          </w:tcPr>
          <w:p w:rsidR="00DF42F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32.39</w:t>
            </w:r>
            <w:r w:rsidR="00DF42FD" w:rsidRPr="00947A2B">
              <w:rPr>
                <w:rFonts w:asciiTheme="majorBidi" w:hAnsiTheme="majorBidi" w:cstheme="majorBidi"/>
                <w:snapToGrid/>
                <w:color w:val="000000"/>
                <w:sz w:val="24"/>
                <w:szCs w:val="24"/>
                <w:rtl/>
                <w:lang w:eastAsia="ar-SA"/>
              </w:rPr>
              <w:t xml:space="preserve"> </w:t>
            </w:r>
            <w:r w:rsidRPr="00947A2B">
              <w:rPr>
                <w:rFonts w:asciiTheme="majorBidi" w:hAnsiTheme="majorBidi" w:cstheme="majorBidi"/>
                <w:snapToGrid/>
                <w:color w:val="000000"/>
                <w:sz w:val="24"/>
                <w:szCs w:val="24"/>
                <w:lang w:eastAsia="ar-SA"/>
              </w:rPr>
              <w:t>+</w:t>
            </w:r>
          </w:p>
        </w:tc>
      </w:tr>
      <w:tr w:rsidR="00021138" w:rsidRPr="00947A2B" w:rsidTr="00947A2B">
        <w:trPr>
          <w:trHeight w:val="194"/>
          <w:jc w:val="center"/>
        </w:trPr>
        <w:tc>
          <w:tcPr>
            <w:tcW w:w="2763" w:type="dxa"/>
            <w:vAlign w:val="center"/>
          </w:tcPr>
          <w:p w:rsidR="00021138" w:rsidRPr="00947A2B" w:rsidRDefault="00021138"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June</w:t>
            </w:r>
          </w:p>
        </w:tc>
        <w:tc>
          <w:tcPr>
            <w:tcW w:w="2613" w:type="dxa"/>
            <w:vAlign w:val="center"/>
          </w:tcPr>
          <w:p w:rsidR="00021138"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18.98</w:t>
            </w:r>
            <w:r w:rsidRPr="00947A2B">
              <w:rPr>
                <w:rFonts w:asciiTheme="majorBidi" w:hAnsiTheme="majorBidi" w:cstheme="majorBidi"/>
                <w:snapToGrid/>
                <w:color w:val="000000"/>
                <w:sz w:val="24"/>
                <w:szCs w:val="24"/>
                <w:rtl/>
                <w:lang w:eastAsia="ar-SA"/>
              </w:rPr>
              <w:t xml:space="preserve"> </w:t>
            </w:r>
            <w:r w:rsidRPr="00947A2B">
              <w:rPr>
                <w:rFonts w:asciiTheme="majorBidi" w:hAnsiTheme="majorBidi" w:cstheme="majorBidi"/>
                <w:snapToGrid/>
                <w:color w:val="000000"/>
                <w:sz w:val="24"/>
                <w:szCs w:val="24"/>
                <w:lang w:eastAsia="ar-SA"/>
              </w:rPr>
              <w:t>+</w:t>
            </w:r>
          </w:p>
        </w:tc>
      </w:tr>
      <w:tr w:rsidR="00A76954" w:rsidRPr="00947A2B" w:rsidTr="00947A2B">
        <w:trPr>
          <w:trHeight w:val="185"/>
          <w:jc w:val="center"/>
        </w:trPr>
        <w:tc>
          <w:tcPr>
            <w:tcW w:w="2763" w:type="dxa"/>
            <w:vAlign w:val="center"/>
          </w:tcPr>
          <w:p w:rsidR="00A76954" w:rsidRPr="00947A2B" w:rsidRDefault="00A76954"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July</w:t>
            </w:r>
          </w:p>
        </w:tc>
        <w:tc>
          <w:tcPr>
            <w:tcW w:w="2613" w:type="dxa"/>
            <w:vAlign w:val="center"/>
          </w:tcPr>
          <w:p w:rsidR="00A76954"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1.36</w:t>
            </w:r>
            <w:r w:rsidR="00A76954" w:rsidRPr="00947A2B">
              <w:rPr>
                <w:rFonts w:asciiTheme="majorBidi" w:hAnsiTheme="majorBidi" w:cstheme="majorBidi"/>
                <w:snapToGrid/>
                <w:color w:val="000000"/>
                <w:sz w:val="24"/>
                <w:szCs w:val="24"/>
                <w:rtl/>
                <w:lang w:eastAsia="ar-SA"/>
              </w:rPr>
              <w:t xml:space="preserve"> </w:t>
            </w:r>
            <w:r w:rsidR="00A76954" w:rsidRPr="00947A2B">
              <w:rPr>
                <w:rFonts w:asciiTheme="majorBidi" w:hAnsiTheme="majorBidi" w:cstheme="majorBidi"/>
                <w:snapToGrid/>
                <w:color w:val="000000"/>
                <w:sz w:val="24"/>
                <w:szCs w:val="24"/>
                <w:lang w:eastAsia="ar-SA"/>
              </w:rPr>
              <w:t>+</w:t>
            </w:r>
          </w:p>
        </w:tc>
      </w:tr>
      <w:tr w:rsidR="005F3967" w:rsidRPr="00947A2B" w:rsidTr="00947A2B">
        <w:trPr>
          <w:trHeight w:val="239"/>
          <w:jc w:val="center"/>
        </w:trPr>
        <w:tc>
          <w:tcPr>
            <w:tcW w:w="2763" w:type="dxa"/>
            <w:vAlign w:val="center"/>
          </w:tcPr>
          <w:p w:rsidR="005F3967" w:rsidRPr="00947A2B" w:rsidRDefault="005F3967"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August</w:t>
            </w:r>
          </w:p>
        </w:tc>
        <w:tc>
          <w:tcPr>
            <w:tcW w:w="2613" w:type="dxa"/>
            <w:vAlign w:val="center"/>
          </w:tcPr>
          <w:p w:rsidR="005F3967"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6.27</w:t>
            </w:r>
            <w:r w:rsidR="005F3967" w:rsidRPr="00947A2B">
              <w:rPr>
                <w:rFonts w:asciiTheme="majorBidi" w:hAnsiTheme="majorBidi" w:cstheme="majorBidi"/>
                <w:snapToGrid/>
                <w:color w:val="000000"/>
                <w:sz w:val="24"/>
                <w:szCs w:val="24"/>
                <w:rtl/>
                <w:lang w:eastAsia="ar-SA"/>
              </w:rPr>
              <w:t xml:space="preserve"> </w:t>
            </w:r>
            <w:r w:rsidRPr="00947A2B">
              <w:rPr>
                <w:rFonts w:asciiTheme="majorBidi" w:hAnsiTheme="majorBidi" w:cstheme="majorBidi"/>
                <w:snapToGrid/>
                <w:color w:val="000000"/>
                <w:sz w:val="24"/>
                <w:szCs w:val="24"/>
                <w:lang w:eastAsia="ar-SA"/>
              </w:rPr>
              <w:t>+</w:t>
            </w:r>
          </w:p>
        </w:tc>
      </w:tr>
      <w:tr w:rsidR="00731F71" w:rsidRPr="00947A2B" w:rsidTr="00947A2B">
        <w:trPr>
          <w:trHeight w:val="230"/>
          <w:jc w:val="center"/>
        </w:trPr>
        <w:tc>
          <w:tcPr>
            <w:tcW w:w="2763" w:type="dxa"/>
            <w:vAlign w:val="center"/>
          </w:tcPr>
          <w:p w:rsidR="00731F71" w:rsidRPr="00947A2B" w:rsidRDefault="00731F71"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September</w:t>
            </w:r>
          </w:p>
        </w:tc>
        <w:tc>
          <w:tcPr>
            <w:tcW w:w="2613" w:type="dxa"/>
            <w:vAlign w:val="center"/>
          </w:tcPr>
          <w:p w:rsidR="00731F71"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7.93</w:t>
            </w:r>
            <w:r w:rsidR="00731F71" w:rsidRPr="00947A2B">
              <w:rPr>
                <w:rFonts w:asciiTheme="majorBidi" w:hAnsiTheme="majorBidi" w:cstheme="majorBidi"/>
                <w:snapToGrid/>
                <w:color w:val="000000"/>
                <w:sz w:val="24"/>
                <w:szCs w:val="24"/>
                <w:rtl/>
                <w:lang w:eastAsia="ar-SA"/>
              </w:rPr>
              <w:t xml:space="preserve"> </w:t>
            </w:r>
            <w:r w:rsidR="00731F71" w:rsidRPr="00947A2B">
              <w:rPr>
                <w:rFonts w:asciiTheme="majorBidi" w:hAnsiTheme="majorBidi" w:cstheme="majorBidi"/>
                <w:snapToGrid/>
                <w:color w:val="000000"/>
                <w:sz w:val="24"/>
                <w:szCs w:val="24"/>
                <w:lang w:eastAsia="ar-SA"/>
              </w:rPr>
              <w:t>+</w:t>
            </w:r>
          </w:p>
        </w:tc>
      </w:tr>
      <w:tr w:rsidR="00AC07D6" w:rsidRPr="00947A2B" w:rsidTr="00947A2B">
        <w:trPr>
          <w:trHeight w:val="217"/>
          <w:jc w:val="center"/>
        </w:trPr>
        <w:tc>
          <w:tcPr>
            <w:tcW w:w="2763" w:type="dxa"/>
            <w:vAlign w:val="center"/>
          </w:tcPr>
          <w:p w:rsidR="00AC07D6" w:rsidRPr="00947A2B" w:rsidRDefault="00AC07D6"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October</w:t>
            </w:r>
          </w:p>
        </w:tc>
        <w:tc>
          <w:tcPr>
            <w:tcW w:w="2613" w:type="dxa"/>
            <w:vAlign w:val="center"/>
          </w:tcPr>
          <w:p w:rsidR="00AC07D6" w:rsidRPr="00947A2B" w:rsidRDefault="00AC07D6"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0.</w:t>
            </w:r>
            <w:r w:rsidR="00021138" w:rsidRPr="00947A2B">
              <w:rPr>
                <w:rFonts w:asciiTheme="majorBidi" w:hAnsiTheme="majorBidi" w:cstheme="majorBidi"/>
                <w:snapToGrid/>
                <w:color w:val="000000"/>
                <w:sz w:val="24"/>
                <w:szCs w:val="24"/>
                <w:lang w:eastAsia="ar-SA"/>
              </w:rPr>
              <w:t>25</w:t>
            </w:r>
            <w:r w:rsidRPr="00947A2B">
              <w:rPr>
                <w:rFonts w:asciiTheme="majorBidi" w:hAnsiTheme="majorBidi" w:cstheme="majorBidi"/>
                <w:snapToGrid/>
                <w:color w:val="000000"/>
                <w:sz w:val="24"/>
                <w:szCs w:val="24"/>
                <w:rtl/>
                <w:lang w:eastAsia="ar-SA"/>
              </w:rPr>
              <w:t xml:space="preserve"> -</w:t>
            </w:r>
          </w:p>
        </w:tc>
      </w:tr>
      <w:tr w:rsidR="00021138" w:rsidRPr="00947A2B" w:rsidTr="00947A2B">
        <w:trPr>
          <w:trHeight w:val="199"/>
          <w:jc w:val="center"/>
        </w:trPr>
        <w:tc>
          <w:tcPr>
            <w:tcW w:w="2763" w:type="dxa"/>
            <w:vAlign w:val="center"/>
          </w:tcPr>
          <w:p w:rsidR="00021138" w:rsidRPr="00947A2B" w:rsidRDefault="00021138"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November</w:t>
            </w:r>
          </w:p>
        </w:tc>
        <w:tc>
          <w:tcPr>
            <w:tcW w:w="2613" w:type="dxa"/>
            <w:vAlign w:val="center"/>
          </w:tcPr>
          <w:p w:rsidR="00021138"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6.</w:t>
            </w:r>
            <w:r w:rsidR="000D0051" w:rsidRPr="00947A2B">
              <w:rPr>
                <w:rFonts w:asciiTheme="majorBidi" w:hAnsiTheme="majorBidi" w:cstheme="majorBidi"/>
                <w:snapToGrid/>
                <w:color w:val="000000"/>
                <w:sz w:val="24"/>
                <w:szCs w:val="24"/>
                <w:lang w:eastAsia="ar-SA"/>
              </w:rPr>
              <w:t>81</w:t>
            </w:r>
            <w:r w:rsidRPr="00947A2B">
              <w:rPr>
                <w:rFonts w:asciiTheme="majorBidi" w:hAnsiTheme="majorBidi" w:cstheme="majorBidi"/>
                <w:snapToGrid/>
                <w:color w:val="000000"/>
                <w:sz w:val="24"/>
                <w:szCs w:val="24"/>
                <w:rtl/>
                <w:lang w:eastAsia="ar-SA"/>
              </w:rPr>
              <w:t xml:space="preserve"> -</w:t>
            </w:r>
          </w:p>
        </w:tc>
      </w:tr>
      <w:tr w:rsidR="0025310D" w:rsidRPr="00947A2B" w:rsidTr="00947A2B">
        <w:trPr>
          <w:trHeight w:val="190"/>
          <w:jc w:val="center"/>
        </w:trPr>
        <w:tc>
          <w:tcPr>
            <w:tcW w:w="2763" w:type="dxa"/>
            <w:vAlign w:val="center"/>
          </w:tcPr>
          <w:p w:rsidR="0025310D" w:rsidRPr="00947A2B" w:rsidRDefault="0025310D" w:rsidP="00947A2B">
            <w:pPr>
              <w:autoSpaceDE w:val="0"/>
              <w:autoSpaceDN w:val="0"/>
              <w:bidi w:val="0"/>
              <w:adjustRightInd w:val="0"/>
              <w:jc w:val="center"/>
              <w:rPr>
                <w:rFonts w:asciiTheme="majorBidi" w:hAnsiTheme="majorBidi" w:cstheme="majorBidi"/>
                <w:snapToGrid w:val="0"/>
                <w:color w:val="000000"/>
              </w:rPr>
            </w:pPr>
            <w:r w:rsidRPr="00947A2B">
              <w:rPr>
                <w:rFonts w:asciiTheme="majorBidi" w:hAnsiTheme="majorBidi" w:cstheme="majorBidi"/>
                <w:snapToGrid w:val="0"/>
                <w:color w:val="000000"/>
              </w:rPr>
              <w:t>December</w:t>
            </w:r>
          </w:p>
        </w:tc>
        <w:tc>
          <w:tcPr>
            <w:tcW w:w="2613" w:type="dxa"/>
            <w:vAlign w:val="center"/>
          </w:tcPr>
          <w:p w:rsidR="0025310D" w:rsidRPr="00947A2B" w:rsidRDefault="00021138" w:rsidP="00947A2B">
            <w:pPr>
              <w:pStyle w:val="Header"/>
              <w:bidi w:val="0"/>
              <w:ind w:right="-180"/>
              <w:jc w:val="center"/>
              <w:rPr>
                <w:rFonts w:asciiTheme="majorBidi" w:hAnsiTheme="majorBidi" w:cstheme="majorBidi"/>
                <w:snapToGrid/>
                <w:color w:val="000000"/>
                <w:sz w:val="24"/>
                <w:szCs w:val="24"/>
                <w:rtl/>
                <w:lang w:eastAsia="ar-SA"/>
              </w:rPr>
            </w:pPr>
            <w:r w:rsidRPr="00947A2B">
              <w:rPr>
                <w:rFonts w:asciiTheme="majorBidi" w:hAnsiTheme="majorBidi" w:cstheme="majorBidi"/>
                <w:snapToGrid/>
                <w:color w:val="000000"/>
                <w:sz w:val="24"/>
                <w:szCs w:val="24"/>
                <w:lang w:eastAsia="ar-SA"/>
              </w:rPr>
              <w:t>4.</w:t>
            </w:r>
            <w:r w:rsidR="00BD7C51" w:rsidRPr="00947A2B">
              <w:rPr>
                <w:rFonts w:asciiTheme="majorBidi" w:hAnsiTheme="majorBidi" w:cstheme="majorBidi"/>
                <w:snapToGrid/>
                <w:color w:val="000000"/>
                <w:sz w:val="24"/>
                <w:szCs w:val="24"/>
                <w:lang w:eastAsia="ar-SA"/>
              </w:rPr>
              <w:t>49</w:t>
            </w:r>
            <w:r w:rsidR="0025310D" w:rsidRPr="00947A2B">
              <w:rPr>
                <w:rFonts w:asciiTheme="majorBidi" w:hAnsiTheme="majorBidi" w:cstheme="majorBidi"/>
                <w:snapToGrid/>
                <w:color w:val="000000"/>
                <w:sz w:val="24"/>
                <w:szCs w:val="24"/>
                <w:rtl/>
                <w:lang w:eastAsia="ar-SA"/>
              </w:rPr>
              <w:t xml:space="preserve"> </w:t>
            </w:r>
            <w:r w:rsidR="0025310D" w:rsidRPr="00947A2B">
              <w:rPr>
                <w:rFonts w:asciiTheme="majorBidi" w:hAnsiTheme="majorBidi" w:cstheme="majorBidi"/>
                <w:snapToGrid/>
                <w:color w:val="000000"/>
                <w:sz w:val="24"/>
                <w:szCs w:val="24"/>
                <w:lang w:eastAsia="ar-SA"/>
              </w:rPr>
              <w:t>+</w:t>
            </w:r>
          </w:p>
        </w:tc>
      </w:tr>
      <w:tr w:rsidR="001118B5" w:rsidRPr="00947A2B" w:rsidTr="00947A2B">
        <w:trPr>
          <w:trHeight w:val="80"/>
          <w:jc w:val="center"/>
        </w:trPr>
        <w:tc>
          <w:tcPr>
            <w:tcW w:w="2763" w:type="dxa"/>
            <w:vAlign w:val="center"/>
          </w:tcPr>
          <w:p w:rsidR="001118B5" w:rsidRPr="00947A2B" w:rsidRDefault="00021138" w:rsidP="00947A2B">
            <w:pPr>
              <w:autoSpaceDE w:val="0"/>
              <w:autoSpaceDN w:val="0"/>
              <w:bidi w:val="0"/>
              <w:adjustRightInd w:val="0"/>
              <w:jc w:val="center"/>
              <w:rPr>
                <w:rFonts w:asciiTheme="majorBidi" w:hAnsiTheme="majorBidi" w:cstheme="majorBidi"/>
                <w:b/>
                <w:bCs/>
                <w:snapToGrid w:val="0"/>
                <w:color w:val="000000"/>
              </w:rPr>
            </w:pPr>
            <w:r w:rsidRPr="00947A2B">
              <w:rPr>
                <w:rFonts w:asciiTheme="majorBidi" w:hAnsiTheme="majorBidi" w:cstheme="majorBidi"/>
                <w:b/>
                <w:bCs/>
                <w:snapToGrid w:val="0"/>
                <w:color w:val="000000"/>
              </w:rPr>
              <w:t>2020</w:t>
            </w:r>
            <w:r w:rsidR="00281386" w:rsidRPr="00947A2B">
              <w:rPr>
                <w:rFonts w:asciiTheme="majorBidi" w:hAnsiTheme="majorBidi" w:cstheme="majorBidi"/>
                <w:b/>
                <w:bCs/>
                <w:snapToGrid w:val="0"/>
                <w:color w:val="000000"/>
              </w:rPr>
              <w:t xml:space="preserve"> Com. </w:t>
            </w:r>
            <w:r w:rsidRPr="00947A2B">
              <w:rPr>
                <w:rFonts w:asciiTheme="majorBidi" w:hAnsiTheme="majorBidi" w:cstheme="majorBidi"/>
                <w:b/>
                <w:bCs/>
                <w:snapToGrid w:val="0"/>
                <w:color w:val="000000"/>
              </w:rPr>
              <w:t>2019</w:t>
            </w:r>
          </w:p>
        </w:tc>
        <w:tc>
          <w:tcPr>
            <w:tcW w:w="2613" w:type="dxa"/>
            <w:vAlign w:val="center"/>
          </w:tcPr>
          <w:p w:rsidR="001118B5" w:rsidRPr="00947A2B" w:rsidRDefault="00021138" w:rsidP="00947A2B">
            <w:pPr>
              <w:pStyle w:val="Header"/>
              <w:bidi w:val="0"/>
              <w:ind w:right="-180"/>
              <w:jc w:val="center"/>
              <w:rPr>
                <w:rFonts w:asciiTheme="majorBidi" w:hAnsiTheme="majorBidi" w:cstheme="majorBidi"/>
                <w:b/>
                <w:bCs/>
                <w:snapToGrid/>
                <w:color w:val="000000"/>
                <w:sz w:val="24"/>
                <w:szCs w:val="24"/>
                <w:rtl/>
                <w:lang w:eastAsia="ar-SA"/>
              </w:rPr>
            </w:pPr>
            <w:r w:rsidRPr="00947A2B">
              <w:rPr>
                <w:rFonts w:asciiTheme="majorBidi" w:hAnsiTheme="majorBidi" w:cstheme="majorBidi"/>
                <w:b/>
                <w:bCs/>
                <w:snapToGrid/>
                <w:color w:val="000000"/>
                <w:sz w:val="24"/>
                <w:szCs w:val="24"/>
                <w:lang w:eastAsia="ar-SA"/>
              </w:rPr>
              <w:t>7.95</w:t>
            </w:r>
            <w:r w:rsidR="001118B5" w:rsidRPr="00947A2B">
              <w:rPr>
                <w:rFonts w:asciiTheme="majorBidi" w:hAnsiTheme="majorBidi" w:cstheme="majorBidi"/>
                <w:b/>
                <w:bCs/>
                <w:snapToGrid/>
                <w:color w:val="000000"/>
                <w:sz w:val="24"/>
                <w:szCs w:val="24"/>
                <w:rtl/>
                <w:lang w:eastAsia="ar-SA"/>
              </w:rPr>
              <w:t xml:space="preserve"> </w:t>
            </w:r>
            <w:r w:rsidRPr="00947A2B">
              <w:rPr>
                <w:rFonts w:asciiTheme="majorBidi" w:hAnsiTheme="majorBidi" w:cstheme="majorBidi"/>
                <w:b/>
                <w:bCs/>
                <w:snapToGrid/>
                <w:color w:val="000000"/>
                <w:sz w:val="24"/>
                <w:szCs w:val="24"/>
                <w:lang w:eastAsia="ar-SA"/>
              </w:rPr>
              <w:t>-</w:t>
            </w:r>
          </w:p>
        </w:tc>
      </w:tr>
    </w:tbl>
    <w:p w:rsidR="00324426" w:rsidRPr="00947A2B" w:rsidRDefault="00324426" w:rsidP="00947A2B">
      <w:pPr>
        <w:bidi w:val="0"/>
        <w:jc w:val="center"/>
        <w:rPr>
          <w:rFonts w:asciiTheme="majorBidi" w:hAnsiTheme="majorBidi" w:cstheme="majorBidi"/>
          <w:b/>
          <w:bCs/>
          <w:sz w:val="26"/>
          <w:szCs w:val="26"/>
        </w:rPr>
      </w:pPr>
    </w:p>
    <w:p w:rsidR="00947A2B" w:rsidRDefault="00947A2B" w:rsidP="00947A2B">
      <w:pPr>
        <w:bidi w:val="0"/>
        <w:rPr>
          <w:rFonts w:asciiTheme="majorBidi" w:hAnsiTheme="majorBidi" w:cstheme="majorBidi"/>
          <w:b/>
          <w:bCs/>
          <w:sz w:val="26"/>
          <w:szCs w:val="26"/>
          <w:rtl/>
        </w:rPr>
      </w:pPr>
    </w:p>
    <w:p w:rsidR="00947A2B" w:rsidRDefault="00DF42FD" w:rsidP="00947A2B">
      <w:pPr>
        <w:bidi w:val="0"/>
        <w:jc w:val="center"/>
        <w:rPr>
          <w:rFonts w:asciiTheme="majorBidi" w:hAnsiTheme="majorBidi" w:cstheme="majorBidi"/>
          <w:b/>
          <w:bCs/>
          <w:sz w:val="26"/>
          <w:szCs w:val="26"/>
          <w:rtl/>
        </w:rPr>
      </w:pPr>
      <w:r w:rsidRPr="00947A2B">
        <w:rPr>
          <w:rFonts w:asciiTheme="majorBidi" w:hAnsiTheme="majorBidi" w:cstheme="majorBidi"/>
          <w:b/>
          <w:bCs/>
          <w:sz w:val="26"/>
          <w:szCs w:val="26"/>
        </w:rPr>
        <w:t xml:space="preserve">The trend line of the Industrial Production Index in Palestine, for the </w:t>
      </w:r>
      <w:r w:rsidR="001118B5" w:rsidRPr="00947A2B">
        <w:rPr>
          <w:rFonts w:asciiTheme="majorBidi" w:hAnsiTheme="majorBidi" w:cstheme="majorBidi"/>
          <w:b/>
          <w:bCs/>
          <w:sz w:val="26"/>
          <w:szCs w:val="26"/>
        </w:rPr>
        <w:t>period</w:t>
      </w:r>
      <w:r w:rsidRPr="00947A2B">
        <w:rPr>
          <w:rFonts w:asciiTheme="majorBidi" w:hAnsiTheme="majorBidi" w:cstheme="majorBidi"/>
          <w:b/>
          <w:bCs/>
          <w:sz w:val="26"/>
          <w:szCs w:val="26"/>
        </w:rPr>
        <w:t>:</w:t>
      </w:r>
    </w:p>
    <w:p w:rsidR="00DF42FD" w:rsidRDefault="001760E0" w:rsidP="00947A2B">
      <w:pPr>
        <w:bidi w:val="0"/>
        <w:jc w:val="center"/>
        <w:rPr>
          <w:rFonts w:asciiTheme="majorBidi" w:hAnsiTheme="majorBidi" w:cstheme="majorBidi"/>
          <w:b/>
          <w:bCs/>
          <w:sz w:val="26"/>
          <w:szCs w:val="26"/>
          <w:rtl/>
        </w:rPr>
      </w:pPr>
      <w:r w:rsidRPr="00947A2B">
        <w:rPr>
          <w:rFonts w:asciiTheme="majorBidi" w:hAnsiTheme="majorBidi" w:cstheme="majorBidi"/>
          <w:b/>
          <w:bCs/>
          <w:sz w:val="26"/>
          <w:szCs w:val="26"/>
        </w:rPr>
        <w:t xml:space="preserve"> </w:t>
      </w:r>
      <w:r w:rsidR="001118B5" w:rsidRPr="00947A2B">
        <w:rPr>
          <w:rFonts w:asciiTheme="majorBidi" w:hAnsiTheme="majorBidi" w:cstheme="majorBidi"/>
          <w:b/>
          <w:bCs/>
          <w:sz w:val="26"/>
          <w:szCs w:val="26"/>
        </w:rPr>
        <w:t>January</w:t>
      </w:r>
      <w:r w:rsidR="00DF42FD" w:rsidRPr="00947A2B">
        <w:rPr>
          <w:rFonts w:asciiTheme="majorBidi" w:hAnsiTheme="majorBidi" w:cstheme="majorBidi"/>
          <w:b/>
          <w:bCs/>
          <w:sz w:val="26"/>
          <w:szCs w:val="26"/>
        </w:rPr>
        <w:t xml:space="preserve"> - </w:t>
      </w:r>
      <w:r w:rsidR="001118B5" w:rsidRPr="00947A2B">
        <w:rPr>
          <w:rFonts w:asciiTheme="majorBidi" w:hAnsiTheme="majorBidi" w:cstheme="majorBidi"/>
          <w:b/>
          <w:bCs/>
          <w:sz w:val="26"/>
          <w:szCs w:val="26"/>
        </w:rPr>
        <w:t>December</w:t>
      </w:r>
      <w:r w:rsidR="00DF42FD" w:rsidRPr="00947A2B">
        <w:rPr>
          <w:rFonts w:asciiTheme="majorBidi" w:hAnsiTheme="majorBidi" w:cstheme="majorBidi"/>
          <w:b/>
          <w:bCs/>
          <w:sz w:val="26"/>
          <w:szCs w:val="26"/>
        </w:rPr>
        <w:t xml:space="preserve"> </w:t>
      </w:r>
      <w:r w:rsidR="00BD7C51" w:rsidRPr="00947A2B">
        <w:rPr>
          <w:rFonts w:asciiTheme="majorBidi" w:hAnsiTheme="majorBidi" w:cstheme="majorBidi"/>
          <w:b/>
          <w:bCs/>
          <w:sz w:val="26"/>
          <w:szCs w:val="26"/>
        </w:rPr>
        <w:t>2020</w:t>
      </w:r>
      <w:r w:rsidR="00947A2B">
        <w:rPr>
          <w:rFonts w:asciiTheme="majorBidi" w:hAnsiTheme="majorBidi" w:cstheme="majorBidi" w:hint="cs"/>
          <w:b/>
          <w:bCs/>
          <w:sz w:val="26"/>
          <w:szCs w:val="26"/>
          <w:rtl/>
        </w:rPr>
        <w:t xml:space="preserve"> </w:t>
      </w:r>
      <w:r w:rsidR="00DF42FD" w:rsidRPr="00947A2B">
        <w:rPr>
          <w:rFonts w:asciiTheme="majorBidi" w:hAnsiTheme="majorBidi" w:cstheme="majorBidi"/>
          <w:b/>
          <w:bCs/>
          <w:sz w:val="26"/>
          <w:szCs w:val="26"/>
        </w:rPr>
        <w:t xml:space="preserve">(Base </w:t>
      </w:r>
      <w:r w:rsidR="002E72A1" w:rsidRPr="00947A2B">
        <w:rPr>
          <w:rFonts w:asciiTheme="majorBidi" w:hAnsiTheme="majorBidi" w:cstheme="majorBidi"/>
          <w:b/>
          <w:bCs/>
          <w:sz w:val="26"/>
          <w:szCs w:val="26"/>
        </w:rPr>
        <w:t>Year</w:t>
      </w:r>
      <w:r w:rsidR="00DF42FD" w:rsidRPr="00947A2B">
        <w:rPr>
          <w:rFonts w:asciiTheme="majorBidi" w:hAnsiTheme="majorBidi" w:cstheme="majorBidi"/>
          <w:b/>
          <w:bCs/>
          <w:sz w:val="26"/>
          <w:szCs w:val="26"/>
        </w:rPr>
        <w:t xml:space="preserve"> 201</w:t>
      </w:r>
      <w:r w:rsidR="002E72A1" w:rsidRPr="00947A2B">
        <w:rPr>
          <w:rFonts w:asciiTheme="majorBidi" w:hAnsiTheme="majorBidi" w:cstheme="majorBidi"/>
          <w:b/>
          <w:bCs/>
          <w:sz w:val="26"/>
          <w:szCs w:val="26"/>
        </w:rPr>
        <w:t>8</w:t>
      </w:r>
      <w:r w:rsidR="00DF42FD" w:rsidRPr="00947A2B">
        <w:rPr>
          <w:rFonts w:asciiTheme="majorBidi" w:hAnsiTheme="majorBidi" w:cstheme="majorBidi"/>
          <w:b/>
          <w:bCs/>
          <w:sz w:val="26"/>
          <w:szCs w:val="26"/>
        </w:rPr>
        <w:t xml:space="preserve"> = 100)</w:t>
      </w:r>
    </w:p>
    <w:p w:rsidR="00947A2B" w:rsidRPr="00947A2B" w:rsidRDefault="00947A2B" w:rsidP="00947A2B">
      <w:pPr>
        <w:bidi w:val="0"/>
        <w:jc w:val="center"/>
        <w:rPr>
          <w:rFonts w:asciiTheme="majorBidi" w:hAnsiTheme="majorBidi" w:cstheme="majorBidi"/>
          <w:b/>
          <w:bCs/>
          <w:sz w:val="16"/>
          <w:szCs w:val="16"/>
          <w:rtl/>
        </w:rPr>
      </w:pPr>
    </w:p>
    <w:tbl>
      <w:tblPr>
        <w:tblStyle w:val="TableGrid"/>
        <w:tblW w:w="0" w:type="auto"/>
        <w:jc w:val="center"/>
        <w:tblLook w:val="04A0" w:firstRow="1" w:lastRow="0" w:firstColumn="1" w:lastColumn="0" w:noHBand="0" w:noVBand="1"/>
      </w:tblPr>
      <w:tblGrid>
        <w:gridCol w:w="5076"/>
      </w:tblGrid>
      <w:tr w:rsidR="00DF42FD" w:rsidRPr="00947A2B" w:rsidTr="00947A2B">
        <w:trPr>
          <w:trHeight w:val="3676"/>
          <w:jc w:val="center"/>
        </w:trPr>
        <w:tc>
          <w:tcPr>
            <w:tcW w:w="4881" w:type="dxa"/>
          </w:tcPr>
          <w:p w:rsidR="00DF42FD" w:rsidRPr="00947A2B" w:rsidRDefault="00DF42FD" w:rsidP="00947A2B">
            <w:pPr>
              <w:bidi w:val="0"/>
              <w:jc w:val="center"/>
              <w:rPr>
                <w:rFonts w:asciiTheme="majorBidi" w:hAnsiTheme="majorBidi" w:cstheme="majorBidi"/>
                <w:b/>
                <w:bCs/>
                <w:sz w:val="26"/>
                <w:szCs w:val="26"/>
              </w:rPr>
            </w:pPr>
            <w:r w:rsidRPr="00947A2B">
              <w:rPr>
                <w:rFonts w:asciiTheme="majorBidi" w:hAnsiTheme="majorBidi" w:cstheme="majorBidi"/>
                <w:b/>
                <w:bCs/>
                <w:noProof/>
                <w:sz w:val="26"/>
                <w:szCs w:val="26"/>
                <w:lang w:eastAsia="en-US"/>
              </w:rPr>
              <w:drawing>
                <wp:inline distT="0" distB="0" distL="0" distR="0">
                  <wp:extent cx="3086100" cy="2600325"/>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DF42FD" w:rsidRPr="00947A2B" w:rsidRDefault="00DF42FD" w:rsidP="00947A2B">
      <w:pPr>
        <w:bidi w:val="0"/>
        <w:jc w:val="both"/>
        <w:rPr>
          <w:rFonts w:asciiTheme="majorBidi" w:hAnsiTheme="majorBidi" w:cstheme="majorBidi"/>
          <w:b/>
          <w:bCs/>
          <w:color w:val="000000"/>
          <w:sz w:val="28"/>
          <w:szCs w:val="28"/>
        </w:rPr>
      </w:pPr>
    </w:p>
    <w:p w:rsidR="00947A2B" w:rsidRDefault="00947A2B" w:rsidP="00947A2B">
      <w:pPr>
        <w:bidi w:val="0"/>
        <w:jc w:val="both"/>
        <w:rPr>
          <w:rFonts w:asciiTheme="majorBidi" w:hAnsiTheme="majorBidi" w:cstheme="majorBidi"/>
          <w:b/>
          <w:bCs/>
          <w:color w:val="000000"/>
          <w:sz w:val="22"/>
          <w:szCs w:val="22"/>
          <w:rtl/>
        </w:rPr>
      </w:pPr>
    </w:p>
    <w:p w:rsidR="007072BF" w:rsidRPr="00947A2B" w:rsidRDefault="009817B2" w:rsidP="00947A2B">
      <w:pPr>
        <w:bidi w:val="0"/>
        <w:jc w:val="both"/>
        <w:rPr>
          <w:rFonts w:asciiTheme="majorBidi" w:hAnsiTheme="majorBidi" w:cstheme="majorBidi"/>
          <w:color w:val="000000"/>
          <w:sz w:val="22"/>
          <w:szCs w:val="22"/>
        </w:rPr>
      </w:pPr>
      <w:r w:rsidRPr="00947A2B">
        <w:rPr>
          <w:rFonts w:asciiTheme="majorBidi" w:hAnsiTheme="majorBidi" w:cstheme="majorBidi"/>
          <w:b/>
          <w:bCs/>
          <w:color w:val="000000"/>
          <w:sz w:val="22"/>
          <w:szCs w:val="22"/>
        </w:rPr>
        <w:t>Note</w:t>
      </w:r>
      <w:r w:rsidRPr="00947A2B">
        <w:rPr>
          <w:rFonts w:asciiTheme="majorBidi" w:hAnsiTheme="majorBidi" w:cstheme="majorBidi"/>
          <w:color w:val="000000"/>
          <w:sz w:val="22"/>
          <w:szCs w:val="22"/>
        </w:rPr>
        <w:t>:</w:t>
      </w:r>
    </w:p>
    <w:p w:rsidR="0087380E" w:rsidRPr="00947A2B" w:rsidRDefault="00290AE5" w:rsidP="00947A2B">
      <w:pPr>
        <w:bidi w:val="0"/>
        <w:jc w:val="both"/>
        <w:rPr>
          <w:rFonts w:asciiTheme="majorBidi" w:hAnsiTheme="majorBidi" w:cstheme="majorBidi"/>
          <w:color w:val="212121"/>
          <w:sz w:val="22"/>
          <w:szCs w:val="22"/>
          <w:shd w:val="clear" w:color="auto" w:fill="FFFFFF"/>
          <w:rtl/>
        </w:rPr>
      </w:pPr>
      <w:r w:rsidRPr="00947A2B">
        <w:rPr>
          <w:rFonts w:asciiTheme="majorBidi" w:hAnsiTheme="majorBidi" w:cstheme="majorBidi"/>
          <w:color w:val="212121"/>
          <w:sz w:val="22"/>
          <w:szCs w:val="22"/>
          <w:shd w:val="clear" w:color="auto" w:fill="FFFFFF"/>
        </w:rPr>
        <w:t>Industrial production index monthly data for the year 2020 have been revised in terms of updating deflation method according to the Producer Price Index, that is deflation along with weighting processes are done at more detailed levels of economic activities, as well as, using the modified Laspeyre equation in calculating the industrial index (Moving base instead of the Fixed base), in line with the latest international recommendations in this regards.</w:t>
      </w:r>
    </w:p>
    <w:p w:rsidR="00290AE5" w:rsidRPr="00947A2B" w:rsidRDefault="00290AE5" w:rsidP="00947A2B">
      <w:pPr>
        <w:bidi w:val="0"/>
        <w:jc w:val="both"/>
        <w:rPr>
          <w:rFonts w:asciiTheme="majorBidi" w:hAnsiTheme="majorBidi" w:cstheme="majorBidi"/>
          <w:b/>
          <w:bCs/>
          <w:sz w:val="22"/>
          <w:szCs w:val="22"/>
          <w:rtl/>
        </w:rPr>
      </w:pPr>
    </w:p>
    <w:p w:rsidR="00947A2B" w:rsidRPr="00947A2B" w:rsidRDefault="00947A2B" w:rsidP="00947A2B">
      <w:pPr>
        <w:bidi w:val="0"/>
        <w:jc w:val="both"/>
        <w:rPr>
          <w:rFonts w:asciiTheme="majorBidi" w:hAnsiTheme="majorBidi" w:cstheme="majorBidi"/>
          <w:b/>
          <w:bCs/>
          <w:sz w:val="20"/>
          <w:szCs w:val="20"/>
        </w:rPr>
      </w:pPr>
    </w:p>
    <w:p w:rsidR="002B7AD5" w:rsidRPr="00947A2B" w:rsidRDefault="002B7AD5" w:rsidP="00947A2B">
      <w:pPr>
        <w:pStyle w:val="ListParagraph"/>
        <w:bidi w:val="0"/>
        <w:ind w:left="0"/>
        <w:jc w:val="both"/>
        <w:rPr>
          <w:rFonts w:asciiTheme="majorBidi" w:hAnsiTheme="majorBidi" w:cstheme="majorBidi"/>
          <w:sz w:val="22"/>
          <w:szCs w:val="22"/>
        </w:rPr>
      </w:pPr>
      <w:r w:rsidRPr="00947A2B">
        <w:rPr>
          <w:rFonts w:asciiTheme="majorBidi" w:hAnsiTheme="majorBidi" w:cstheme="majorBidi"/>
          <w:sz w:val="22"/>
          <w:szCs w:val="22"/>
        </w:rPr>
        <w:t>Please note that the press release in English is brief compared to the Arabic version.</w:t>
      </w:r>
    </w:p>
    <w:p w:rsidR="002B7AD5" w:rsidRPr="00947A2B" w:rsidRDefault="002B7AD5" w:rsidP="00947A2B">
      <w:pPr>
        <w:bidi w:val="0"/>
        <w:jc w:val="both"/>
        <w:rPr>
          <w:rFonts w:asciiTheme="majorBidi" w:hAnsiTheme="majorBidi" w:cstheme="majorBidi"/>
          <w:b/>
          <w:bCs/>
          <w:sz w:val="26"/>
          <w:szCs w:val="26"/>
        </w:rPr>
      </w:pPr>
    </w:p>
    <w:p w:rsidR="00841179" w:rsidRPr="00947A2B" w:rsidRDefault="00841179" w:rsidP="00947A2B">
      <w:pPr>
        <w:bidi w:val="0"/>
        <w:jc w:val="both"/>
        <w:rPr>
          <w:rFonts w:asciiTheme="majorBidi" w:hAnsiTheme="majorBidi" w:cstheme="majorBidi"/>
          <w:sz w:val="26"/>
          <w:szCs w:val="26"/>
        </w:rPr>
      </w:pPr>
    </w:p>
    <w:sectPr w:rsidR="00841179" w:rsidRPr="00947A2B" w:rsidSect="00947A2B">
      <w:footerReference w:type="even" r:id="rId9"/>
      <w:footerReference w:type="default" r:id="rId10"/>
      <w:pgSz w:w="11907" w:h="16840" w:code="9"/>
      <w:pgMar w:top="540" w:right="851" w:bottom="851" w:left="851" w:header="720" w:footer="18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59" w:rsidRDefault="00F01059">
      <w:r>
        <w:separator/>
      </w:r>
    </w:p>
  </w:endnote>
  <w:endnote w:type="continuationSeparator" w:id="0">
    <w:p w:rsidR="00F01059" w:rsidRDefault="00F0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F5" w:rsidRDefault="00CA6F55">
    <w:pPr>
      <w:pStyle w:val="Footer"/>
      <w:framePr w:wrap="around" w:vAnchor="text" w:hAnchor="margin" w:xAlign="center" w:y="1"/>
      <w:rPr>
        <w:rStyle w:val="PageNumber"/>
        <w:rtl/>
      </w:rPr>
    </w:pPr>
    <w:r>
      <w:rPr>
        <w:rStyle w:val="PageNumber"/>
        <w:rtl/>
      </w:rPr>
      <w:fldChar w:fldCharType="begin"/>
    </w:r>
    <w:r w:rsidR="000D4EF5">
      <w:rPr>
        <w:rStyle w:val="PageNumber"/>
      </w:rPr>
      <w:instrText xml:space="preserve">PAGE  </w:instrText>
    </w:r>
    <w:r>
      <w:rPr>
        <w:rStyle w:val="PageNumber"/>
        <w:rtl/>
      </w:rPr>
      <w:fldChar w:fldCharType="end"/>
    </w:r>
  </w:p>
  <w:p w:rsidR="000D4EF5" w:rsidRDefault="000D4EF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57555530"/>
      <w:docPartObj>
        <w:docPartGallery w:val="Page Numbers (Bottom of Page)"/>
        <w:docPartUnique/>
      </w:docPartObj>
    </w:sdtPr>
    <w:sdtEndPr>
      <w:rPr>
        <w:noProof/>
      </w:rPr>
    </w:sdtEndPr>
    <w:sdtContent>
      <w:p w:rsidR="00947A2B" w:rsidRDefault="00947A2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947A2B" w:rsidRDefault="0094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59" w:rsidRDefault="00F01059">
      <w:r>
        <w:separator/>
      </w:r>
    </w:p>
  </w:footnote>
  <w:footnote w:type="continuationSeparator" w:id="0">
    <w:p w:rsidR="00F01059" w:rsidRDefault="00F0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513D28"/>
    <w:multiLevelType w:val="hybridMultilevel"/>
    <w:tmpl w:val="9C32A00E"/>
    <w:lvl w:ilvl="0" w:tplc="26AAAD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D9B6B6E"/>
    <w:multiLevelType w:val="hybridMultilevel"/>
    <w:tmpl w:val="EB248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D714988"/>
    <w:multiLevelType w:val="hybridMultilevel"/>
    <w:tmpl w:val="6D6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6"/>
  </w:num>
  <w:num w:numId="6">
    <w:abstractNumId w:val="7"/>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07"/>
    <w:rsid w:val="000033E0"/>
    <w:rsid w:val="00007A9A"/>
    <w:rsid w:val="00007C98"/>
    <w:rsid w:val="00014525"/>
    <w:rsid w:val="000147B8"/>
    <w:rsid w:val="00014BB6"/>
    <w:rsid w:val="00021138"/>
    <w:rsid w:val="00022A3A"/>
    <w:rsid w:val="00022DEC"/>
    <w:rsid w:val="000244CE"/>
    <w:rsid w:val="000268C1"/>
    <w:rsid w:val="00027DAE"/>
    <w:rsid w:val="000308C9"/>
    <w:rsid w:val="000311C6"/>
    <w:rsid w:val="000329F6"/>
    <w:rsid w:val="00033823"/>
    <w:rsid w:val="00041D81"/>
    <w:rsid w:val="00044246"/>
    <w:rsid w:val="00044FA9"/>
    <w:rsid w:val="0005099F"/>
    <w:rsid w:val="00050F54"/>
    <w:rsid w:val="000539D3"/>
    <w:rsid w:val="00054369"/>
    <w:rsid w:val="00055337"/>
    <w:rsid w:val="00056E55"/>
    <w:rsid w:val="00061D6C"/>
    <w:rsid w:val="000639B5"/>
    <w:rsid w:val="00065156"/>
    <w:rsid w:val="00066E2C"/>
    <w:rsid w:val="00070C75"/>
    <w:rsid w:val="0007263E"/>
    <w:rsid w:val="000806B6"/>
    <w:rsid w:val="00081A30"/>
    <w:rsid w:val="00081FAB"/>
    <w:rsid w:val="000820C0"/>
    <w:rsid w:val="000912B6"/>
    <w:rsid w:val="0009489E"/>
    <w:rsid w:val="000968A6"/>
    <w:rsid w:val="000A0ED5"/>
    <w:rsid w:val="000A5A17"/>
    <w:rsid w:val="000B0107"/>
    <w:rsid w:val="000B4A05"/>
    <w:rsid w:val="000B62F9"/>
    <w:rsid w:val="000B6A44"/>
    <w:rsid w:val="000C03F2"/>
    <w:rsid w:val="000C42CA"/>
    <w:rsid w:val="000C53C8"/>
    <w:rsid w:val="000D0051"/>
    <w:rsid w:val="000D0334"/>
    <w:rsid w:val="000D1C28"/>
    <w:rsid w:val="000D295A"/>
    <w:rsid w:val="000D4EF5"/>
    <w:rsid w:val="000E3C82"/>
    <w:rsid w:val="000E5C13"/>
    <w:rsid w:val="000E5E51"/>
    <w:rsid w:val="000E665C"/>
    <w:rsid w:val="000E7153"/>
    <w:rsid w:val="000E74ED"/>
    <w:rsid w:val="000F2822"/>
    <w:rsid w:val="000F28C7"/>
    <w:rsid w:val="000F34C9"/>
    <w:rsid w:val="000F50B4"/>
    <w:rsid w:val="00100347"/>
    <w:rsid w:val="001006A9"/>
    <w:rsid w:val="00100F0C"/>
    <w:rsid w:val="00107EE7"/>
    <w:rsid w:val="001118B5"/>
    <w:rsid w:val="001140E0"/>
    <w:rsid w:val="00114BC7"/>
    <w:rsid w:val="001227BE"/>
    <w:rsid w:val="00125271"/>
    <w:rsid w:val="00126FEB"/>
    <w:rsid w:val="001316AE"/>
    <w:rsid w:val="00135006"/>
    <w:rsid w:val="001414FE"/>
    <w:rsid w:val="00143492"/>
    <w:rsid w:val="001434EE"/>
    <w:rsid w:val="00145540"/>
    <w:rsid w:val="00151981"/>
    <w:rsid w:val="00152C46"/>
    <w:rsid w:val="001558E1"/>
    <w:rsid w:val="00160329"/>
    <w:rsid w:val="001619B7"/>
    <w:rsid w:val="0016244D"/>
    <w:rsid w:val="0016488A"/>
    <w:rsid w:val="00165AD0"/>
    <w:rsid w:val="001665D0"/>
    <w:rsid w:val="00170CD9"/>
    <w:rsid w:val="00171712"/>
    <w:rsid w:val="001727F4"/>
    <w:rsid w:val="00173F6C"/>
    <w:rsid w:val="00174D90"/>
    <w:rsid w:val="001760E0"/>
    <w:rsid w:val="0017663C"/>
    <w:rsid w:val="0017671C"/>
    <w:rsid w:val="001771C6"/>
    <w:rsid w:val="001773E1"/>
    <w:rsid w:val="001779F8"/>
    <w:rsid w:val="00177AAE"/>
    <w:rsid w:val="00177EF8"/>
    <w:rsid w:val="00181E69"/>
    <w:rsid w:val="001844B1"/>
    <w:rsid w:val="001850ED"/>
    <w:rsid w:val="001867AB"/>
    <w:rsid w:val="00190373"/>
    <w:rsid w:val="001922DC"/>
    <w:rsid w:val="001927DA"/>
    <w:rsid w:val="00194A6D"/>
    <w:rsid w:val="00197FC2"/>
    <w:rsid w:val="001A3914"/>
    <w:rsid w:val="001A3C03"/>
    <w:rsid w:val="001A47F5"/>
    <w:rsid w:val="001A4EE0"/>
    <w:rsid w:val="001B1787"/>
    <w:rsid w:val="001B2044"/>
    <w:rsid w:val="001B2D0C"/>
    <w:rsid w:val="001B601A"/>
    <w:rsid w:val="001B79AF"/>
    <w:rsid w:val="001C0549"/>
    <w:rsid w:val="001C3783"/>
    <w:rsid w:val="001D2F7D"/>
    <w:rsid w:val="001D3D99"/>
    <w:rsid w:val="001D6231"/>
    <w:rsid w:val="001D7B33"/>
    <w:rsid w:val="001E520E"/>
    <w:rsid w:val="001E5B0C"/>
    <w:rsid w:val="001F0F28"/>
    <w:rsid w:val="001F2364"/>
    <w:rsid w:val="001F29AA"/>
    <w:rsid w:val="001F423A"/>
    <w:rsid w:val="001F44E6"/>
    <w:rsid w:val="001F5617"/>
    <w:rsid w:val="001F79D5"/>
    <w:rsid w:val="00202AE6"/>
    <w:rsid w:val="00203E71"/>
    <w:rsid w:val="00205810"/>
    <w:rsid w:val="00207A9A"/>
    <w:rsid w:val="00211F89"/>
    <w:rsid w:val="0021212F"/>
    <w:rsid w:val="002121CC"/>
    <w:rsid w:val="00212580"/>
    <w:rsid w:val="00212C54"/>
    <w:rsid w:val="00216B60"/>
    <w:rsid w:val="00217F80"/>
    <w:rsid w:val="00220DF8"/>
    <w:rsid w:val="00221E60"/>
    <w:rsid w:val="0022447C"/>
    <w:rsid w:val="00224A00"/>
    <w:rsid w:val="002277D6"/>
    <w:rsid w:val="00231045"/>
    <w:rsid w:val="0023363F"/>
    <w:rsid w:val="002338E3"/>
    <w:rsid w:val="00233C87"/>
    <w:rsid w:val="0023578C"/>
    <w:rsid w:val="00235AEF"/>
    <w:rsid w:val="002360DE"/>
    <w:rsid w:val="00240310"/>
    <w:rsid w:val="00243169"/>
    <w:rsid w:val="0025310D"/>
    <w:rsid w:val="00253BD9"/>
    <w:rsid w:val="00254B24"/>
    <w:rsid w:val="002551B0"/>
    <w:rsid w:val="0025694A"/>
    <w:rsid w:val="00264413"/>
    <w:rsid w:val="002669FE"/>
    <w:rsid w:val="00270E7D"/>
    <w:rsid w:val="00272715"/>
    <w:rsid w:val="002778E2"/>
    <w:rsid w:val="002812B5"/>
    <w:rsid w:val="00281386"/>
    <w:rsid w:val="00282ABB"/>
    <w:rsid w:val="00283C5D"/>
    <w:rsid w:val="0028405E"/>
    <w:rsid w:val="00290516"/>
    <w:rsid w:val="00290AE5"/>
    <w:rsid w:val="002911B6"/>
    <w:rsid w:val="00291847"/>
    <w:rsid w:val="0029286F"/>
    <w:rsid w:val="00292A89"/>
    <w:rsid w:val="00296690"/>
    <w:rsid w:val="00296FA5"/>
    <w:rsid w:val="002A08D2"/>
    <w:rsid w:val="002A13A9"/>
    <w:rsid w:val="002A7BF4"/>
    <w:rsid w:val="002B2156"/>
    <w:rsid w:val="002B2375"/>
    <w:rsid w:val="002B6F18"/>
    <w:rsid w:val="002B7AD5"/>
    <w:rsid w:val="002C20FD"/>
    <w:rsid w:val="002C2258"/>
    <w:rsid w:val="002C3925"/>
    <w:rsid w:val="002C5B4E"/>
    <w:rsid w:val="002C6D95"/>
    <w:rsid w:val="002D3287"/>
    <w:rsid w:val="002D45BE"/>
    <w:rsid w:val="002D600D"/>
    <w:rsid w:val="002D703E"/>
    <w:rsid w:val="002E0227"/>
    <w:rsid w:val="002E2919"/>
    <w:rsid w:val="002E5902"/>
    <w:rsid w:val="002E72A1"/>
    <w:rsid w:val="002E7FB6"/>
    <w:rsid w:val="002F0360"/>
    <w:rsid w:val="002F059A"/>
    <w:rsid w:val="002F47F1"/>
    <w:rsid w:val="002F5534"/>
    <w:rsid w:val="002F70A9"/>
    <w:rsid w:val="002F7675"/>
    <w:rsid w:val="003007ED"/>
    <w:rsid w:val="00300F40"/>
    <w:rsid w:val="00301695"/>
    <w:rsid w:val="00301BF1"/>
    <w:rsid w:val="00306BA4"/>
    <w:rsid w:val="00313860"/>
    <w:rsid w:val="0031441A"/>
    <w:rsid w:val="00314A7B"/>
    <w:rsid w:val="00321019"/>
    <w:rsid w:val="00321F88"/>
    <w:rsid w:val="00322131"/>
    <w:rsid w:val="00322C88"/>
    <w:rsid w:val="00323561"/>
    <w:rsid w:val="00323AD2"/>
    <w:rsid w:val="00324426"/>
    <w:rsid w:val="0032602C"/>
    <w:rsid w:val="00334102"/>
    <w:rsid w:val="003365B3"/>
    <w:rsid w:val="00347269"/>
    <w:rsid w:val="0035077F"/>
    <w:rsid w:val="00352BF0"/>
    <w:rsid w:val="0035376C"/>
    <w:rsid w:val="0035384D"/>
    <w:rsid w:val="00354955"/>
    <w:rsid w:val="003555B8"/>
    <w:rsid w:val="00357BC1"/>
    <w:rsid w:val="003635B2"/>
    <w:rsid w:val="00364896"/>
    <w:rsid w:val="00367DA1"/>
    <w:rsid w:val="003717EF"/>
    <w:rsid w:val="00376CE4"/>
    <w:rsid w:val="0038463E"/>
    <w:rsid w:val="00385102"/>
    <w:rsid w:val="0039133D"/>
    <w:rsid w:val="00391E45"/>
    <w:rsid w:val="00396AD9"/>
    <w:rsid w:val="00397C90"/>
    <w:rsid w:val="003A1A78"/>
    <w:rsid w:val="003A1E53"/>
    <w:rsid w:val="003B0A2A"/>
    <w:rsid w:val="003B31A6"/>
    <w:rsid w:val="003B468A"/>
    <w:rsid w:val="003C2B0F"/>
    <w:rsid w:val="003D1A10"/>
    <w:rsid w:val="003D1B5B"/>
    <w:rsid w:val="003D3115"/>
    <w:rsid w:val="003D35F6"/>
    <w:rsid w:val="003D7079"/>
    <w:rsid w:val="003E2B31"/>
    <w:rsid w:val="003E389E"/>
    <w:rsid w:val="003E44A5"/>
    <w:rsid w:val="003E4B99"/>
    <w:rsid w:val="003F1AEC"/>
    <w:rsid w:val="003F482B"/>
    <w:rsid w:val="003F4E95"/>
    <w:rsid w:val="003F61D1"/>
    <w:rsid w:val="0040079B"/>
    <w:rsid w:val="00400AE8"/>
    <w:rsid w:val="00401965"/>
    <w:rsid w:val="00401BE6"/>
    <w:rsid w:val="00413C6A"/>
    <w:rsid w:val="0041404C"/>
    <w:rsid w:val="004165FB"/>
    <w:rsid w:val="0042217F"/>
    <w:rsid w:val="00422901"/>
    <w:rsid w:val="0042454B"/>
    <w:rsid w:val="00424CEE"/>
    <w:rsid w:val="00424DD0"/>
    <w:rsid w:val="004262DC"/>
    <w:rsid w:val="00430DCA"/>
    <w:rsid w:val="00431530"/>
    <w:rsid w:val="00435AD2"/>
    <w:rsid w:val="00436F39"/>
    <w:rsid w:val="0044059E"/>
    <w:rsid w:val="004421FC"/>
    <w:rsid w:val="00443544"/>
    <w:rsid w:val="004449E9"/>
    <w:rsid w:val="00445766"/>
    <w:rsid w:val="00451FDC"/>
    <w:rsid w:val="00464960"/>
    <w:rsid w:val="00465BA4"/>
    <w:rsid w:val="00466701"/>
    <w:rsid w:val="0046746D"/>
    <w:rsid w:val="00471A72"/>
    <w:rsid w:val="00475EC8"/>
    <w:rsid w:val="00481E8E"/>
    <w:rsid w:val="004843BF"/>
    <w:rsid w:val="00486E25"/>
    <w:rsid w:val="004929AE"/>
    <w:rsid w:val="00494CBC"/>
    <w:rsid w:val="00496ACD"/>
    <w:rsid w:val="00497C93"/>
    <w:rsid w:val="00497DCE"/>
    <w:rsid w:val="004A73AA"/>
    <w:rsid w:val="004B0507"/>
    <w:rsid w:val="004B1792"/>
    <w:rsid w:val="004B1C40"/>
    <w:rsid w:val="004B22B6"/>
    <w:rsid w:val="004B2595"/>
    <w:rsid w:val="004B5CD6"/>
    <w:rsid w:val="004C0930"/>
    <w:rsid w:val="004C1B25"/>
    <w:rsid w:val="004C3658"/>
    <w:rsid w:val="004C4AD1"/>
    <w:rsid w:val="004D0429"/>
    <w:rsid w:val="004D2055"/>
    <w:rsid w:val="004D2449"/>
    <w:rsid w:val="004D24DE"/>
    <w:rsid w:val="004D6392"/>
    <w:rsid w:val="004D7D2B"/>
    <w:rsid w:val="004E17F1"/>
    <w:rsid w:val="004E4E67"/>
    <w:rsid w:val="004E5C54"/>
    <w:rsid w:val="004F0CE5"/>
    <w:rsid w:val="004F175B"/>
    <w:rsid w:val="004F2879"/>
    <w:rsid w:val="004F4D05"/>
    <w:rsid w:val="00502A0D"/>
    <w:rsid w:val="005046D0"/>
    <w:rsid w:val="00505301"/>
    <w:rsid w:val="005061AB"/>
    <w:rsid w:val="00507FF5"/>
    <w:rsid w:val="0051198E"/>
    <w:rsid w:val="00511F46"/>
    <w:rsid w:val="00512C8F"/>
    <w:rsid w:val="00513574"/>
    <w:rsid w:val="005158D4"/>
    <w:rsid w:val="0051652D"/>
    <w:rsid w:val="00516B8F"/>
    <w:rsid w:val="00516CFC"/>
    <w:rsid w:val="00520313"/>
    <w:rsid w:val="00523E35"/>
    <w:rsid w:val="005265C3"/>
    <w:rsid w:val="0053256D"/>
    <w:rsid w:val="00533039"/>
    <w:rsid w:val="00536487"/>
    <w:rsid w:val="005376F9"/>
    <w:rsid w:val="00546AA4"/>
    <w:rsid w:val="00546FEE"/>
    <w:rsid w:val="00550112"/>
    <w:rsid w:val="0055082C"/>
    <w:rsid w:val="00555EAA"/>
    <w:rsid w:val="0056086D"/>
    <w:rsid w:val="0056773D"/>
    <w:rsid w:val="00571811"/>
    <w:rsid w:val="00576676"/>
    <w:rsid w:val="00577491"/>
    <w:rsid w:val="00581716"/>
    <w:rsid w:val="00583589"/>
    <w:rsid w:val="005906ED"/>
    <w:rsid w:val="00593EDB"/>
    <w:rsid w:val="00596974"/>
    <w:rsid w:val="005A15E9"/>
    <w:rsid w:val="005A1D2C"/>
    <w:rsid w:val="005A2811"/>
    <w:rsid w:val="005A43A1"/>
    <w:rsid w:val="005A620E"/>
    <w:rsid w:val="005B041E"/>
    <w:rsid w:val="005B1A81"/>
    <w:rsid w:val="005B1B15"/>
    <w:rsid w:val="005B2C7A"/>
    <w:rsid w:val="005B2D35"/>
    <w:rsid w:val="005B39C3"/>
    <w:rsid w:val="005B4ABC"/>
    <w:rsid w:val="005B4D6E"/>
    <w:rsid w:val="005B6846"/>
    <w:rsid w:val="005C5B34"/>
    <w:rsid w:val="005D2C9D"/>
    <w:rsid w:val="005D3A43"/>
    <w:rsid w:val="005D3C46"/>
    <w:rsid w:val="005D650F"/>
    <w:rsid w:val="005D6AD5"/>
    <w:rsid w:val="005D6CA2"/>
    <w:rsid w:val="005E1E36"/>
    <w:rsid w:val="005E59F9"/>
    <w:rsid w:val="005F0C59"/>
    <w:rsid w:val="005F1B37"/>
    <w:rsid w:val="005F3967"/>
    <w:rsid w:val="005F4497"/>
    <w:rsid w:val="005F449A"/>
    <w:rsid w:val="005F567A"/>
    <w:rsid w:val="00603D13"/>
    <w:rsid w:val="00610BA5"/>
    <w:rsid w:val="00611F38"/>
    <w:rsid w:val="00620DD3"/>
    <w:rsid w:val="00626991"/>
    <w:rsid w:val="00635E82"/>
    <w:rsid w:val="00640591"/>
    <w:rsid w:val="006405D4"/>
    <w:rsid w:val="00642E0B"/>
    <w:rsid w:val="0064358A"/>
    <w:rsid w:val="00646F99"/>
    <w:rsid w:val="00647794"/>
    <w:rsid w:val="00650D67"/>
    <w:rsid w:val="00654837"/>
    <w:rsid w:val="00656A6A"/>
    <w:rsid w:val="00661610"/>
    <w:rsid w:val="0066195E"/>
    <w:rsid w:val="00661AF3"/>
    <w:rsid w:val="006620C7"/>
    <w:rsid w:val="00662B1F"/>
    <w:rsid w:val="006649F0"/>
    <w:rsid w:val="00665925"/>
    <w:rsid w:val="00666D87"/>
    <w:rsid w:val="00667423"/>
    <w:rsid w:val="00673336"/>
    <w:rsid w:val="00673B80"/>
    <w:rsid w:val="006745D9"/>
    <w:rsid w:val="0067534A"/>
    <w:rsid w:val="0067720B"/>
    <w:rsid w:val="00677A85"/>
    <w:rsid w:val="0068140F"/>
    <w:rsid w:val="006821B1"/>
    <w:rsid w:val="0068231B"/>
    <w:rsid w:val="006830B7"/>
    <w:rsid w:val="0068527E"/>
    <w:rsid w:val="00685CA0"/>
    <w:rsid w:val="006872A6"/>
    <w:rsid w:val="00687555"/>
    <w:rsid w:val="00690031"/>
    <w:rsid w:val="006905AC"/>
    <w:rsid w:val="006910A8"/>
    <w:rsid w:val="00692938"/>
    <w:rsid w:val="00696D0D"/>
    <w:rsid w:val="006A0FD1"/>
    <w:rsid w:val="006A39E5"/>
    <w:rsid w:val="006B18B1"/>
    <w:rsid w:val="006B4CDC"/>
    <w:rsid w:val="006B603F"/>
    <w:rsid w:val="006B73DF"/>
    <w:rsid w:val="006C2BB5"/>
    <w:rsid w:val="006C76AC"/>
    <w:rsid w:val="006C7E2E"/>
    <w:rsid w:val="006D26FC"/>
    <w:rsid w:val="006D27D8"/>
    <w:rsid w:val="006D38AC"/>
    <w:rsid w:val="006D3E31"/>
    <w:rsid w:val="006D4274"/>
    <w:rsid w:val="006D5DA1"/>
    <w:rsid w:val="006D6D53"/>
    <w:rsid w:val="006D6E7D"/>
    <w:rsid w:val="006E0AE0"/>
    <w:rsid w:val="006E24D3"/>
    <w:rsid w:val="006E33A2"/>
    <w:rsid w:val="006E3CB4"/>
    <w:rsid w:val="006E45C8"/>
    <w:rsid w:val="006E5260"/>
    <w:rsid w:val="006E71D7"/>
    <w:rsid w:val="006E7425"/>
    <w:rsid w:val="006F29F2"/>
    <w:rsid w:val="006F413D"/>
    <w:rsid w:val="006F575A"/>
    <w:rsid w:val="006F64E7"/>
    <w:rsid w:val="007025DA"/>
    <w:rsid w:val="00704A32"/>
    <w:rsid w:val="007054B0"/>
    <w:rsid w:val="0070595F"/>
    <w:rsid w:val="007072BF"/>
    <w:rsid w:val="0071197F"/>
    <w:rsid w:val="007172F5"/>
    <w:rsid w:val="00725DA1"/>
    <w:rsid w:val="007303DE"/>
    <w:rsid w:val="00731E03"/>
    <w:rsid w:val="00731F71"/>
    <w:rsid w:val="007370CD"/>
    <w:rsid w:val="00740551"/>
    <w:rsid w:val="00740A94"/>
    <w:rsid w:val="00740AC4"/>
    <w:rsid w:val="00747FD0"/>
    <w:rsid w:val="00750BC1"/>
    <w:rsid w:val="0075239A"/>
    <w:rsid w:val="00764246"/>
    <w:rsid w:val="0077217D"/>
    <w:rsid w:val="00772F89"/>
    <w:rsid w:val="00773410"/>
    <w:rsid w:val="00773D3D"/>
    <w:rsid w:val="007742FF"/>
    <w:rsid w:val="00781A90"/>
    <w:rsid w:val="007828F1"/>
    <w:rsid w:val="00783A68"/>
    <w:rsid w:val="00783DE5"/>
    <w:rsid w:val="00785EA0"/>
    <w:rsid w:val="0079134F"/>
    <w:rsid w:val="0079181B"/>
    <w:rsid w:val="00792D6D"/>
    <w:rsid w:val="007A1F93"/>
    <w:rsid w:val="007A5D07"/>
    <w:rsid w:val="007B0A64"/>
    <w:rsid w:val="007B6E11"/>
    <w:rsid w:val="007B7981"/>
    <w:rsid w:val="007C0410"/>
    <w:rsid w:val="007C2CD1"/>
    <w:rsid w:val="007C3125"/>
    <w:rsid w:val="007C3F82"/>
    <w:rsid w:val="007C4527"/>
    <w:rsid w:val="007C7548"/>
    <w:rsid w:val="007C7D08"/>
    <w:rsid w:val="007D2A58"/>
    <w:rsid w:val="007D4DCB"/>
    <w:rsid w:val="007D52AC"/>
    <w:rsid w:val="007D5684"/>
    <w:rsid w:val="007D5CBF"/>
    <w:rsid w:val="007D7D94"/>
    <w:rsid w:val="007E07BF"/>
    <w:rsid w:val="007E1D20"/>
    <w:rsid w:val="007E355C"/>
    <w:rsid w:val="007F2DF7"/>
    <w:rsid w:val="007F3181"/>
    <w:rsid w:val="007F5A75"/>
    <w:rsid w:val="007F6A27"/>
    <w:rsid w:val="008021F0"/>
    <w:rsid w:val="008024BA"/>
    <w:rsid w:val="00804643"/>
    <w:rsid w:val="00805824"/>
    <w:rsid w:val="008073AC"/>
    <w:rsid w:val="00810935"/>
    <w:rsid w:val="00825360"/>
    <w:rsid w:val="00825402"/>
    <w:rsid w:val="0082662A"/>
    <w:rsid w:val="0082662B"/>
    <w:rsid w:val="008312EE"/>
    <w:rsid w:val="00832B1A"/>
    <w:rsid w:val="00841179"/>
    <w:rsid w:val="00842AB4"/>
    <w:rsid w:val="0084366D"/>
    <w:rsid w:val="00844D10"/>
    <w:rsid w:val="008463AE"/>
    <w:rsid w:val="00847DEA"/>
    <w:rsid w:val="008507B1"/>
    <w:rsid w:val="008516AC"/>
    <w:rsid w:val="00853D9F"/>
    <w:rsid w:val="00856346"/>
    <w:rsid w:val="0085729D"/>
    <w:rsid w:val="008579EE"/>
    <w:rsid w:val="00867FD0"/>
    <w:rsid w:val="00872AE4"/>
    <w:rsid w:val="0087380E"/>
    <w:rsid w:val="00874292"/>
    <w:rsid w:val="008753B9"/>
    <w:rsid w:val="008763CE"/>
    <w:rsid w:val="008803C9"/>
    <w:rsid w:val="0088211A"/>
    <w:rsid w:val="00883C5C"/>
    <w:rsid w:val="00885824"/>
    <w:rsid w:val="00887D11"/>
    <w:rsid w:val="00890639"/>
    <w:rsid w:val="00890BC6"/>
    <w:rsid w:val="008A413F"/>
    <w:rsid w:val="008A7504"/>
    <w:rsid w:val="008B0CFF"/>
    <w:rsid w:val="008B5A0F"/>
    <w:rsid w:val="008B63B8"/>
    <w:rsid w:val="008B7815"/>
    <w:rsid w:val="008C3122"/>
    <w:rsid w:val="008D0698"/>
    <w:rsid w:val="008D77B1"/>
    <w:rsid w:val="008E4BBA"/>
    <w:rsid w:val="008E4E84"/>
    <w:rsid w:val="008E6D13"/>
    <w:rsid w:val="008F3798"/>
    <w:rsid w:val="008F47F7"/>
    <w:rsid w:val="008F5750"/>
    <w:rsid w:val="008F57F4"/>
    <w:rsid w:val="009017B8"/>
    <w:rsid w:val="00902B3A"/>
    <w:rsid w:val="00904483"/>
    <w:rsid w:val="00905751"/>
    <w:rsid w:val="00906094"/>
    <w:rsid w:val="0091477F"/>
    <w:rsid w:val="009150BB"/>
    <w:rsid w:val="00920146"/>
    <w:rsid w:val="009208A1"/>
    <w:rsid w:val="0092225D"/>
    <w:rsid w:val="00925097"/>
    <w:rsid w:val="0092553B"/>
    <w:rsid w:val="00926376"/>
    <w:rsid w:val="00926D47"/>
    <w:rsid w:val="00927173"/>
    <w:rsid w:val="0092769A"/>
    <w:rsid w:val="00944C65"/>
    <w:rsid w:val="00947A2B"/>
    <w:rsid w:val="00950D1A"/>
    <w:rsid w:val="0095197D"/>
    <w:rsid w:val="009534D0"/>
    <w:rsid w:val="00954665"/>
    <w:rsid w:val="0096074B"/>
    <w:rsid w:val="00960ACB"/>
    <w:rsid w:val="00960C62"/>
    <w:rsid w:val="009621E0"/>
    <w:rsid w:val="00963339"/>
    <w:rsid w:val="00971306"/>
    <w:rsid w:val="00974B57"/>
    <w:rsid w:val="00975001"/>
    <w:rsid w:val="00980A3A"/>
    <w:rsid w:val="009817B2"/>
    <w:rsid w:val="00984E63"/>
    <w:rsid w:val="00985194"/>
    <w:rsid w:val="0099168B"/>
    <w:rsid w:val="00991F41"/>
    <w:rsid w:val="009943CB"/>
    <w:rsid w:val="00997DEC"/>
    <w:rsid w:val="009A44BC"/>
    <w:rsid w:val="009A49C7"/>
    <w:rsid w:val="009A6470"/>
    <w:rsid w:val="009B03BD"/>
    <w:rsid w:val="009B1BB1"/>
    <w:rsid w:val="009B2FA2"/>
    <w:rsid w:val="009B3A99"/>
    <w:rsid w:val="009B3BE2"/>
    <w:rsid w:val="009B4D97"/>
    <w:rsid w:val="009C2103"/>
    <w:rsid w:val="009C594A"/>
    <w:rsid w:val="009C7284"/>
    <w:rsid w:val="009D5A95"/>
    <w:rsid w:val="009D5AAA"/>
    <w:rsid w:val="009E38D8"/>
    <w:rsid w:val="009E5A59"/>
    <w:rsid w:val="009E7231"/>
    <w:rsid w:val="009F0DA5"/>
    <w:rsid w:val="009F0E85"/>
    <w:rsid w:val="009F3E89"/>
    <w:rsid w:val="009F498A"/>
    <w:rsid w:val="00A02C03"/>
    <w:rsid w:val="00A02C6A"/>
    <w:rsid w:val="00A032F1"/>
    <w:rsid w:val="00A06979"/>
    <w:rsid w:val="00A114AB"/>
    <w:rsid w:val="00A12EDF"/>
    <w:rsid w:val="00A149AD"/>
    <w:rsid w:val="00A14C7C"/>
    <w:rsid w:val="00A216B2"/>
    <w:rsid w:val="00A2266E"/>
    <w:rsid w:val="00A23424"/>
    <w:rsid w:val="00A27ABC"/>
    <w:rsid w:val="00A33A83"/>
    <w:rsid w:val="00A35DCF"/>
    <w:rsid w:val="00A378EF"/>
    <w:rsid w:val="00A42FE6"/>
    <w:rsid w:val="00A454F1"/>
    <w:rsid w:val="00A46DDE"/>
    <w:rsid w:val="00A50643"/>
    <w:rsid w:val="00A53C31"/>
    <w:rsid w:val="00A55291"/>
    <w:rsid w:val="00A5591D"/>
    <w:rsid w:val="00A56034"/>
    <w:rsid w:val="00A57297"/>
    <w:rsid w:val="00A61129"/>
    <w:rsid w:val="00A620D5"/>
    <w:rsid w:val="00A737EF"/>
    <w:rsid w:val="00A748E7"/>
    <w:rsid w:val="00A76954"/>
    <w:rsid w:val="00A80179"/>
    <w:rsid w:val="00A809A1"/>
    <w:rsid w:val="00A8187D"/>
    <w:rsid w:val="00A8660D"/>
    <w:rsid w:val="00A86818"/>
    <w:rsid w:val="00A9669C"/>
    <w:rsid w:val="00AA1B14"/>
    <w:rsid w:val="00AA1F6C"/>
    <w:rsid w:val="00AA5DCA"/>
    <w:rsid w:val="00AA6AED"/>
    <w:rsid w:val="00AA74D2"/>
    <w:rsid w:val="00AB03B2"/>
    <w:rsid w:val="00AB0686"/>
    <w:rsid w:val="00AB1517"/>
    <w:rsid w:val="00AB3D28"/>
    <w:rsid w:val="00AC0441"/>
    <w:rsid w:val="00AC07D6"/>
    <w:rsid w:val="00AC75C6"/>
    <w:rsid w:val="00AD2D52"/>
    <w:rsid w:val="00AD50C2"/>
    <w:rsid w:val="00AE2ADB"/>
    <w:rsid w:val="00AE514A"/>
    <w:rsid w:val="00AE5E44"/>
    <w:rsid w:val="00AE77B4"/>
    <w:rsid w:val="00AF01AA"/>
    <w:rsid w:val="00AF03BE"/>
    <w:rsid w:val="00AF140B"/>
    <w:rsid w:val="00AF195D"/>
    <w:rsid w:val="00AF1C3D"/>
    <w:rsid w:val="00B01052"/>
    <w:rsid w:val="00B013D6"/>
    <w:rsid w:val="00B02764"/>
    <w:rsid w:val="00B03B2D"/>
    <w:rsid w:val="00B056F6"/>
    <w:rsid w:val="00B05C3F"/>
    <w:rsid w:val="00B067DE"/>
    <w:rsid w:val="00B077F1"/>
    <w:rsid w:val="00B101A8"/>
    <w:rsid w:val="00B10707"/>
    <w:rsid w:val="00B11C7B"/>
    <w:rsid w:val="00B141E5"/>
    <w:rsid w:val="00B143DD"/>
    <w:rsid w:val="00B1477A"/>
    <w:rsid w:val="00B22B2C"/>
    <w:rsid w:val="00B2310F"/>
    <w:rsid w:val="00B24039"/>
    <w:rsid w:val="00B264AF"/>
    <w:rsid w:val="00B26600"/>
    <w:rsid w:val="00B26693"/>
    <w:rsid w:val="00B33056"/>
    <w:rsid w:val="00B368F3"/>
    <w:rsid w:val="00B40285"/>
    <w:rsid w:val="00B4146A"/>
    <w:rsid w:val="00B41F8E"/>
    <w:rsid w:val="00B42C5D"/>
    <w:rsid w:val="00B42FD7"/>
    <w:rsid w:val="00B431B9"/>
    <w:rsid w:val="00B4579A"/>
    <w:rsid w:val="00B508FB"/>
    <w:rsid w:val="00B5321C"/>
    <w:rsid w:val="00B5754C"/>
    <w:rsid w:val="00B647DA"/>
    <w:rsid w:val="00B72769"/>
    <w:rsid w:val="00B73E3F"/>
    <w:rsid w:val="00B80452"/>
    <w:rsid w:val="00B8382A"/>
    <w:rsid w:val="00B84625"/>
    <w:rsid w:val="00B85541"/>
    <w:rsid w:val="00B90811"/>
    <w:rsid w:val="00B90DB4"/>
    <w:rsid w:val="00B97250"/>
    <w:rsid w:val="00BA1EED"/>
    <w:rsid w:val="00BA2922"/>
    <w:rsid w:val="00BA2ED9"/>
    <w:rsid w:val="00BB0E94"/>
    <w:rsid w:val="00BC03A1"/>
    <w:rsid w:val="00BC653B"/>
    <w:rsid w:val="00BC6D19"/>
    <w:rsid w:val="00BD1B6A"/>
    <w:rsid w:val="00BD381B"/>
    <w:rsid w:val="00BD41EE"/>
    <w:rsid w:val="00BD4C29"/>
    <w:rsid w:val="00BD69A9"/>
    <w:rsid w:val="00BD7C51"/>
    <w:rsid w:val="00BE7B6E"/>
    <w:rsid w:val="00BF0695"/>
    <w:rsid w:val="00BF1A8A"/>
    <w:rsid w:val="00BF6C30"/>
    <w:rsid w:val="00C003E4"/>
    <w:rsid w:val="00C00821"/>
    <w:rsid w:val="00C020DE"/>
    <w:rsid w:val="00C04AE9"/>
    <w:rsid w:val="00C10018"/>
    <w:rsid w:val="00C10A46"/>
    <w:rsid w:val="00C12DA5"/>
    <w:rsid w:val="00C1561A"/>
    <w:rsid w:val="00C157FD"/>
    <w:rsid w:val="00C1583F"/>
    <w:rsid w:val="00C1649F"/>
    <w:rsid w:val="00C168A7"/>
    <w:rsid w:val="00C22586"/>
    <w:rsid w:val="00C23A13"/>
    <w:rsid w:val="00C24A3D"/>
    <w:rsid w:val="00C26040"/>
    <w:rsid w:val="00C27962"/>
    <w:rsid w:val="00C308EE"/>
    <w:rsid w:val="00C32797"/>
    <w:rsid w:val="00C35EB6"/>
    <w:rsid w:val="00C372F7"/>
    <w:rsid w:val="00C40110"/>
    <w:rsid w:val="00C4255F"/>
    <w:rsid w:val="00C46BBD"/>
    <w:rsid w:val="00C51D23"/>
    <w:rsid w:val="00C545F7"/>
    <w:rsid w:val="00C54769"/>
    <w:rsid w:val="00C569B2"/>
    <w:rsid w:val="00C60395"/>
    <w:rsid w:val="00C60970"/>
    <w:rsid w:val="00C6145B"/>
    <w:rsid w:val="00C63D17"/>
    <w:rsid w:val="00C63DCE"/>
    <w:rsid w:val="00C72A39"/>
    <w:rsid w:val="00C756AE"/>
    <w:rsid w:val="00C757C7"/>
    <w:rsid w:val="00C80152"/>
    <w:rsid w:val="00C821D8"/>
    <w:rsid w:val="00C82529"/>
    <w:rsid w:val="00C91D87"/>
    <w:rsid w:val="00C97D87"/>
    <w:rsid w:val="00CA1288"/>
    <w:rsid w:val="00CA3BE9"/>
    <w:rsid w:val="00CA429B"/>
    <w:rsid w:val="00CA6F55"/>
    <w:rsid w:val="00CB0863"/>
    <w:rsid w:val="00CB12C2"/>
    <w:rsid w:val="00CB2062"/>
    <w:rsid w:val="00CB46E7"/>
    <w:rsid w:val="00CC1709"/>
    <w:rsid w:val="00CC4669"/>
    <w:rsid w:val="00CC5BF1"/>
    <w:rsid w:val="00CD1059"/>
    <w:rsid w:val="00CD11F7"/>
    <w:rsid w:val="00CD42C0"/>
    <w:rsid w:val="00CD4AF7"/>
    <w:rsid w:val="00CD4F0A"/>
    <w:rsid w:val="00CD6BC1"/>
    <w:rsid w:val="00CD7774"/>
    <w:rsid w:val="00CE026C"/>
    <w:rsid w:val="00CE0B05"/>
    <w:rsid w:val="00CE1E64"/>
    <w:rsid w:val="00CE2914"/>
    <w:rsid w:val="00CE2B7A"/>
    <w:rsid w:val="00CE5065"/>
    <w:rsid w:val="00CF1090"/>
    <w:rsid w:val="00CF6876"/>
    <w:rsid w:val="00D00486"/>
    <w:rsid w:val="00D056EF"/>
    <w:rsid w:val="00D1224F"/>
    <w:rsid w:val="00D145FB"/>
    <w:rsid w:val="00D16931"/>
    <w:rsid w:val="00D17CCC"/>
    <w:rsid w:val="00D20111"/>
    <w:rsid w:val="00D25E04"/>
    <w:rsid w:val="00D31167"/>
    <w:rsid w:val="00D315CA"/>
    <w:rsid w:val="00D3520C"/>
    <w:rsid w:val="00D35337"/>
    <w:rsid w:val="00D40AA5"/>
    <w:rsid w:val="00D41842"/>
    <w:rsid w:val="00D456EE"/>
    <w:rsid w:val="00D461B4"/>
    <w:rsid w:val="00D46390"/>
    <w:rsid w:val="00D468C7"/>
    <w:rsid w:val="00D4707A"/>
    <w:rsid w:val="00D522E6"/>
    <w:rsid w:val="00D571D0"/>
    <w:rsid w:val="00D6067D"/>
    <w:rsid w:val="00D644F8"/>
    <w:rsid w:val="00D65204"/>
    <w:rsid w:val="00D66186"/>
    <w:rsid w:val="00D66B4C"/>
    <w:rsid w:val="00D734A1"/>
    <w:rsid w:val="00D74FDB"/>
    <w:rsid w:val="00D84B42"/>
    <w:rsid w:val="00D854D8"/>
    <w:rsid w:val="00D873B5"/>
    <w:rsid w:val="00D87BA4"/>
    <w:rsid w:val="00D95C97"/>
    <w:rsid w:val="00D9614C"/>
    <w:rsid w:val="00D96605"/>
    <w:rsid w:val="00D96C00"/>
    <w:rsid w:val="00D976FE"/>
    <w:rsid w:val="00DA0F7E"/>
    <w:rsid w:val="00DA569D"/>
    <w:rsid w:val="00DD00DD"/>
    <w:rsid w:val="00DD09BF"/>
    <w:rsid w:val="00DD2DC9"/>
    <w:rsid w:val="00DD342C"/>
    <w:rsid w:val="00DE642B"/>
    <w:rsid w:val="00DE6A9F"/>
    <w:rsid w:val="00DE7DF6"/>
    <w:rsid w:val="00DF1A45"/>
    <w:rsid w:val="00DF2C7D"/>
    <w:rsid w:val="00DF2D14"/>
    <w:rsid w:val="00DF3752"/>
    <w:rsid w:val="00DF3E21"/>
    <w:rsid w:val="00DF42FD"/>
    <w:rsid w:val="00DF7563"/>
    <w:rsid w:val="00DF75D9"/>
    <w:rsid w:val="00DF776A"/>
    <w:rsid w:val="00E009B3"/>
    <w:rsid w:val="00E068C7"/>
    <w:rsid w:val="00E06EEE"/>
    <w:rsid w:val="00E07E9A"/>
    <w:rsid w:val="00E12FAD"/>
    <w:rsid w:val="00E17BB4"/>
    <w:rsid w:val="00E213AE"/>
    <w:rsid w:val="00E2172E"/>
    <w:rsid w:val="00E23512"/>
    <w:rsid w:val="00E23D48"/>
    <w:rsid w:val="00E242A3"/>
    <w:rsid w:val="00E26E1C"/>
    <w:rsid w:val="00E272FA"/>
    <w:rsid w:val="00E32B0F"/>
    <w:rsid w:val="00E345AE"/>
    <w:rsid w:val="00E36B90"/>
    <w:rsid w:val="00E4144E"/>
    <w:rsid w:val="00E42705"/>
    <w:rsid w:val="00E47503"/>
    <w:rsid w:val="00E50B6C"/>
    <w:rsid w:val="00E51D6E"/>
    <w:rsid w:val="00E51EE1"/>
    <w:rsid w:val="00E52237"/>
    <w:rsid w:val="00E61911"/>
    <w:rsid w:val="00E7340D"/>
    <w:rsid w:val="00E759B9"/>
    <w:rsid w:val="00E8121A"/>
    <w:rsid w:val="00E91BB0"/>
    <w:rsid w:val="00EA048E"/>
    <w:rsid w:val="00EA0A8C"/>
    <w:rsid w:val="00EA10F1"/>
    <w:rsid w:val="00EA20AB"/>
    <w:rsid w:val="00EA41F2"/>
    <w:rsid w:val="00EA4F14"/>
    <w:rsid w:val="00EA50CB"/>
    <w:rsid w:val="00EA7205"/>
    <w:rsid w:val="00EB030E"/>
    <w:rsid w:val="00EB2587"/>
    <w:rsid w:val="00EC357B"/>
    <w:rsid w:val="00EC3F14"/>
    <w:rsid w:val="00EC407D"/>
    <w:rsid w:val="00ED0078"/>
    <w:rsid w:val="00ED15ED"/>
    <w:rsid w:val="00ED6A1C"/>
    <w:rsid w:val="00ED7A30"/>
    <w:rsid w:val="00ED7BD0"/>
    <w:rsid w:val="00EE0BA7"/>
    <w:rsid w:val="00EE2B43"/>
    <w:rsid w:val="00EE4E26"/>
    <w:rsid w:val="00EE5702"/>
    <w:rsid w:val="00EE7197"/>
    <w:rsid w:val="00EF14F2"/>
    <w:rsid w:val="00EF74AB"/>
    <w:rsid w:val="00F01059"/>
    <w:rsid w:val="00F0242C"/>
    <w:rsid w:val="00F0420F"/>
    <w:rsid w:val="00F07659"/>
    <w:rsid w:val="00F07DBB"/>
    <w:rsid w:val="00F1345B"/>
    <w:rsid w:val="00F14393"/>
    <w:rsid w:val="00F15344"/>
    <w:rsid w:val="00F15E48"/>
    <w:rsid w:val="00F206EB"/>
    <w:rsid w:val="00F20784"/>
    <w:rsid w:val="00F209BA"/>
    <w:rsid w:val="00F20EE0"/>
    <w:rsid w:val="00F22A95"/>
    <w:rsid w:val="00F25B43"/>
    <w:rsid w:val="00F261FD"/>
    <w:rsid w:val="00F272B4"/>
    <w:rsid w:val="00F27552"/>
    <w:rsid w:val="00F3233B"/>
    <w:rsid w:val="00F3698A"/>
    <w:rsid w:val="00F42495"/>
    <w:rsid w:val="00F47AA3"/>
    <w:rsid w:val="00F50811"/>
    <w:rsid w:val="00F50D92"/>
    <w:rsid w:val="00F515C5"/>
    <w:rsid w:val="00F51BB1"/>
    <w:rsid w:val="00F54CD5"/>
    <w:rsid w:val="00F54E9A"/>
    <w:rsid w:val="00F55940"/>
    <w:rsid w:val="00F55BF9"/>
    <w:rsid w:val="00F55CE7"/>
    <w:rsid w:val="00F60E5D"/>
    <w:rsid w:val="00F65E36"/>
    <w:rsid w:val="00F6707D"/>
    <w:rsid w:val="00F67F03"/>
    <w:rsid w:val="00F7319B"/>
    <w:rsid w:val="00F76A7C"/>
    <w:rsid w:val="00F76BBB"/>
    <w:rsid w:val="00F80B75"/>
    <w:rsid w:val="00F8132A"/>
    <w:rsid w:val="00F82CF6"/>
    <w:rsid w:val="00F90156"/>
    <w:rsid w:val="00F90C7C"/>
    <w:rsid w:val="00F92C8F"/>
    <w:rsid w:val="00F952E0"/>
    <w:rsid w:val="00FA0997"/>
    <w:rsid w:val="00FA0C57"/>
    <w:rsid w:val="00FA193B"/>
    <w:rsid w:val="00FA3DE5"/>
    <w:rsid w:val="00FA4BE8"/>
    <w:rsid w:val="00FA6924"/>
    <w:rsid w:val="00FB4E5A"/>
    <w:rsid w:val="00FB703A"/>
    <w:rsid w:val="00FC21BA"/>
    <w:rsid w:val="00FC72C8"/>
    <w:rsid w:val="00FD334D"/>
    <w:rsid w:val="00FD3411"/>
    <w:rsid w:val="00FD4CB5"/>
    <w:rsid w:val="00FD61F6"/>
    <w:rsid w:val="00FD657B"/>
    <w:rsid w:val="00FE0829"/>
    <w:rsid w:val="00FE5909"/>
    <w:rsid w:val="00FF056D"/>
    <w:rsid w:val="00FF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B965E"/>
  <w15:docId w15:val="{17B2190A-EFBF-452D-BE2E-73F3F9B3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548"/>
    <w:pPr>
      <w:bidi/>
    </w:pPr>
    <w:rPr>
      <w:sz w:val="24"/>
      <w:szCs w:val="24"/>
      <w:lang w:eastAsia="ar-SA"/>
    </w:rPr>
  </w:style>
  <w:style w:type="paragraph" w:styleId="Heading1">
    <w:name w:val="heading 1"/>
    <w:basedOn w:val="Normal"/>
    <w:next w:val="Normal"/>
    <w:qFormat/>
    <w:rsid w:val="007C7548"/>
    <w:pPr>
      <w:keepNext/>
      <w:jc w:val="lowKashida"/>
      <w:outlineLvl w:val="0"/>
    </w:pPr>
    <w:rPr>
      <w:b/>
      <w:bCs/>
      <w:lang w:eastAsia="en-US"/>
    </w:rPr>
  </w:style>
  <w:style w:type="paragraph" w:styleId="Heading2">
    <w:name w:val="heading 2"/>
    <w:basedOn w:val="Normal"/>
    <w:next w:val="Normal"/>
    <w:qFormat/>
    <w:rsid w:val="007C7548"/>
    <w:pPr>
      <w:keepNext/>
      <w:outlineLvl w:val="1"/>
    </w:pPr>
    <w:rPr>
      <w:rFonts w:cs="Simplified Arabic"/>
      <w:b/>
      <w:bCs/>
      <w:lang w:val="en-GB"/>
    </w:rPr>
  </w:style>
  <w:style w:type="paragraph" w:styleId="Heading4">
    <w:name w:val="heading 4"/>
    <w:basedOn w:val="Normal"/>
    <w:next w:val="Normal"/>
    <w:qFormat/>
    <w:rsid w:val="007C7548"/>
    <w:pPr>
      <w:keepNext/>
      <w:spacing w:before="240" w:after="60"/>
      <w:outlineLvl w:val="3"/>
    </w:pPr>
    <w:rPr>
      <w:rFonts w:ascii="Calibri" w:hAnsi="Calibri" w:cs="Arial"/>
      <w:b/>
      <w:bCs/>
      <w:sz w:val="28"/>
      <w:szCs w:val="28"/>
    </w:rPr>
  </w:style>
  <w:style w:type="paragraph" w:styleId="Heading5">
    <w:name w:val="heading 5"/>
    <w:basedOn w:val="Normal"/>
    <w:next w:val="Normal"/>
    <w:qFormat/>
    <w:rsid w:val="007C7548"/>
    <w:pPr>
      <w:spacing w:before="240" w:after="60"/>
      <w:outlineLvl w:val="4"/>
    </w:pPr>
    <w:rPr>
      <w:rFonts w:ascii="Calibri" w:hAnsi="Calibri" w:cs="Arial"/>
      <w:b/>
      <w:bCs/>
      <w:i/>
      <w:iCs/>
      <w:sz w:val="26"/>
      <w:szCs w:val="26"/>
    </w:rPr>
  </w:style>
  <w:style w:type="paragraph" w:styleId="Heading6">
    <w:name w:val="heading 6"/>
    <w:basedOn w:val="Normal"/>
    <w:next w:val="Normal"/>
    <w:qFormat/>
    <w:rsid w:val="007C7548"/>
    <w:pPr>
      <w:keepNext/>
      <w:outlineLvl w:val="5"/>
    </w:pPr>
    <w:rPr>
      <w:rFonts w:cs="Simplified Arabic"/>
      <w:b/>
      <w:bCs/>
      <w:sz w:val="28"/>
      <w:szCs w:val="28"/>
      <w:lang w:val="en-GB"/>
    </w:rPr>
  </w:style>
  <w:style w:type="paragraph" w:styleId="Heading8">
    <w:name w:val="heading 8"/>
    <w:basedOn w:val="Normal"/>
    <w:next w:val="Normal"/>
    <w:qFormat/>
    <w:rsid w:val="007C7548"/>
    <w:pPr>
      <w:keepNext/>
      <w:jc w:val="both"/>
      <w:outlineLvl w:val="7"/>
    </w:pPr>
    <w:rPr>
      <w:rFonts w:cs="Simplified Arabic"/>
      <w:b/>
      <w:bCs/>
      <w:lang w:val="en-GB"/>
    </w:rPr>
  </w:style>
  <w:style w:type="paragraph" w:styleId="Heading9">
    <w:name w:val="heading 9"/>
    <w:basedOn w:val="Normal"/>
    <w:next w:val="Normal"/>
    <w:qFormat/>
    <w:rsid w:val="007C7548"/>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7548"/>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7C7548"/>
    <w:rPr>
      <w:rFonts w:cs="Traditional Arabic"/>
      <w:snapToGrid w:val="0"/>
      <w:sz w:val="20"/>
      <w:szCs w:val="20"/>
      <w:lang w:eastAsia="en-US"/>
    </w:rPr>
  </w:style>
  <w:style w:type="character" w:styleId="FootnoteReference">
    <w:name w:val="footnote reference"/>
    <w:basedOn w:val="DefaultParagraphFont"/>
    <w:semiHidden/>
    <w:rsid w:val="007C7548"/>
    <w:rPr>
      <w:vertAlign w:val="superscript"/>
    </w:rPr>
  </w:style>
  <w:style w:type="paragraph" w:styleId="BodyText">
    <w:name w:val="Body Text"/>
    <w:basedOn w:val="Normal"/>
    <w:semiHidden/>
    <w:rsid w:val="007C7548"/>
    <w:pPr>
      <w:jc w:val="lowKashida"/>
    </w:pPr>
    <w:rPr>
      <w:rFonts w:cs="Simplified Arabic"/>
      <w:snapToGrid w:val="0"/>
      <w:sz w:val="20"/>
      <w:szCs w:val="20"/>
      <w:lang w:eastAsia="en-US"/>
    </w:rPr>
  </w:style>
  <w:style w:type="paragraph" w:styleId="Footer">
    <w:name w:val="footer"/>
    <w:basedOn w:val="Normal"/>
    <w:uiPriority w:val="99"/>
    <w:unhideWhenUsed/>
    <w:rsid w:val="007C7548"/>
    <w:pPr>
      <w:tabs>
        <w:tab w:val="center" w:pos="4153"/>
        <w:tab w:val="right" w:pos="8306"/>
      </w:tabs>
    </w:pPr>
  </w:style>
  <w:style w:type="character" w:customStyle="1" w:styleId="FooterChar">
    <w:name w:val="Footer Char"/>
    <w:basedOn w:val="DefaultParagraphFont"/>
    <w:uiPriority w:val="99"/>
    <w:rsid w:val="007C7548"/>
    <w:rPr>
      <w:sz w:val="24"/>
      <w:szCs w:val="24"/>
      <w:lang w:eastAsia="ar-SA"/>
    </w:rPr>
  </w:style>
  <w:style w:type="character" w:styleId="PageNumber">
    <w:name w:val="page number"/>
    <w:basedOn w:val="DefaultParagraphFont"/>
    <w:semiHidden/>
    <w:rsid w:val="007C7548"/>
  </w:style>
  <w:style w:type="paragraph" w:styleId="BodyText2">
    <w:name w:val="Body Text 2"/>
    <w:basedOn w:val="Normal"/>
    <w:semiHidden/>
    <w:unhideWhenUsed/>
    <w:rsid w:val="007C7548"/>
    <w:pPr>
      <w:spacing w:after="120" w:line="480" w:lineRule="auto"/>
    </w:pPr>
  </w:style>
  <w:style w:type="character" w:customStyle="1" w:styleId="BodyText2Char">
    <w:name w:val="Body Text 2 Char"/>
    <w:basedOn w:val="DefaultParagraphFont"/>
    <w:semiHidden/>
    <w:rsid w:val="007C7548"/>
    <w:rPr>
      <w:sz w:val="24"/>
      <w:szCs w:val="24"/>
      <w:lang w:eastAsia="ar-SA"/>
    </w:rPr>
  </w:style>
  <w:style w:type="paragraph" w:styleId="BodyText3">
    <w:name w:val="Body Text 3"/>
    <w:basedOn w:val="Normal"/>
    <w:semiHidden/>
    <w:unhideWhenUsed/>
    <w:rsid w:val="007C7548"/>
    <w:pPr>
      <w:spacing w:after="120"/>
    </w:pPr>
    <w:rPr>
      <w:sz w:val="16"/>
      <w:szCs w:val="16"/>
    </w:rPr>
  </w:style>
  <w:style w:type="character" w:customStyle="1" w:styleId="BodyText3Char">
    <w:name w:val="Body Text 3 Char"/>
    <w:basedOn w:val="DefaultParagraphFont"/>
    <w:semiHidden/>
    <w:rsid w:val="007C7548"/>
    <w:rPr>
      <w:sz w:val="16"/>
      <w:szCs w:val="16"/>
      <w:lang w:eastAsia="ar-SA"/>
    </w:rPr>
  </w:style>
  <w:style w:type="character" w:customStyle="1" w:styleId="Heading4Char">
    <w:name w:val="Heading 4 Char"/>
    <w:basedOn w:val="DefaultParagraphFont"/>
    <w:semiHidden/>
    <w:rsid w:val="007C7548"/>
    <w:rPr>
      <w:rFonts w:ascii="Calibri" w:eastAsia="Times New Roman" w:hAnsi="Calibri" w:cs="Arial"/>
      <w:b/>
      <w:bCs/>
      <w:sz w:val="28"/>
      <w:szCs w:val="28"/>
      <w:lang w:eastAsia="ar-SA"/>
    </w:rPr>
  </w:style>
  <w:style w:type="character" w:customStyle="1" w:styleId="HeaderChar">
    <w:name w:val="Header Char"/>
    <w:basedOn w:val="DefaultParagraphFont"/>
    <w:uiPriority w:val="99"/>
    <w:rsid w:val="007C7548"/>
    <w:rPr>
      <w:rFonts w:cs="Traditional Arabic"/>
      <w:snapToGrid w:val="0"/>
    </w:rPr>
  </w:style>
  <w:style w:type="paragraph" w:styleId="BalloonText">
    <w:name w:val="Balloon Text"/>
    <w:basedOn w:val="Normal"/>
    <w:semiHidden/>
    <w:unhideWhenUsed/>
    <w:rsid w:val="007C7548"/>
    <w:rPr>
      <w:rFonts w:ascii="Tahoma" w:hAnsi="Tahoma" w:cs="Tahoma"/>
      <w:sz w:val="16"/>
      <w:szCs w:val="16"/>
    </w:rPr>
  </w:style>
  <w:style w:type="character" w:customStyle="1" w:styleId="BalloonTextChar">
    <w:name w:val="Balloon Text Char"/>
    <w:basedOn w:val="DefaultParagraphFont"/>
    <w:semiHidden/>
    <w:rsid w:val="007C7548"/>
    <w:rPr>
      <w:rFonts w:ascii="Tahoma" w:hAnsi="Tahoma" w:cs="Tahoma"/>
      <w:sz w:val="16"/>
      <w:szCs w:val="16"/>
      <w:lang w:eastAsia="ar-SA"/>
    </w:rPr>
  </w:style>
  <w:style w:type="character" w:customStyle="1" w:styleId="Heading5Char">
    <w:name w:val="Heading 5 Char"/>
    <w:basedOn w:val="DefaultParagraphFont"/>
    <w:semiHidden/>
    <w:rsid w:val="007C7548"/>
    <w:rPr>
      <w:rFonts w:ascii="Calibri" w:eastAsia="Times New Roman" w:hAnsi="Calibri" w:cs="Arial"/>
      <w:b/>
      <w:bCs/>
      <w:i/>
      <w:iCs/>
      <w:sz w:val="26"/>
      <w:szCs w:val="26"/>
      <w:lang w:eastAsia="ar-SA"/>
    </w:rPr>
  </w:style>
  <w:style w:type="character" w:styleId="Hyperlink">
    <w:name w:val="Hyperlink"/>
    <w:basedOn w:val="DefaultParagraphFont"/>
    <w:semiHidden/>
    <w:unhideWhenUsed/>
    <w:rsid w:val="007C7548"/>
    <w:rPr>
      <w:color w:val="0000FF"/>
      <w:u w:val="single"/>
    </w:rPr>
  </w:style>
  <w:style w:type="table" w:styleId="TableGrid">
    <w:name w:val="Table Grid"/>
    <w:basedOn w:val="TableNormal"/>
    <w:uiPriority w:val="39"/>
    <w:rsid w:val="00CE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40AA5"/>
  </w:style>
  <w:style w:type="paragraph" w:styleId="ListParagraph">
    <w:name w:val="List Paragraph"/>
    <w:basedOn w:val="Normal"/>
    <w:uiPriority w:val="34"/>
    <w:qFormat/>
    <w:rsid w:val="00D4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9712126581835"/>
          <c:y val="5.6031947533168112E-2"/>
          <c:w val="0.75733731574174257"/>
          <c:h val="0.65717025856199984"/>
        </c:manualLayout>
      </c:layout>
      <c:lineChart>
        <c:grouping val="standard"/>
        <c:varyColors val="0"/>
        <c:ser>
          <c:idx val="0"/>
          <c:order val="0"/>
          <c:marker>
            <c:symbol val="none"/>
          </c:marker>
          <c:dLbls>
            <c:dLbl>
              <c:idx val="0"/>
              <c:layout>
                <c:manualLayout>
                  <c:x val="-6.7358781938210349E-2"/>
                  <c:y val="3.5635387008325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4C-4282-8FDE-4619849AAEB7}"/>
                </c:ext>
              </c:extLst>
            </c:dLbl>
            <c:dLbl>
              <c:idx val="11"/>
              <c:layout>
                <c:manualLayout>
                  <c:x val="-1.2835249300293622E-2"/>
                  <c:y val="-4.9895749314326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4C-4282-8FDE-4619849AAEB7}"/>
                </c:ext>
              </c:extLst>
            </c:dLbl>
            <c:dLbl>
              <c:idx val="12"/>
              <c:layout>
                <c:manualLayout>
                  <c:x val="-1.3172132484028375E-4"/>
                  <c:y val="4.3421481180855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4C-4282-8FDE-4619849AAEB7}"/>
                </c:ext>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Sheet1!$A$2:$L$2</c:f>
              <c:strCache>
                <c:ptCount val="12"/>
                <c:pt idx="0">
                  <c:v>Jan. 2020</c:v>
                </c:pt>
                <c:pt idx="1">
                  <c:v>Feb. 2020</c:v>
                </c:pt>
                <c:pt idx="2">
                  <c:v>Mar. 2020</c:v>
                </c:pt>
                <c:pt idx="3">
                  <c:v>Apr. 2020</c:v>
                </c:pt>
                <c:pt idx="4">
                  <c:v>May. 2020</c:v>
                </c:pt>
                <c:pt idx="5">
                  <c:v>Jun. 2020</c:v>
                </c:pt>
                <c:pt idx="6">
                  <c:v>Jul. 2020</c:v>
                </c:pt>
                <c:pt idx="7">
                  <c:v>Aug. 2020</c:v>
                </c:pt>
                <c:pt idx="8">
                  <c:v>Sep. 2020</c:v>
                </c:pt>
                <c:pt idx="9">
                  <c:v>Oct. 2020</c:v>
                </c:pt>
                <c:pt idx="10">
                  <c:v>Nov. 2020</c:v>
                </c:pt>
                <c:pt idx="11">
                  <c:v>Dec. 2020</c:v>
                </c:pt>
              </c:strCache>
            </c:strRef>
          </c:cat>
          <c:val>
            <c:numRef>
              <c:f>Sheet1!$A$3:$L$3</c:f>
              <c:numCache>
                <c:formatCode>0.00</c:formatCode>
                <c:ptCount val="12"/>
                <c:pt idx="0">
                  <c:v>101.66063947343241</c:v>
                </c:pt>
                <c:pt idx="1">
                  <c:v>105.70565360000711</c:v>
                </c:pt>
                <c:pt idx="2">
                  <c:v>78.190543467166563</c:v>
                </c:pt>
                <c:pt idx="3">
                  <c:v>60.126140561449553</c:v>
                </c:pt>
                <c:pt idx="4">
                  <c:v>79.60050195821708</c:v>
                </c:pt>
                <c:pt idx="5">
                  <c:v>94.705154633716134</c:v>
                </c:pt>
                <c:pt idx="6">
                  <c:v>95.996193231405343</c:v>
                </c:pt>
                <c:pt idx="7">
                  <c:v>102.01383268289838</c:v>
                </c:pt>
                <c:pt idx="8">
                  <c:v>110.1084991988523</c:v>
                </c:pt>
                <c:pt idx="9">
                  <c:v>109.8376788569677</c:v>
                </c:pt>
                <c:pt idx="10">
                  <c:v>102.35865768546915</c:v>
                </c:pt>
                <c:pt idx="11">
                  <c:v>106.95</c:v>
                </c:pt>
              </c:numCache>
            </c:numRef>
          </c:val>
          <c:smooth val="0"/>
          <c:extLst>
            <c:ext xmlns:c16="http://schemas.microsoft.com/office/drawing/2014/chart" uri="{C3380CC4-5D6E-409C-BE32-E72D297353CC}">
              <c16:uniqueId val="{00000003-BF4C-4282-8FDE-4619849AAEB7}"/>
            </c:ext>
          </c:extLst>
        </c:ser>
        <c:dLbls>
          <c:showLegendKey val="0"/>
          <c:showVal val="0"/>
          <c:showCatName val="0"/>
          <c:showSerName val="0"/>
          <c:showPercent val="0"/>
          <c:showBubbleSize val="0"/>
        </c:dLbls>
        <c:smooth val="0"/>
        <c:axId val="118654464"/>
        <c:axId val="118656000"/>
      </c:lineChart>
      <c:catAx>
        <c:axId val="118654464"/>
        <c:scaling>
          <c:orientation val="minMax"/>
        </c:scaling>
        <c:delete val="0"/>
        <c:axPos val="b"/>
        <c:numFmt formatCode="General" sourceLinked="1"/>
        <c:majorTickMark val="out"/>
        <c:minorTickMark val="none"/>
        <c:tickLblPos val="nextTo"/>
        <c:txPr>
          <a:bodyPr rot="3900000"/>
          <a:lstStyle/>
          <a:p>
            <a:pPr>
              <a:defRPr/>
            </a:pPr>
            <a:endParaRPr lang="en-US"/>
          </a:p>
        </c:txPr>
        <c:crossAx val="118656000"/>
        <c:crossesAt val="60"/>
        <c:auto val="1"/>
        <c:lblAlgn val="ctr"/>
        <c:lblOffset val="100"/>
        <c:noMultiLvlLbl val="0"/>
      </c:catAx>
      <c:valAx>
        <c:axId val="118656000"/>
        <c:scaling>
          <c:orientation val="minMax"/>
          <c:max val="120"/>
          <c:min val="60"/>
        </c:scaling>
        <c:delete val="0"/>
        <c:axPos val="l"/>
        <c:numFmt formatCode="0" sourceLinked="0"/>
        <c:majorTickMark val="out"/>
        <c:minorTickMark val="none"/>
        <c:tickLblPos val="nextTo"/>
        <c:crossAx val="118654464"/>
        <c:crosses val="autoZero"/>
        <c:crossBetween val="between"/>
        <c:majorUnit val="10"/>
        <c:minorUnit val="1"/>
      </c:valAx>
    </c:plotArea>
    <c:plotVisOnly val="1"/>
    <c:dispBlanksAs val="gap"/>
    <c:showDLblsOverMax val="0"/>
  </c:chart>
  <c:spPr>
    <a:noFill/>
    <a:ln cmpd="sng">
      <a:noFill/>
    </a:ln>
  </c:spPr>
  <c:txPr>
    <a:bodyPr/>
    <a:lstStyle/>
    <a:p>
      <a:pPr>
        <a:defRPr sz="9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C132-C45A-48BE-BCBB-949DFBD6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2703</CharactersWithSpaces>
  <SharedDoc>false</SharedDoc>
  <HLinks>
    <vt:vector size="6" baseType="variant">
      <vt:variant>
        <vt:i4>2424865</vt:i4>
      </vt:variant>
      <vt:variant>
        <vt:i4>0</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19</cp:revision>
  <cp:lastPrinted>2021-02-02T08:31:00Z</cp:lastPrinted>
  <dcterms:created xsi:type="dcterms:W3CDTF">2021-02-01T11:03:00Z</dcterms:created>
  <dcterms:modified xsi:type="dcterms:W3CDTF">2021-02-03T09:52:00Z</dcterms:modified>
</cp:coreProperties>
</file>