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66" w:rsidRDefault="00E36466" w:rsidP="00E36466">
      <w:pPr>
        <w:pStyle w:val="Heading1"/>
        <w:jc w:val="center"/>
        <w:rPr>
          <w:rFonts w:hint="cs"/>
          <w:rtl/>
        </w:rPr>
      </w:pPr>
    </w:p>
    <w:p w:rsidR="00470EFB" w:rsidRDefault="00470EFB" w:rsidP="00470EFB">
      <w:pPr>
        <w:rPr>
          <w:rFonts w:hint="cs"/>
          <w:rtl/>
          <w:lang w:eastAsia="en-US"/>
        </w:rPr>
      </w:pPr>
    </w:p>
    <w:p w:rsidR="00470EFB" w:rsidRPr="00470EFB" w:rsidRDefault="00470EFB" w:rsidP="00470EFB">
      <w:pPr>
        <w:rPr>
          <w:lang w:eastAsia="en-US"/>
        </w:rPr>
      </w:pPr>
    </w:p>
    <w:p w:rsidR="00E36466" w:rsidRPr="00EC4830" w:rsidRDefault="00E36466" w:rsidP="00E36466">
      <w:pPr>
        <w:pStyle w:val="Heading1"/>
        <w:jc w:val="center"/>
        <w:rPr>
          <w:b w:val="0"/>
          <w:bCs w:val="0"/>
          <w:color w:val="000000"/>
          <w:sz w:val="28"/>
          <w:szCs w:val="28"/>
          <w:rtl/>
        </w:rPr>
      </w:pPr>
      <w:r w:rsidRPr="008D6447">
        <w:rPr>
          <w:sz w:val="28"/>
          <w:szCs w:val="28"/>
        </w:rPr>
        <w:t xml:space="preserve">Palestinian Central Bureau </w:t>
      </w:r>
      <w:r w:rsidRPr="008D6447">
        <w:rPr>
          <w:rFonts w:cs="Simplified Arabic"/>
          <w:sz w:val="28"/>
          <w:szCs w:val="28"/>
        </w:rPr>
        <w:t>of Statistics (PCBS)</w:t>
      </w:r>
    </w:p>
    <w:p w:rsidR="00E36466" w:rsidRPr="008D6447" w:rsidRDefault="00E36466" w:rsidP="00E36466">
      <w:pPr>
        <w:rPr>
          <w:sz w:val="28"/>
          <w:szCs w:val="28"/>
          <w:rtl/>
          <w:lang w:eastAsia="en-US"/>
        </w:rPr>
      </w:pPr>
    </w:p>
    <w:p w:rsidR="00E36466" w:rsidRPr="008D6447" w:rsidRDefault="00E36466" w:rsidP="00E36466">
      <w:pPr>
        <w:rPr>
          <w:sz w:val="16"/>
          <w:szCs w:val="16"/>
          <w:rtl/>
          <w:lang w:eastAsia="en-US"/>
        </w:rPr>
      </w:pPr>
    </w:p>
    <w:p w:rsidR="00E36466" w:rsidRPr="008D6447" w:rsidRDefault="00E36466" w:rsidP="00E36466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D6447">
        <w:rPr>
          <w:b/>
          <w:bCs/>
          <w:color w:val="000000"/>
          <w:sz w:val="28"/>
          <w:szCs w:val="28"/>
        </w:rPr>
        <w:t>Index of Quantity of</w:t>
      </w:r>
      <w:r w:rsidRPr="008D6447">
        <w:rPr>
          <w:b/>
          <w:bCs/>
          <w:sz w:val="28"/>
          <w:szCs w:val="28"/>
        </w:rPr>
        <w:t xml:space="preserve"> Industrial Production </w:t>
      </w:r>
      <w:r w:rsidRPr="008D6447">
        <w:rPr>
          <w:b/>
          <w:bCs/>
          <w:color w:val="000000"/>
          <w:sz w:val="28"/>
          <w:szCs w:val="28"/>
        </w:rPr>
        <w:t>in Palestine</w:t>
      </w:r>
      <w:r w:rsidRPr="008D6447">
        <w:rPr>
          <w:b/>
          <w:bCs/>
          <w:kern w:val="36"/>
          <w:sz w:val="28"/>
          <w:szCs w:val="28"/>
        </w:rPr>
        <w:t xml:space="preserve"> </w:t>
      </w:r>
      <w:r w:rsidRPr="008D6447">
        <w:rPr>
          <w:b/>
          <w:bCs/>
          <w:color w:val="000000"/>
          <w:sz w:val="28"/>
          <w:szCs w:val="28"/>
        </w:rPr>
        <w:t xml:space="preserve">during </w:t>
      </w:r>
    </w:p>
    <w:p w:rsidR="00E36466" w:rsidRDefault="00E36466" w:rsidP="00E36466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November</w:t>
      </w:r>
      <w:r w:rsidRPr="008D6447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11</w:t>
      </w:r>
      <w:r w:rsidRPr="008D6447">
        <w:rPr>
          <w:b/>
          <w:bCs/>
          <w:color w:val="000000"/>
          <w:sz w:val="28"/>
          <w:szCs w:val="28"/>
        </w:rPr>
        <w:t>/</w:t>
      </w:r>
      <w:r w:rsidRPr="008D6447">
        <w:rPr>
          <w:b/>
          <w:bCs/>
          <w:kern w:val="36"/>
          <w:sz w:val="28"/>
          <w:szCs w:val="28"/>
        </w:rPr>
        <w:t>2015</w:t>
      </w:r>
    </w:p>
    <w:p w:rsidR="00470EFB" w:rsidRPr="0092769A" w:rsidRDefault="00470EFB" w:rsidP="00470EFB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rFonts w:hint="cs"/>
          <w:rtl/>
        </w:rPr>
        <w:t xml:space="preserve"> </w:t>
      </w:r>
    </w:p>
    <w:p w:rsidR="00470EFB" w:rsidRPr="00C67CDD" w:rsidRDefault="00470EFB" w:rsidP="00470EFB">
      <w:pPr>
        <w:bidi w:val="0"/>
        <w:spacing w:line="360" w:lineRule="auto"/>
        <w:jc w:val="center"/>
        <w:outlineLvl w:val="0"/>
        <w:rPr>
          <w:sz w:val="16"/>
          <w:szCs w:val="16"/>
        </w:rPr>
      </w:pPr>
    </w:p>
    <w:p w:rsidR="00470EFB" w:rsidRPr="00B8382A" w:rsidRDefault="00470EFB" w:rsidP="00470EFB">
      <w:pPr>
        <w:bidi w:val="0"/>
        <w:spacing w:line="360" w:lineRule="auto"/>
        <w:jc w:val="both"/>
      </w:pPr>
      <w:r>
        <w:t xml:space="preserve">The overall Quantity of Industrial Production Index (IPI) in Palestine reached 109.64 during November 2015 with an increase of 3.76% compared with the previous month </w:t>
      </w:r>
      <w:r w:rsidRPr="00B8382A">
        <w:t>(Base Year 2011 = 100)</w:t>
      </w:r>
      <w:r>
        <w:t>.</w:t>
      </w:r>
    </w:p>
    <w:p w:rsidR="00470EFB" w:rsidRPr="00470EFB" w:rsidRDefault="00470EFB" w:rsidP="00470EFB">
      <w:pPr>
        <w:bidi w:val="0"/>
        <w:spacing w:line="360" w:lineRule="auto"/>
        <w:jc w:val="both"/>
        <w:outlineLvl w:val="0"/>
      </w:pPr>
    </w:p>
    <w:p w:rsidR="00470EFB" w:rsidRDefault="00470EFB" w:rsidP="00470EFB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>
        <w:t>November 2015</w:t>
      </w:r>
      <w:r>
        <w:rPr>
          <w:color w:val="000000"/>
        </w:rPr>
        <w:t xml:space="preserve"> </w:t>
      </w:r>
      <w:r>
        <w:t>increased</w:t>
      </w:r>
      <w:r>
        <w:rPr>
          <w:color w:val="000000"/>
        </w:rPr>
        <w:t xml:space="preserve"> due to the increase in the activity of </w:t>
      </w:r>
      <w:r w:rsidRPr="00FA0997">
        <w:rPr>
          <w:b/>
          <w:bCs/>
          <w:color w:val="000000"/>
        </w:rPr>
        <w:t>Manufacturing</w:t>
      </w:r>
      <w:r>
        <w:rPr>
          <w:b/>
          <w:bCs/>
          <w:color w:val="000000"/>
        </w:rPr>
        <w:t xml:space="preserve"> </w:t>
      </w:r>
      <w:r w:rsidRPr="004C4AD1">
        <w:rPr>
          <w:color w:val="000000"/>
        </w:rPr>
        <w:t>industry</w:t>
      </w:r>
      <w:r>
        <w:rPr>
          <w:color w:val="000000"/>
        </w:rPr>
        <w:t xml:space="preserve"> by 9.48% which had a share of 80.56% of the total industry,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</w:t>
      </w:r>
      <w:r w:rsidRPr="001D38E4">
        <w:rPr>
          <w:color w:val="000000"/>
        </w:rPr>
        <w:t>hile</w:t>
      </w:r>
      <w:r>
        <w:rPr>
          <w:color w:val="000000"/>
        </w:rPr>
        <w:t>,</w:t>
      </w:r>
      <w:r>
        <w:rPr>
          <w:b/>
          <w:bCs/>
          <w:color w:val="000000"/>
        </w:rPr>
        <w:t xml:space="preserve"> Water and Electricity S</w:t>
      </w:r>
      <w:r w:rsidRPr="00D644F8">
        <w:rPr>
          <w:b/>
          <w:bCs/>
          <w:color w:val="000000"/>
        </w:rPr>
        <w:t>upply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decreased</w:t>
      </w:r>
      <w:r>
        <w:rPr>
          <w:b/>
          <w:bCs/>
          <w:color w:val="000000"/>
        </w:rPr>
        <w:t xml:space="preserve"> </w:t>
      </w:r>
      <w:r w:rsidRPr="00FA0997">
        <w:rPr>
          <w:color w:val="000000"/>
        </w:rPr>
        <w:t xml:space="preserve">by </w:t>
      </w:r>
      <w:r>
        <w:rPr>
          <w:color w:val="000000"/>
        </w:rPr>
        <w:t>14.93</w:t>
      </w:r>
      <w:r w:rsidRPr="00FA0997">
        <w:rPr>
          <w:color w:val="000000"/>
        </w:rPr>
        <w:t xml:space="preserve">% </w:t>
      </w:r>
      <w:r>
        <w:rPr>
          <w:color w:val="000000"/>
        </w:rPr>
        <w:t xml:space="preserve">which had a share of 14.85% of the total industry, the activity of </w:t>
      </w:r>
      <w:r>
        <w:rPr>
          <w:b/>
          <w:bCs/>
          <w:color w:val="000000"/>
        </w:rPr>
        <w:t>M</w:t>
      </w:r>
      <w:r w:rsidRPr="00BD1B6A">
        <w:rPr>
          <w:b/>
          <w:bCs/>
          <w:color w:val="000000"/>
        </w:rPr>
        <w:t>ining a</w:t>
      </w:r>
      <w:r>
        <w:rPr>
          <w:b/>
          <w:bCs/>
          <w:color w:val="000000"/>
        </w:rPr>
        <w:t>nd Q</w:t>
      </w:r>
      <w:r w:rsidRPr="00BD1B6A">
        <w:rPr>
          <w:b/>
          <w:bCs/>
          <w:color w:val="000000"/>
        </w:rPr>
        <w:t>uarrying</w:t>
      </w:r>
      <w:r>
        <w:rPr>
          <w:b/>
          <w:bCs/>
          <w:color w:val="000000"/>
        </w:rPr>
        <w:t xml:space="preserve"> </w:t>
      </w:r>
      <w:r w:rsidRPr="001D38E4">
        <w:rPr>
          <w:color w:val="000000"/>
        </w:rPr>
        <w:t>decreased</w:t>
      </w:r>
      <w:r>
        <w:rPr>
          <w:b/>
          <w:bCs/>
          <w:color w:val="000000"/>
        </w:rPr>
        <w:t xml:space="preserve"> </w:t>
      </w:r>
      <w:r w:rsidRPr="001F2364">
        <w:rPr>
          <w:color w:val="000000"/>
        </w:rPr>
        <w:t>by</w:t>
      </w:r>
      <w:r>
        <w:rPr>
          <w:color w:val="000000"/>
        </w:rPr>
        <w:t xml:space="preserve"> 7.62</w:t>
      </w:r>
      <w:r w:rsidRPr="001F2364">
        <w:rPr>
          <w:color w:val="000000"/>
        </w:rPr>
        <w:t xml:space="preserve">% </w:t>
      </w:r>
      <w:r>
        <w:rPr>
          <w:color w:val="000000"/>
        </w:rPr>
        <w:t>which had a share of 4.59% of the total industry.</w:t>
      </w:r>
    </w:p>
    <w:p w:rsidR="00470EFB" w:rsidRPr="00470EFB" w:rsidRDefault="00470EFB" w:rsidP="00470EFB">
      <w:pPr>
        <w:bidi w:val="0"/>
        <w:spacing w:line="360" w:lineRule="auto"/>
        <w:rPr>
          <w:b/>
          <w:bCs/>
          <w:color w:val="000000"/>
          <w:sz w:val="25"/>
          <w:szCs w:val="25"/>
        </w:rPr>
      </w:pPr>
    </w:p>
    <w:p w:rsidR="00470EFB" w:rsidRPr="00470EFB" w:rsidRDefault="00470EFB" w:rsidP="00470EFB">
      <w:pPr>
        <w:bidi w:val="0"/>
        <w:spacing w:line="360" w:lineRule="auto"/>
        <w:jc w:val="center"/>
        <w:rPr>
          <w:b/>
          <w:bCs/>
          <w:color w:val="000000"/>
          <w:sz w:val="25"/>
          <w:szCs w:val="25"/>
        </w:rPr>
      </w:pPr>
      <w:r w:rsidRPr="00470EFB">
        <w:rPr>
          <w:b/>
          <w:bCs/>
          <w:color w:val="000000"/>
          <w:sz w:val="25"/>
          <w:szCs w:val="25"/>
        </w:rPr>
        <w:t>Industrial Production Index</w:t>
      </w:r>
    </w:p>
    <w:p w:rsidR="00470EFB" w:rsidRPr="00470EFB" w:rsidRDefault="00470EFB" w:rsidP="00470EFB">
      <w:pPr>
        <w:bidi w:val="0"/>
        <w:spacing w:line="360" w:lineRule="auto"/>
        <w:jc w:val="center"/>
        <w:rPr>
          <w:b/>
          <w:bCs/>
          <w:color w:val="000000"/>
          <w:sz w:val="25"/>
          <w:szCs w:val="25"/>
        </w:rPr>
      </w:pPr>
      <w:r w:rsidRPr="00470EFB">
        <w:rPr>
          <w:b/>
          <w:bCs/>
          <w:color w:val="000000"/>
          <w:sz w:val="25"/>
          <w:szCs w:val="25"/>
        </w:rPr>
        <w:t>November 2014 – November 2015 (Base Year 2011 = 100</w:t>
      </w:r>
      <w:r w:rsidRPr="00470EFB">
        <w:rPr>
          <w:color w:val="000000"/>
          <w:sz w:val="25"/>
          <w:szCs w:val="25"/>
        </w:rPr>
        <w:t>)</w:t>
      </w:r>
    </w:p>
    <w:p w:rsidR="00470EFB" w:rsidRDefault="00470EFB" w:rsidP="00470EFB">
      <w:pPr>
        <w:bidi w:val="0"/>
        <w:spacing w:line="360" w:lineRule="auto"/>
        <w:jc w:val="center"/>
        <w:rPr>
          <w:color w:val="000000"/>
        </w:rPr>
      </w:pPr>
      <w:r w:rsidRPr="001006A9">
        <w:rPr>
          <w:noProof/>
          <w:color w:val="000000"/>
          <w:lang w:eastAsia="en-US"/>
        </w:rPr>
        <w:drawing>
          <wp:inline distT="0" distB="0" distL="0" distR="0">
            <wp:extent cx="3171825" cy="26670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0EFB" w:rsidRPr="00470EFB" w:rsidRDefault="00470EFB" w:rsidP="00470EFB">
      <w:pPr>
        <w:bidi w:val="0"/>
        <w:spacing w:line="360" w:lineRule="auto"/>
        <w:jc w:val="center"/>
        <w:rPr>
          <w:color w:val="000000"/>
        </w:rPr>
      </w:pPr>
    </w:p>
    <w:p w:rsidR="00470EFB" w:rsidRDefault="00470EFB" w:rsidP="00470EF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470EFB" w:rsidRDefault="00470EFB" w:rsidP="00470EFB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470EFB" w:rsidRPr="00DF75D9" w:rsidRDefault="00470EFB" w:rsidP="00470EFB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DF75D9">
        <w:rPr>
          <w:color w:val="000000"/>
          <w:sz w:val="20"/>
          <w:szCs w:val="20"/>
        </w:rPr>
        <w:t>Relative share for the main industrial activities represents the percentage distribution of value added (VA) for the industrial activities in 2009.</w:t>
      </w:r>
    </w:p>
    <w:p w:rsidR="00470EFB" w:rsidRDefault="00470EFB" w:rsidP="00470EFB">
      <w:pPr>
        <w:bidi w:val="0"/>
        <w:jc w:val="both"/>
        <w:rPr>
          <w:sz w:val="20"/>
          <w:szCs w:val="20"/>
        </w:rPr>
      </w:pPr>
    </w:p>
    <w:p w:rsidR="00470EFB" w:rsidRPr="00E23512" w:rsidRDefault="00470EFB" w:rsidP="00470EFB">
      <w:pPr>
        <w:bidi w:val="0"/>
        <w:jc w:val="both"/>
        <w:rPr>
          <w:sz w:val="20"/>
          <w:szCs w:val="20"/>
        </w:rPr>
      </w:pPr>
    </w:p>
    <w:p w:rsidR="00EB7B93" w:rsidRPr="00470EFB" w:rsidRDefault="00470EFB">
      <w:pPr>
        <w:rPr>
          <w:rtl/>
        </w:rPr>
      </w:pPr>
      <w:r>
        <w:rPr>
          <w:rFonts w:hint="cs"/>
          <w:rtl/>
        </w:rPr>
        <w:t xml:space="preserve"> </w:t>
      </w:r>
    </w:p>
    <w:sectPr w:rsidR="00EB7B93" w:rsidRPr="00470EFB" w:rsidSect="00470EFB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E36466"/>
    <w:rsid w:val="001959AF"/>
    <w:rsid w:val="00470EFB"/>
    <w:rsid w:val="005E7849"/>
    <w:rsid w:val="00E36466"/>
    <w:rsid w:val="00EB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36466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64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E36466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36466"/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styleId="Hyperlink">
    <w:name w:val="Hyperlink"/>
    <w:basedOn w:val="DefaultParagraphFont"/>
    <w:semiHidden/>
    <w:unhideWhenUsed/>
    <w:rsid w:val="00470E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2795125834495913"/>
          <c:y val="5.1222697508832515E-2"/>
          <c:w val="0.83200870161500085"/>
          <c:h val="0.65717025856197731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0060060060060039E-2"/>
                  <c:y val="3.2294907773206656E-2"/>
                </c:manualLayout>
              </c:layout>
              <c:showVal val="1"/>
            </c:dLbl>
            <c:dLbl>
              <c:idx val="12"/>
              <c:layout>
                <c:manualLayout>
                  <c:x val="-1.7110338685141849E-2"/>
                  <c:y val="-3.2305806064899446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Nov. 2014</c:v>
                </c:pt>
                <c:pt idx="1">
                  <c:v>Dec. 2014</c:v>
                </c:pt>
                <c:pt idx="2">
                  <c:v>Jan. 2015</c:v>
                </c:pt>
                <c:pt idx="3">
                  <c:v>Feb. 2015</c:v>
                </c:pt>
                <c:pt idx="4">
                  <c:v>Mar. 2015</c:v>
                </c:pt>
                <c:pt idx="5">
                  <c:v>Apr. 2015</c:v>
                </c:pt>
                <c:pt idx="6">
                  <c:v>May. 2015</c:v>
                </c:pt>
                <c:pt idx="7">
                  <c:v>Jun. 2015</c:v>
                </c:pt>
                <c:pt idx="8">
                  <c:v>Jul. 2015</c:v>
                </c:pt>
                <c:pt idx="9">
                  <c:v>Aug. 2015</c:v>
                </c:pt>
                <c:pt idx="10">
                  <c:v>Sep. 2015</c:v>
                </c:pt>
                <c:pt idx="11">
                  <c:v>Oct. 2015</c:v>
                </c:pt>
                <c:pt idx="12">
                  <c:v>Nov. 2015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109.94785402643242</c:v>
                </c:pt>
                <c:pt idx="1">
                  <c:v>133.4</c:v>
                </c:pt>
                <c:pt idx="2">
                  <c:v>97.990000000000023</c:v>
                </c:pt>
                <c:pt idx="3">
                  <c:v>116.21000000000002</c:v>
                </c:pt>
                <c:pt idx="4">
                  <c:v>94.86</c:v>
                </c:pt>
                <c:pt idx="5">
                  <c:v>99.82</c:v>
                </c:pt>
                <c:pt idx="6">
                  <c:v>108.33</c:v>
                </c:pt>
                <c:pt idx="7">
                  <c:v>115.14999999999999</c:v>
                </c:pt>
                <c:pt idx="8">
                  <c:v>104.48</c:v>
                </c:pt>
                <c:pt idx="9">
                  <c:v>114.82</c:v>
                </c:pt>
                <c:pt idx="10">
                  <c:v>101.97</c:v>
                </c:pt>
                <c:pt idx="11">
                  <c:v>105.66999999999999</c:v>
                </c:pt>
                <c:pt idx="12">
                  <c:v>109.64</c:v>
                </c:pt>
              </c:numCache>
            </c:numRef>
          </c:val>
        </c:ser>
        <c:marker val="1"/>
        <c:axId val="97133696"/>
        <c:axId val="97135616"/>
      </c:lineChart>
      <c:catAx>
        <c:axId val="97133696"/>
        <c:scaling>
          <c:orientation val="minMax"/>
        </c:scaling>
        <c:axPos val="b"/>
        <c:numFmt formatCode="General" sourceLinked="1"/>
        <c:tickLblPos val="nextTo"/>
        <c:crossAx val="97135616"/>
        <c:crossesAt val="90"/>
        <c:auto val="1"/>
        <c:lblAlgn val="ctr"/>
        <c:lblOffset val="100"/>
      </c:catAx>
      <c:valAx>
        <c:axId val="97135616"/>
        <c:scaling>
          <c:orientation val="minMax"/>
          <c:max val="135"/>
          <c:min val="90"/>
        </c:scaling>
        <c:axPos val="l"/>
        <c:numFmt formatCode="0" sourceLinked="0"/>
        <c:tickLblPos val="nextTo"/>
        <c:crossAx val="97133696"/>
        <c:crosses val="autoZero"/>
        <c:crossBetween val="between"/>
        <c:majorUnit val="5"/>
        <c:minorUnit val="1"/>
      </c:valAx>
    </c:plotArea>
    <c:plotVisOnly val="1"/>
  </c:chart>
  <c:spPr>
    <a:ln cmpd="sng"/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cp:lastPrinted>2016-01-04T07:24:00Z</cp:lastPrinted>
  <dcterms:created xsi:type="dcterms:W3CDTF">2016-01-04T07:25:00Z</dcterms:created>
  <dcterms:modified xsi:type="dcterms:W3CDTF">2016-01-04T07:25:00Z</dcterms:modified>
</cp:coreProperties>
</file>