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CC" w:rsidRDefault="004F51CC" w:rsidP="004F51CC">
      <w:pPr>
        <w:pStyle w:val="Heading1"/>
        <w:jc w:val="center"/>
        <w:rPr>
          <w:rFonts w:hint="cs"/>
          <w:sz w:val="32"/>
          <w:szCs w:val="32"/>
        </w:rPr>
      </w:pPr>
    </w:p>
    <w:p w:rsidR="006F4A03" w:rsidRPr="006F4A03" w:rsidRDefault="004F51CC" w:rsidP="006F4A03">
      <w:pPr>
        <w:pStyle w:val="Heading1"/>
        <w:jc w:val="center"/>
        <w:rPr>
          <w:rFonts w:cs="Simplified Arabic"/>
          <w:sz w:val="32"/>
          <w:szCs w:val="32"/>
          <w:rtl/>
        </w:rPr>
      </w:pPr>
      <w:r w:rsidRPr="00CE1645">
        <w:rPr>
          <w:sz w:val="32"/>
          <w:szCs w:val="32"/>
        </w:rPr>
        <w:t xml:space="preserve">Palestinian Central Bureau </w:t>
      </w:r>
      <w:r w:rsidRPr="00CE1645">
        <w:rPr>
          <w:rFonts w:cs="Simplified Arabic"/>
          <w:sz w:val="32"/>
          <w:szCs w:val="32"/>
        </w:rPr>
        <w:t>of Statistics (PCBS)</w:t>
      </w:r>
    </w:p>
    <w:p w:rsidR="004F51CC" w:rsidRPr="00CE1645" w:rsidRDefault="004F51CC" w:rsidP="004F51CC">
      <w:pPr>
        <w:rPr>
          <w:lang w:eastAsia="en-US"/>
        </w:rPr>
      </w:pPr>
    </w:p>
    <w:p w:rsidR="006F4A03" w:rsidRPr="006F4A03" w:rsidRDefault="006F4A03" w:rsidP="006F4A03">
      <w:pPr>
        <w:pStyle w:val="Header"/>
        <w:bidi w:val="0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Increase</w:t>
      </w:r>
      <w:r w:rsidRPr="00740551">
        <w:rPr>
          <w:b/>
          <w:bCs/>
          <w:color w:val="000000"/>
          <w:sz w:val="28"/>
          <w:szCs w:val="28"/>
        </w:rPr>
        <w:t xml:space="preserve"> </w:t>
      </w:r>
      <w:r w:rsidR="004F51CC" w:rsidRPr="00740551">
        <w:rPr>
          <w:b/>
          <w:bCs/>
          <w:color w:val="000000"/>
          <w:sz w:val="28"/>
          <w:szCs w:val="28"/>
        </w:rPr>
        <w:t xml:space="preserve">in the </w:t>
      </w:r>
      <w:r w:rsidR="004F51CC">
        <w:rPr>
          <w:b/>
          <w:bCs/>
          <w:sz w:val="28"/>
          <w:szCs w:val="28"/>
        </w:rPr>
        <w:t xml:space="preserve">Industrial Production </w:t>
      </w:r>
      <w:r w:rsidR="004F51CC">
        <w:rPr>
          <w:b/>
          <w:bCs/>
          <w:color w:val="000000"/>
          <w:sz w:val="28"/>
          <w:szCs w:val="28"/>
        </w:rPr>
        <w:t>in Palestine</w:t>
      </w:r>
      <w:r w:rsidR="004F51CC">
        <w:rPr>
          <w:b/>
          <w:bCs/>
          <w:kern w:val="36"/>
          <w:sz w:val="28"/>
          <w:szCs w:val="28"/>
        </w:rPr>
        <w:t xml:space="preserve"> </w:t>
      </w:r>
      <w:r w:rsidR="004F51CC" w:rsidRPr="000C42CA">
        <w:rPr>
          <w:b/>
          <w:bCs/>
          <w:color w:val="000000"/>
          <w:sz w:val="28"/>
          <w:szCs w:val="28"/>
        </w:rPr>
        <w:t>during</w:t>
      </w:r>
      <w:r>
        <w:rPr>
          <w:b/>
          <w:bCs/>
          <w:color w:val="000000"/>
          <w:sz w:val="28"/>
          <w:szCs w:val="28"/>
        </w:rPr>
        <w:t xml:space="preserve"> February</w:t>
      </w:r>
      <w:r w:rsidR="004F51CC"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</w:rPr>
        <w:t>02</w:t>
      </w:r>
      <w:r w:rsidR="004F51CC">
        <w:rPr>
          <w:b/>
          <w:bCs/>
          <w:color w:val="000000"/>
          <w:sz w:val="28"/>
          <w:szCs w:val="28"/>
        </w:rPr>
        <w:t xml:space="preserve">/2016 </w:t>
      </w:r>
    </w:p>
    <w:p w:rsidR="006F4A03" w:rsidRPr="007072BF" w:rsidRDefault="006F4A03" w:rsidP="006F4A03">
      <w:pPr>
        <w:bidi w:val="0"/>
        <w:spacing w:line="360" w:lineRule="auto"/>
        <w:jc w:val="center"/>
        <w:outlineLvl w:val="0"/>
      </w:pPr>
    </w:p>
    <w:p w:rsidR="006F4A03" w:rsidRDefault="006F4A03" w:rsidP="006F4A03">
      <w:pPr>
        <w:bidi w:val="0"/>
        <w:spacing w:line="360" w:lineRule="auto"/>
        <w:jc w:val="both"/>
      </w:pPr>
      <w:r>
        <w:t xml:space="preserve">The overall Quantity of Industrial Production Index (IPI) in Palestine reached 103.20 during February 2016 with an increase of 6.60% compared to the previous month </w:t>
      </w:r>
      <w:r w:rsidRPr="00B8382A">
        <w:t xml:space="preserve">(Base </w:t>
      </w:r>
      <w:r>
        <w:t>Month</w:t>
      </w:r>
      <w:r w:rsidRPr="00B8382A">
        <w:t xml:space="preserve"> </w:t>
      </w:r>
      <w:r>
        <w:t>December 2015</w:t>
      </w:r>
      <w:r w:rsidRPr="00B8382A">
        <w:t xml:space="preserve"> = 100)</w:t>
      </w:r>
      <w:r>
        <w:t>.</w:t>
      </w:r>
    </w:p>
    <w:p w:rsidR="006F4A03" w:rsidRPr="006F4A03" w:rsidRDefault="006F4A03" w:rsidP="006F4A03">
      <w:pPr>
        <w:bidi w:val="0"/>
        <w:spacing w:line="360" w:lineRule="auto"/>
        <w:jc w:val="both"/>
        <w:rPr>
          <w:sz w:val="16"/>
          <w:szCs w:val="16"/>
        </w:rPr>
      </w:pPr>
    </w:p>
    <w:p w:rsidR="006F4A03" w:rsidRDefault="006F4A03" w:rsidP="006F4A03">
      <w:pPr>
        <w:bidi w:val="0"/>
        <w:spacing w:line="360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Quantity of </w:t>
      </w:r>
      <w:r>
        <w:t>Industrial Production Index</w:t>
      </w:r>
      <w:r>
        <w:rPr>
          <w:color w:val="000000"/>
        </w:rPr>
        <w:t xml:space="preserve"> for </w:t>
      </w:r>
      <w:r>
        <w:t>February 2016</w:t>
      </w:r>
      <w:r>
        <w:rPr>
          <w:color w:val="000000"/>
        </w:rPr>
        <w:t xml:space="preserve"> </w:t>
      </w:r>
      <w:r>
        <w:t xml:space="preserve">increased </w:t>
      </w:r>
      <w:r>
        <w:rPr>
          <w:color w:val="000000"/>
        </w:rPr>
        <w:t xml:space="preserve">due to the </w:t>
      </w:r>
      <w:r>
        <w:t xml:space="preserve">increase </w:t>
      </w:r>
      <w:r>
        <w:rPr>
          <w:color w:val="000000"/>
        </w:rPr>
        <w:t xml:space="preserve">in the activity of </w:t>
      </w:r>
      <w:r w:rsidRPr="00FA0997">
        <w:rPr>
          <w:b/>
          <w:bCs/>
          <w:color w:val="000000"/>
        </w:rPr>
        <w:t>Manufacturing</w:t>
      </w:r>
      <w:r>
        <w:rPr>
          <w:b/>
          <w:bCs/>
          <w:color w:val="000000"/>
        </w:rPr>
        <w:t xml:space="preserve"> I</w:t>
      </w:r>
      <w:r w:rsidRPr="0051652D">
        <w:rPr>
          <w:b/>
          <w:bCs/>
          <w:color w:val="000000"/>
        </w:rPr>
        <w:t>ndustry</w:t>
      </w:r>
      <w:r>
        <w:rPr>
          <w:color w:val="000000"/>
        </w:rPr>
        <w:t xml:space="preserve"> by 9.20% which had a share of 83.19% of the total industry,</w:t>
      </w:r>
      <w:r>
        <w:rPr>
          <w:b/>
          <w:bCs/>
          <w:color w:val="000000"/>
        </w:rPr>
        <w:t xml:space="preserve"> M</w:t>
      </w:r>
      <w:r w:rsidRPr="00BD1B6A">
        <w:rPr>
          <w:b/>
          <w:bCs/>
          <w:color w:val="000000"/>
        </w:rPr>
        <w:t>ining a</w:t>
      </w:r>
      <w:r>
        <w:rPr>
          <w:b/>
          <w:bCs/>
          <w:color w:val="000000"/>
        </w:rPr>
        <w:t>nd Q</w:t>
      </w:r>
      <w:r w:rsidRPr="00BD1B6A">
        <w:rPr>
          <w:b/>
          <w:bCs/>
          <w:color w:val="000000"/>
        </w:rPr>
        <w:t>uarrying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increased</w:t>
      </w:r>
      <w:r>
        <w:rPr>
          <w:b/>
          <w:bCs/>
          <w:color w:val="000000"/>
        </w:rPr>
        <w:t xml:space="preserve"> </w:t>
      </w:r>
      <w:r w:rsidRPr="001F2364">
        <w:rPr>
          <w:color w:val="000000"/>
        </w:rPr>
        <w:t>by</w:t>
      </w:r>
      <w:r>
        <w:rPr>
          <w:color w:val="000000"/>
        </w:rPr>
        <w:t xml:space="preserve"> 17.07</w:t>
      </w:r>
      <w:r w:rsidRPr="001F2364">
        <w:rPr>
          <w:color w:val="000000"/>
        </w:rPr>
        <w:t xml:space="preserve">% </w:t>
      </w:r>
      <w:r>
        <w:rPr>
          <w:color w:val="000000"/>
        </w:rPr>
        <w:t>which had a share of 4.06% of the total industry</w:t>
      </w:r>
      <w:r w:rsidRPr="007A5D07">
        <w:rPr>
          <w:color w:val="000000"/>
        </w:rPr>
        <w:t>,</w:t>
      </w:r>
      <w:r>
        <w:rPr>
          <w:b/>
          <w:bCs/>
          <w:color w:val="000000"/>
        </w:rPr>
        <w:t xml:space="preserve"> </w:t>
      </w:r>
      <w:r w:rsidRPr="007072BF">
        <w:rPr>
          <w:b/>
          <w:bCs/>
          <w:color w:val="000000"/>
        </w:rPr>
        <w:t xml:space="preserve">Water </w:t>
      </w:r>
      <w:r>
        <w:rPr>
          <w:b/>
          <w:bCs/>
          <w:color w:val="000000"/>
        </w:rPr>
        <w:t>S</w:t>
      </w:r>
      <w:r w:rsidRPr="007072BF">
        <w:rPr>
          <w:b/>
          <w:bCs/>
          <w:color w:val="000000"/>
        </w:rPr>
        <w:t xml:space="preserve">upply, </w:t>
      </w:r>
      <w:r>
        <w:rPr>
          <w:b/>
          <w:bCs/>
          <w:color w:val="000000"/>
        </w:rPr>
        <w:t>S</w:t>
      </w:r>
      <w:r w:rsidRPr="007072BF">
        <w:rPr>
          <w:b/>
          <w:bCs/>
          <w:color w:val="000000"/>
        </w:rPr>
        <w:t xml:space="preserve">ewerage, </w:t>
      </w:r>
      <w:r>
        <w:rPr>
          <w:b/>
          <w:bCs/>
          <w:color w:val="000000"/>
        </w:rPr>
        <w:t>W</w:t>
      </w:r>
      <w:r w:rsidRPr="007072BF">
        <w:rPr>
          <w:b/>
          <w:bCs/>
          <w:color w:val="000000"/>
        </w:rPr>
        <w:t xml:space="preserve">aste </w:t>
      </w:r>
      <w:r>
        <w:rPr>
          <w:b/>
          <w:bCs/>
          <w:color w:val="000000"/>
        </w:rPr>
        <w:t>M</w:t>
      </w:r>
      <w:r w:rsidRPr="007072BF">
        <w:rPr>
          <w:b/>
          <w:bCs/>
          <w:color w:val="000000"/>
        </w:rPr>
        <w:t xml:space="preserve">anagement and </w:t>
      </w:r>
      <w:r>
        <w:rPr>
          <w:b/>
          <w:bCs/>
          <w:color w:val="000000"/>
        </w:rPr>
        <w:t>R</w:t>
      </w:r>
      <w:r w:rsidRPr="007072BF">
        <w:rPr>
          <w:b/>
          <w:bCs/>
          <w:color w:val="000000"/>
        </w:rPr>
        <w:t>emediation</w:t>
      </w:r>
      <w:r>
        <w:rPr>
          <w:b/>
          <w:bCs/>
          <w:color w:val="000000"/>
        </w:rPr>
        <w:t xml:space="preserve"> Activities </w:t>
      </w:r>
      <w:r w:rsidRPr="0066195E">
        <w:rPr>
          <w:color w:val="000000"/>
        </w:rPr>
        <w:t xml:space="preserve">increased by </w:t>
      </w:r>
      <w:r>
        <w:rPr>
          <w:color w:val="000000"/>
        </w:rPr>
        <w:t>7.34</w:t>
      </w:r>
      <w:r w:rsidRPr="0066195E">
        <w:rPr>
          <w:color w:val="000000"/>
        </w:rPr>
        <w:t>%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which had a share of 0.78% of the total industry,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w</w:t>
      </w:r>
      <w:r w:rsidRPr="007072BF">
        <w:rPr>
          <w:color w:val="000000"/>
        </w:rPr>
        <w:t>hile the activity of</w:t>
      </w:r>
      <w:r>
        <w:rPr>
          <w:b/>
          <w:bCs/>
          <w:color w:val="000000"/>
        </w:rPr>
        <w:t xml:space="preserve"> Electricity, Gas, Steam and Air Conditioning S</w:t>
      </w:r>
      <w:r w:rsidRPr="00D644F8">
        <w:rPr>
          <w:b/>
          <w:bCs/>
          <w:color w:val="000000"/>
        </w:rPr>
        <w:t>upply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decreased</w:t>
      </w:r>
      <w:r>
        <w:rPr>
          <w:b/>
          <w:bCs/>
          <w:color w:val="000000"/>
        </w:rPr>
        <w:t xml:space="preserve"> </w:t>
      </w:r>
      <w:r w:rsidRPr="00FA0997">
        <w:rPr>
          <w:color w:val="000000"/>
        </w:rPr>
        <w:t xml:space="preserve">by </w:t>
      </w:r>
      <w:r>
        <w:rPr>
          <w:color w:val="000000"/>
        </w:rPr>
        <w:t>14.38</w:t>
      </w:r>
      <w:r w:rsidRPr="00FA0997">
        <w:rPr>
          <w:color w:val="000000"/>
        </w:rPr>
        <w:t xml:space="preserve">% </w:t>
      </w:r>
      <w:r>
        <w:rPr>
          <w:color w:val="000000"/>
        </w:rPr>
        <w:t>which had a share of 11.98% of the total industry</w:t>
      </w:r>
      <w:bookmarkStart w:id="0" w:name="_GoBack"/>
      <w:bookmarkEnd w:id="0"/>
      <w:r>
        <w:rPr>
          <w:color w:val="000000"/>
        </w:rPr>
        <w:t>.</w:t>
      </w:r>
    </w:p>
    <w:p w:rsidR="006F4A03" w:rsidRDefault="006F4A03" w:rsidP="006F4A03">
      <w:pPr>
        <w:bidi w:val="0"/>
        <w:jc w:val="center"/>
        <w:rPr>
          <w:b/>
          <w:bCs/>
          <w:color w:val="000000"/>
        </w:rPr>
      </w:pPr>
    </w:p>
    <w:p w:rsidR="006F4A03" w:rsidRPr="006F4A03" w:rsidRDefault="006F4A03" w:rsidP="006F4A03">
      <w:pPr>
        <w:bidi w:val="0"/>
        <w:jc w:val="center"/>
        <w:rPr>
          <w:b/>
          <w:bCs/>
          <w:sz w:val="25"/>
          <w:szCs w:val="25"/>
        </w:rPr>
      </w:pPr>
      <w:r w:rsidRPr="006F4A03">
        <w:rPr>
          <w:b/>
          <w:bCs/>
          <w:sz w:val="25"/>
          <w:szCs w:val="25"/>
        </w:rPr>
        <w:t xml:space="preserve">The </w:t>
      </w:r>
      <w:r w:rsidRPr="006F4A03">
        <w:rPr>
          <w:b/>
          <w:bCs/>
          <w:color w:val="000000"/>
          <w:sz w:val="25"/>
          <w:szCs w:val="25"/>
        </w:rPr>
        <w:t>Industrial Production Index</w:t>
      </w:r>
      <w:r w:rsidRPr="006F4A03">
        <w:rPr>
          <w:b/>
          <w:bCs/>
          <w:sz w:val="25"/>
          <w:szCs w:val="25"/>
        </w:rPr>
        <w:t xml:space="preserve"> in Palestine, for the period: </w:t>
      </w:r>
    </w:p>
    <w:p w:rsidR="006F4A03" w:rsidRPr="006F4A03" w:rsidRDefault="006F4A03" w:rsidP="006F4A03">
      <w:pPr>
        <w:bidi w:val="0"/>
        <w:jc w:val="center"/>
        <w:rPr>
          <w:b/>
          <w:bCs/>
          <w:sz w:val="25"/>
          <w:szCs w:val="25"/>
        </w:rPr>
      </w:pPr>
      <w:r w:rsidRPr="006F4A03">
        <w:rPr>
          <w:b/>
          <w:bCs/>
          <w:sz w:val="25"/>
          <w:szCs w:val="25"/>
        </w:rPr>
        <w:t>February 2015 -</w:t>
      </w:r>
      <w:r w:rsidRPr="006F4A03">
        <w:rPr>
          <w:b/>
          <w:bCs/>
          <w:color w:val="000000"/>
          <w:sz w:val="25"/>
          <w:szCs w:val="25"/>
        </w:rPr>
        <w:t xml:space="preserve"> </w:t>
      </w:r>
      <w:r w:rsidRPr="006F4A03">
        <w:rPr>
          <w:b/>
          <w:bCs/>
          <w:sz w:val="25"/>
          <w:szCs w:val="25"/>
        </w:rPr>
        <w:t>February</w:t>
      </w:r>
      <w:r w:rsidRPr="006F4A03">
        <w:rPr>
          <w:b/>
          <w:bCs/>
          <w:color w:val="000000"/>
          <w:sz w:val="25"/>
          <w:szCs w:val="25"/>
        </w:rPr>
        <w:t xml:space="preserve"> 2016</w:t>
      </w:r>
      <w:r w:rsidRPr="006F4A03">
        <w:rPr>
          <w:b/>
          <w:bCs/>
          <w:sz w:val="25"/>
          <w:szCs w:val="25"/>
        </w:rPr>
        <w:t xml:space="preserve"> </w:t>
      </w:r>
    </w:p>
    <w:p w:rsidR="006F4A03" w:rsidRPr="006F4A03" w:rsidRDefault="006F4A03" w:rsidP="006F4A03">
      <w:pPr>
        <w:bidi w:val="0"/>
        <w:ind w:left="4111" w:hanging="4111"/>
        <w:jc w:val="center"/>
        <w:rPr>
          <w:b/>
          <w:bCs/>
          <w:sz w:val="25"/>
          <w:szCs w:val="25"/>
        </w:rPr>
      </w:pPr>
      <w:r w:rsidRPr="006F4A03">
        <w:rPr>
          <w:b/>
          <w:bCs/>
          <w:sz w:val="25"/>
          <w:szCs w:val="25"/>
        </w:rPr>
        <w:t>(Base Month December 2015=100)</w:t>
      </w:r>
    </w:p>
    <w:p w:rsidR="006F4A03" w:rsidRPr="003D3115" w:rsidRDefault="006F4A03" w:rsidP="006F4A03">
      <w:pPr>
        <w:bidi w:val="0"/>
        <w:ind w:left="4111" w:hanging="4111"/>
        <w:jc w:val="center"/>
        <w:rPr>
          <w:b/>
          <w:bCs/>
          <w:sz w:val="10"/>
          <w:szCs w:val="10"/>
        </w:rPr>
      </w:pPr>
    </w:p>
    <w:p w:rsidR="006F4A03" w:rsidRPr="0067720B" w:rsidRDefault="006F4A03" w:rsidP="006F4A03">
      <w:pPr>
        <w:bidi w:val="0"/>
        <w:ind w:left="4111" w:right="-1" w:hanging="4111"/>
        <w:jc w:val="center"/>
        <w:rPr>
          <w:b/>
          <w:bCs/>
        </w:rPr>
      </w:pPr>
      <w:r w:rsidRPr="001A3C03">
        <w:rPr>
          <w:b/>
          <w:bCs/>
          <w:noProof/>
          <w:lang w:eastAsia="en-US"/>
        </w:rPr>
        <w:drawing>
          <wp:inline distT="0" distB="0" distL="0" distR="0">
            <wp:extent cx="3143250" cy="245745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F4A03" w:rsidRDefault="006F4A03" w:rsidP="006F4A03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6F4A03" w:rsidRDefault="006F4A03" w:rsidP="006F4A03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6F4A03" w:rsidRDefault="006F4A03" w:rsidP="006F4A03">
      <w:pPr>
        <w:bidi w:val="0"/>
        <w:spacing w:line="360" w:lineRule="auto"/>
        <w:jc w:val="both"/>
        <w:rPr>
          <w:color w:val="000000"/>
          <w:sz w:val="20"/>
          <w:szCs w:val="20"/>
        </w:rPr>
      </w:pPr>
      <w:r w:rsidRPr="00E23512">
        <w:rPr>
          <w:b/>
          <w:bCs/>
          <w:color w:val="000000"/>
          <w:sz w:val="20"/>
          <w:szCs w:val="20"/>
        </w:rPr>
        <w:t>Note</w:t>
      </w:r>
      <w:r w:rsidRPr="00E23512">
        <w:rPr>
          <w:color w:val="000000"/>
          <w:sz w:val="20"/>
          <w:szCs w:val="20"/>
        </w:rPr>
        <w:t>:</w:t>
      </w:r>
    </w:p>
    <w:p w:rsidR="006F4A03" w:rsidRPr="006F4A03" w:rsidRDefault="006F4A03" w:rsidP="006F4A03">
      <w:pPr>
        <w:pStyle w:val="ListParagraph"/>
        <w:numPr>
          <w:ilvl w:val="0"/>
          <w:numId w:val="1"/>
        </w:numPr>
        <w:bidi w:val="0"/>
        <w:spacing w:line="360" w:lineRule="auto"/>
        <w:ind w:left="714" w:hanging="357"/>
        <w:jc w:val="both"/>
        <w:rPr>
          <w:color w:val="000000"/>
          <w:sz w:val="22"/>
          <w:szCs w:val="22"/>
        </w:rPr>
      </w:pPr>
      <w:r w:rsidRPr="006F4A03">
        <w:rPr>
          <w:color w:val="000000"/>
          <w:sz w:val="22"/>
          <w:szCs w:val="22"/>
        </w:rPr>
        <w:t xml:space="preserve">Since the beginning of 2016, PCBS updated the base month for the Quantity of </w:t>
      </w:r>
      <w:r w:rsidRPr="006F4A03">
        <w:rPr>
          <w:sz w:val="22"/>
          <w:szCs w:val="22"/>
        </w:rPr>
        <w:t>Industrial Production</w:t>
      </w:r>
      <w:r w:rsidRPr="006F4A03">
        <w:rPr>
          <w:color w:val="000000"/>
          <w:sz w:val="22"/>
          <w:szCs w:val="22"/>
        </w:rPr>
        <w:t xml:space="preserve"> to be December 2015 instead of 2011, as well as started using International Standard of Industrial Classification for all Economic Activates (Revision Four) instead of Revision Three.</w:t>
      </w:r>
    </w:p>
    <w:p w:rsidR="006F4A03" w:rsidRPr="006F4A03" w:rsidRDefault="006F4A03" w:rsidP="006F4A03">
      <w:pPr>
        <w:bidi w:val="0"/>
        <w:spacing w:line="360" w:lineRule="auto"/>
        <w:jc w:val="both"/>
        <w:rPr>
          <w:color w:val="000000"/>
          <w:sz w:val="22"/>
          <w:szCs w:val="22"/>
        </w:rPr>
      </w:pPr>
    </w:p>
    <w:p w:rsidR="006F4A03" w:rsidRPr="006F4A03" w:rsidRDefault="006F4A03" w:rsidP="006F4A03">
      <w:pPr>
        <w:pStyle w:val="ListParagraph"/>
        <w:numPr>
          <w:ilvl w:val="0"/>
          <w:numId w:val="1"/>
        </w:numPr>
        <w:bidi w:val="0"/>
        <w:spacing w:line="360" w:lineRule="auto"/>
        <w:ind w:left="714" w:hanging="357"/>
        <w:jc w:val="both"/>
        <w:rPr>
          <w:color w:val="000000"/>
          <w:sz w:val="22"/>
          <w:szCs w:val="22"/>
        </w:rPr>
      </w:pPr>
      <w:r w:rsidRPr="006F4A03">
        <w:rPr>
          <w:color w:val="000000"/>
          <w:sz w:val="22"/>
          <w:szCs w:val="22"/>
        </w:rPr>
        <w:t>Relative share for the main industrial activities represents the percentage distribution of value added (VA) for the industrial activities in 2013.</w:t>
      </w:r>
    </w:p>
    <w:p w:rsidR="006F4A03" w:rsidRPr="006F4A03" w:rsidRDefault="006F4A03" w:rsidP="006F4A03">
      <w:pPr>
        <w:bidi w:val="0"/>
        <w:jc w:val="both"/>
        <w:rPr>
          <w:sz w:val="22"/>
          <w:szCs w:val="22"/>
        </w:rPr>
      </w:pPr>
    </w:p>
    <w:p w:rsidR="00D72F8B" w:rsidRPr="006F4A03" w:rsidRDefault="00D72F8B">
      <w:pPr>
        <w:rPr>
          <w:rFonts w:hint="cs"/>
          <w:sz w:val="20"/>
          <w:szCs w:val="20"/>
          <w:rtl/>
        </w:rPr>
      </w:pPr>
    </w:p>
    <w:sectPr w:rsidR="00D72F8B" w:rsidRPr="006F4A03" w:rsidSect="004F51CC">
      <w:footerReference w:type="default" r:id="rId8"/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EDD" w:rsidRDefault="00DF0EDD" w:rsidP="004F51CC">
      <w:r>
        <w:separator/>
      </w:r>
    </w:p>
  </w:endnote>
  <w:endnote w:type="continuationSeparator" w:id="0">
    <w:p w:rsidR="00DF0EDD" w:rsidRDefault="00DF0EDD" w:rsidP="004F5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0817923"/>
      <w:docPartObj>
        <w:docPartGallery w:val="Page Numbers (Bottom of Page)"/>
        <w:docPartUnique/>
      </w:docPartObj>
    </w:sdtPr>
    <w:sdtContent>
      <w:p w:rsidR="004F51CC" w:rsidRDefault="00C70842">
        <w:pPr>
          <w:pStyle w:val="Footer"/>
          <w:jc w:val="center"/>
        </w:pPr>
        <w:fldSimple w:instr=" PAGE   \* MERGEFORMAT ">
          <w:r w:rsidR="006F4A03">
            <w:rPr>
              <w:noProof/>
              <w:rtl/>
            </w:rPr>
            <w:t>1</w:t>
          </w:r>
        </w:fldSimple>
      </w:p>
    </w:sdtContent>
  </w:sdt>
  <w:p w:rsidR="004F51CC" w:rsidRDefault="004F51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EDD" w:rsidRDefault="00DF0EDD" w:rsidP="004F51CC">
      <w:r>
        <w:separator/>
      </w:r>
    </w:p>
  </w:footnote>
  <w:footnote w:type="continuationSeparator" w:id="0">
    <w:p w:rsidR="00DF0EDD" w:rsidRDefault="00DF0EDD" w:rsidP="004F5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1CC"/>
    <w:rsid w:val="004F51CC"/>
    <w:rsid w:val="005E7849"/>
    <w:rsid w:val="006F4A03"/>
    <w:rsid w:val="009675F1"/>
    <w:rsid w:val="00C70842"/>
    <w:rsid w:val="00D72F8B"/>
    <w:rsid w:val="00DF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1C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F51CC"/>
    <w:pPr>
      <w:keepNext/>
      <w:jc w:val="lowKashida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51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4F51CC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4F51CC"/>
    <w:rPr>
      <w:rFonts w:ascii="Times New Roman" w:eastAsia="Times New Roman" w:hAnsi="Times New Roman" w:cs="Traditional Arabic"/>
      <w:snapToGrid w:val="0"/>
      <w:sz w:val="20"/>
      <w:szCs w:val="20"/>
    </w:rPr>
  </w:style>
  <w:style w:type="character" w:styleId="Hyperlink">
    <w:name w:val="Hyperlink"/>
    <w:basedOn w:val="DefaultParagraphFont"/>
    <w:semiHidden/>
    <w:unhideWhenUsed/>
    <w:rsid w:val="004F51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51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1CC"/>
    <w:rPr>
      <w:rFonts w:ascii="Tahoma" w:eastAsia="Times New Roman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F51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1C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4092720449712975"/>
          <c:y val="5.6031947533168106E-2"/>
          <c:w val="0.83200870161500085"/>
          <c:h val="0.65717025856198075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4.2955053966554357E-2"/>
                  <c:y val="-5.146934442842533E-2"/>
                </c:manualLayout>
              </c:layout>
              <c:showVal val="1"/>
            </c:dLbl>
            <c:dLbl>
              <c:idx val="12"/>
              <c:layout>
                <c:manualLayout>
                  <c:x val="-5.3873958506950594E-6"/>
                  <c:y val="-5.2014839323431247E-2"/>
                </c:manualLayout>
              </c:layout>
              <c:showVal val="1"/>
            </c:dLbl>
            <c:delete val="1"/>
          </c:dLbls>
          <c:cat>
            <c:strRef>
              <c:f>Sheet1!$A$2:$M$2</c:f>
              <c:strCache>
                <c:ptCount val="13"/>
                <c:pt idx="0">
                  <c:v>Feb. 2015</c:v>
                </c:pt>
                <c:pt idx="1">
                  <c:v>Mar. 2015</c:v>
                </c:pt>
                <c:pt idx="2">
                  <c:v>Apr. 2015</c:v>
                </c:pt>
                <c:pt idx="3">
                  <c:v>May. 2015</c:v>
                </c:pt>
                <c:pt idx="4">
                  <c:v>Jun. 2015</c:v>
                </c:pt>
                <c:pt idx="5">
                  <c:v>Jul. 2015</c:v>
                </c:pt>
                <c:pt idx="6">
                  <c:v>Aug. 2015</c:v>
                </c:pt>
                <c:pt idx="7">
                  <c:v>Sep. 2015</c:v>
                </c:pt>
                <c:pt idx="8">
                  <c:v>Oct. 2015</c:v>
                </c:pt>
                <c:pt idx="9">
                  <c:v>Nov. 2015</c:v>
                </c:pt>
                <c:pt idx="10">
                  <c:v>Dec. 2015</c:v>
                </c:pt>
                <c:pt idx="11">
                  <c:v>Jan. 2016</c:v>
                </c:pt>
                <c:pt idx="12">
                  <c:v>Feb. 2016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112.45403522353395</c:v>
                </c:pt>
                <c:pt idx="1">
                  <c:v>91.794077801432152</c:v>
                </c:pt>
                <c:pt idx="2">
                  <c:v>96.593768143990658</c:v>
                </c:pt>
                <c:pt idx="3">
                  <c:v>104.82872072769483</c:v>
                </c:pt>
                <c:pt idx="4">
                  <c:v>111.42829494871307</c:v>
                </c:pt>
                <c:pt idx="5">
                  <c:v>101.10315463518481</c:v>
                </c:pt>
                <c:pt idx="6">
                  <c:v>111.1089607122121</c:v>
                </c:pt>
                <c:pt idx="7">
                  <c:v>98.674279078769089</c:v>
                </c:pt>
                <c:pt idx="8">
                  <c:v>102.2546932455972</c:v>
                </c:pt>
                <c:pt idx="9">
                  <c:v>106.09638087865289</c:v>
                </c:pt>
                <c:pt idx="10">
                  <c:v>100</c:v>
                </c:pt>
                <c:pt idx="11">
                  <c:v>96.809990640034954</c:v>
                </c:pt>
                <c:pt idx="12">
                  <c:v>103.2</c:v>
                </c:pt>
              </c:numCache>
            </c:numRef>
          </c:val>
        </c:ser>
        <c:marker val="1"/>
        <c:axId val="137329664"/>
        <c:axId val="164811904"/>
      </c:lineChart>
      <c:catAx>
        <c:axId val="137329664"/>
        <c:scaling>
          <c:orientation val="minMax"/>
        </c:scaling>
        <c:axPos val="b"/>
        <c:numFmt formatCode="General" sourceLinked="1"/>
        <c:tickLblPos val="nextTo"/>
        <c:crossAx val="164811904"/>
        <c:crossesAt val="90"/>
        <c:auto val="1"/>
        <c:lblAlgn val="ctr"/>
        <c:lblOffset val="100"/>
      </c:catAx>
      <c:valAx>
        <c:axId val="164811904"/>
        <c:scaling>
          <c:orientation val="minMax"/>
          <c:max val="120"/>
          <c:min val="90"/>
        </c:scaling>
        <c:axPos val="l"/>
        <c:numFmt formatCode="0" sourceLinked="0"/>
        <c:tickLblPos val="nextTo"/>
        <c:crossAx val="137329664"/>
        <c:crosses val="autoZero"/>
        <c:crossBetween val="between"/>
        <c:majorUnit val="5"/>
        <c:minorUnit val="1"/>
      </c:valAx>
    </c:plotArea>
    <c:plotVisOnly val="1"/>
    <c:dispBlanksAs val="gap"/>
  </c:chart>
  <c:spPr>
    <a:ln cmpd="sng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2</cp:revision>
  <dcterms:created xsi:type="dcterms:W3CDTF">2016-03-02T07:51:00Z</dcterms:created>
  <dcterms:modified xsi:type="dcterms:W3CDTF">2016-04-03T08:42:00Z</dcterms:modified>
</cp:coreProperties>
</file>