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B9" w:rsidRDefault="00486105" w:rsidP="003A1748">
      <w:pPr>
        <w:bidi/>
        <w:rPr>
          <w:b w:val="0"/>
          <w:bCs/>
          <w:i w:val="0"/>
          <w:iCs/>
          <w:rtl/>
        </w:rPr>
      </w:pPr>
      <w:r>
        <w:rPr>
          <w:b w:val="0"/>
          <w:bCs/>
          <w:i w:val="0"/>
          <w:i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5057775</wp:posOffset>
            </wp:positionH>
            <wp:positionV relativeFrom="margin">
              <wp:posOffset>-209550</wp:posOffset>
            </wp:positionV>
            <wp:extent cx="1428750" cy="1038225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/>
          <w:i w:val="0"/>
          <w:iCs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7572375" cy="1533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BS + Ministries Headed Paper 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86D">
        <w:rPr>
          <w:rFonts w:hint="cs"/>
          <w:b w:val="0"/>
          <w:bCs/>
          <w:i w:val="0"/>
          <w:iCs/>
          <w:rtl/>
        </w:rPr>
        <w:t xml:space="preserve">                          </w:t>
      </w:r>
    </w:p>
    <w:p w:rsidR="0031286D" w:rsidRDefault="00C81FA4" w:rsidP="003A1748">
      <w:pPr>
        <w:bidi/>
        <w:rPr>
          <w:rFonts w:asciiTheme="majorBidi" w:hAnsiTheme="majorBidi" w:cstheme="majorBidi" w:hint="cs"/>
          <w:b w:val="0"/>
          <w:bCs/>
          <w:i w:val="0"/>
          <w:iCs/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rtl/>
        </w:rPr>
        <w:t xml:space="preserve">       </w:t>
      </w:r>
    </w:p>
    <w:p w:rsidR="003A1748" w:rsidRDefault="003A1748" w:rsidP="003A1748">
      <w:pPr>
        <w:bidi/>
        <w:rPr>
          <w:rFonts w:asciiTheme="majorBidi" w:hAnsiTheme="majorBidi" w:cstheme="majorBidi"/>
          <w:b w:val="0"/>
          <w:bCs/>
          <w:i w:val="0"/>
          <w:iCs/>
          <w:sz w:val="22"/>
          <w:szCs w:val="22"/>
          <w:rtl/>
        </w:rPr>
      </w:pPr>
    </w:p>
    <w:p w:rsidR="003A1748" w:rsidRDefault="003A1748" w:rsidP="003A1748">
      <w:pPr>
        <w:bidi/>
        <w:rPr>
          <w:rFonts w:asciiTheme="majorBidi" w:hAnsiTheme="majorBidi" w:cstheme="majorBidi"/>
          <w:b w:val="0"/>
          <w:bCs/>
          <w:i w:val="0"/>
          <w:iCs/>
          <w:sz w:val="22"/>
          <w:szCs w:val="22"/>
          <w:rtl/>
        </w:rPr>
      </w:pPr>
    </w:p>
    <w:p w:rsidR="003A1748" w:rsidRDefault="003A1748" w:rsidP="00486105">
      <w:pPr>
        <w:bidi/>
        <w:jc w:val="right"/>
        <w:rPr>
          <w:rFonts w:asciiTheme="majorBidi" w:hAnsiTheme="majorBidi" w:cstheme="majorBidi"/>
          <w:b w:val="0"/>
          <w:bCs/>
          <w:i w:val="0"/>
          <w:iCs/>
          <w:sz w:val="22"/>
          <w:szCs w:val="22"/>
          <w:rtl/>
        </w:rPr>
      </w:pPr>
    </w:p>
    <w:p w:rsidR="003A1748" w:rsidRPr="00FD50F5" w:rsidRDefault="003A1748" w:rsidP="003A1748">
      <w:pPr>
        <w:bidi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</w:p>
    <w:p w:rsidR="001F4820" w:rsidRPr="00D9038B" w:rsidRDefault="001F4820" w:rsidP="00440AB9">
      <w:pPr>
        <w:bidi/>
        <w:spacing w:line="480" w:lineRule="exact"/>
        <w:jc w:val="center"/>
        <w:rPr>
          <w:rFonts w:cs="Simplified Arabic"/>
          <w:sz w:val="28"/>
          <w:szCs w:val="28"/>
        </w:rPr>
      </w:pPr>
    </w:p>
    <w:p w:rsidR="00486105" w:rsidRDefault="004D13BB" w:rsidP="004D13B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4D13BB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Central Bureau of Statistics (PCBS) and </w:t>
      </w:r>
    </w:p>
    <w:p w:rsidR="00DB5004" w:rsidRDefault="004D13BB" w:rsidP="004D13B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4D13BB">
        <w:rPr>
          <w:rFonts w:asciiTheme="majorBidi" w:hAnsiTheme="majorBidi" w:cstheme="majorBidi"/>
          <w:i w:val="0"/>
          <w:iCs/>
          <w:sz w:val="28"/>
          <w:szCs w:val="28"/>
        </w:rPr>
        <w:t xml:space="preserve">the Palestine Monetary Authority (PMA) </w:t>
      </w:r>
    </w:p>
    <w:p w:rsidR="004D13BB" w:rsidRDefault="004D13BB" w:rsidP="004D13B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DB5004" w:rsidRPr="000E58D6" w:rsidRDefault="00DB5004" w:rsidP="0048610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0E58D6">
        <w:rPr>
          <w:rFonts w:asciiTheme="majorBidi" w:hAnsiTheme="majorBidi" w:cstheme="majorBidi"/>
          <w:i w:val="0"/>
          <w:iCs/>
          <w:sz w:val="28"/>
          <w:szCs w:val="28"/>
        </w:rPr>
        <w:t>Results Announcement</w:t>
      </w:r>
    </w:p>
    <w:p w:rsidR="00DB5004" w:rsidRPr="000E58D6" w:rsidRDefault="00DB5004" w:rsidP="00486105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0E58D6">
        <w:rPr>
          <w:rFonts w:asciiTheme="majorBidi" w:hAnsiTheme="majorBidi" w:cstheme="majorBidi"/>
          <w:i w:val="0"/>
          <w:iCs/>
          <w:sz w:val="28"/>
          <w:szCs w:val="28"/>
        </w:rPr>
        <w:t>International Investment Position &amp; External Debt</w:t>
      </w:r>
      <w:r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 xml:space="preserve"> </w:t>
      </w:r>
      <w:r>
        <w:rPr>
          <w:rFonts w:cs="Simplified Arabic"/>
          <w:b w:val="0"/>
          <w:bCs/>
          <w:sz w:val="28"/>
          <w:szCs w:val="28"/>
          <w:rtl/>
        </w:rPr>
        <w:t>–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A7421B">
        <w:rPr>
          <w:rFonts w:asciiTheme="majorBidi" w:hAnsiTheme="majorBidi" w:cstheme="majorBidi"/>
          <w:i w:val="0"/>
          <w:iCs/>
          <w:sz w:val="28"/>
          <w:szCs w:val="28"/>
        </w:rPr>
        <w:t>Third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0E58D6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>
        <w:rPr>
          <w:rFonts w:asciiTheme="majorBidi" w:hAnsiTheme="majorBidi" w:cstheme="majorBidi"/>
          <w:i w:val="0"/>
          <w:iCs/>
          <w:sz w:val="28"/>
          <w:szCs w:val="28"/>
        </w:rPr>
        <w:t>2017</w:t>
      </w:r>
    </w:p>
    <w:p w:rsidR="00DB5004" w:rsidRPr="00E23D7F" w:rsidRDefault="00DB5004" w:rsidP="00DB5004">
      <w:pPr>
        <w:pStyle w:val="BodyText3"/>
        <w:ind w:right="70"/>
        <w:rPr>
          <w:rFonts w:asciiTheme="majorBidi" w:hAnsiTheme="majorBidi" w:cstheme="majorBidi"/>
          <w:i w:val="0"/>
          <w:iCs/>
          <w:sz w:val="24"/>
          <w:szCs w:val="24"/>
        </w:rPr>
      </w:pPr>
    </w:p>
    <w:p w:rsidR="00DB5004" w:rsidRPr="00E23D7F" w:rsidRDefault="00DB5004" w:rsidP="00A7421B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 </w:t>
      </w:r>
      <w:r w:rsidR="00A7421B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third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486105" w:rsidRDefault="00DB5004" w:rsidP="00DB5004">
      <w:pPr>
        <w:pStyle w:val="BodyText3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E04202" w:rsidRDefault="00DB5004" w:rsidP="001C161B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 w:rsidR="00A742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third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2017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about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1,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195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 The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esident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cash deposits in foreign banks and foreign exchange in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Palestinian economy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accounted for the bulk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external assets,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constituting 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62.5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0420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of the total value of external assets.</w:t>
      </w:r>
    </w:p>
    <w:p w:rsidR="00DB5004" w:rsidRPr="00486105" w:rsidRDefault="00DB5004" w:rsidP="00DB5004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34603E" w:rsidRDefault="00DB5004" w:rsidP="006054EE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External Assets for Palestine amounted to USD 6,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350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contributed to 6.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Portfolio Investments abroad reached 1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7.</w:t>
      </w:r>
      <w:r w:rsidR="002D40C1">
        <w:rPr>
          <w:rFonts w:asciiTheme="majorBidi" w:hAnsiTheme="majorBidi" w:cstheme="majorBidi" w:hint="cs"/>
          <w:sz w:val="24"/>
          <w:szCs w:val="24"/>
          <w:rtl/>
        </w:rPr>
        <w:t>8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Other Foreign Investments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currency and deposits) reached </w:t>
      </w:r>
      <w:r w:rsidR="002D40C1" w:rsidRPr="002D40C1">
        <w:rPr>
          <w:rFonts w:asciiTheme="majorBidi" w:hAnsiTheme="majorBidi" w:cstheme="majorBidi" w:hint="cs"/>
          <w:sz w:val="24"/>
          <w:szCs w:val="24"/>
          <w:rtl/>
        </w:rPr>
        <w:t>69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and Reserve Assets amounted to 7%.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 </w:t>
      </w:r>
      <w:proofErr w:type="spellStart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</w:t>
      </w:r>
      <w:proofErr w:type="spellEnd"/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lev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el, the external investments of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banks sector represented a large share of the external assets, standing at 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72.9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assets.</w:t>
      </w:r>
    </w:p>
    <w:p w:rsidR="00DB5004" w:rsidRPr="00486105" w:rsidRDefault="00DB5004" w:rsidP="00DB5004">
      <w:pPr>
        <w:pStyle w:val="BodyText3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E23D7F" w:rsidRDefault="00DB5004" w:rsidP="001C161B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total stocks of Foreign Liabilities in Palestine (Stocks of non-residents invested in Palestine) amounted to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55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 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51.1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13.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35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%.  According to sectoral level, the foreign investments in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="001C161B" w:rsidRPr="002D40C1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37.9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486105" w:rsidRDefault="00DB5004" w:rsidP="00DB5004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F12038" w:rsidRDefault="00DB5004" w:rsidP="001C161B">
      <w:pPr>
        <w:pStyle w:val="BodyText3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Gross External Debt on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different sectors of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Palestinian economy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1,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809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57.2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while debt on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reached 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38.6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Nonbank financial corporations,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 sector) amounted to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3.</w:t>
      </w:r>
      <w:r w:rsidR="001C161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</w:t>
      </w:r>
      <w:r w:rsidRPr="00F120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C393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the lending between affiliated companies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0.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DB5004" w:rsidRPr="00486105" w:rsidRDefault="00DB5004" w:rsidP="00DB5004">
      <w:pPr>
        <w:pStyle w:val="BodyText3"/>
        <w:jc w:val="both"/>
        <w:rPr>
          <w:rFonts w:asciiTheme="majorBidi" w:hAnsiTheme="majorBidi" w:cstheme="majorBidi"/>
          <w:b w:val="0"/>
          <w:bCs/>
        </w:rPr>
      </w:pPr>
    </w:p>
    <w:p w:rsidR="00DB5004" w:rsidRDefault="00DB5004" w:rsidP="00FD7ED6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486105" w:rsidRDefault="00486105" w:rsidP="00DC1F9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486105" w:rsidRDefault="00486105" w:rsidP="00DC1F9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486105" w:rsidRDefault="00486105" w:rsidP="00DC1F91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DB5004" w:rsidRDefault="00DB5004" w:rsidP="00DC1F91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B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anks/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DB5004" w:rsidRPr="00486105" w:rsidRDefault="00DB5004" w:rsidP="00DB5004">
      <w:pPr>
        <w:pStyle w:val="BodyText3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770755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deposit</w:t>
      </w:r>
      <w:r w:rsidR="00260883">
        <w:rPr>
          <w:rFonts w:asciiTheme="majorBidi" w:hAnsiTheme="majorBidi" w:cstheme="majorBidi"/>
          <w:bCs/>
          <w:iCs/>
          <w:szCs w:val="24"/>
        </w:rPr>
        <w:t>s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of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 w:rsidR="000C0673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E23D7F">
        <w:rPr>
          <w:rFonts w:asciiTheme="majorBidi" w:hAnsiTheme="majorBidi" w:cstheme="majorBidi"/>
          <w:bCs/>
          <w:iCs/>
          <w:szCs w:val="24"/>
        </w:rPr>
        <w:t>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Preparing, classifying and publishing of the data </w:t>
      </w:r>
      <w:r w:rsidR="00770755">
        <w:rPr>
          <w:rFonts w:asciiTheme="majorBidi" w:hAnsiTheme="majorBidi" w:cstheme="majorBidi"/>
          <w:bCs/>
          <w:iCs/>
          <w:szCs w:val="24"/>
        </w:rPr>
        <w:t xml:space="preserve">are </w:t>
      </w:r>
      <w:r w:rsidRPr="00E23D7F">
        <w:rPr>
          <w:rFonts w:asciiTheme="majorBidi" w:hAnsiTheme="majorBidi" w:cstheme="majorBidi"/>
          <w:bCs/>
          <w:iCs/>
          <w:szCs w:val="24"/>
        </w:rPr>
        <w:t>based on (External Debt Statistics Manual) issued by IMF in 2003, this manual is harmonized with 5</w:t>
      </w:r>
      <w:r w:rsidRPr="00E23D7F">
        <w:rPr>
          <w:rFonts w:asciiTheme="majorBidi" w:hAnsiTheme="majorBidi" w:cstheme="majorBidi"/>
          <w:bCs/>
          <w:iCs/>
          <w:szCs w:val="24"/>
          <w:vertAlign w:val="superscript"/>
        </w:rPr>
        <w:t>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and International Investment Position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 xml:space="preserve">ual  </w:t>
      </w:r>
    </w:p>
    <w:p w:rsidR="00DB5004" w:rsidRDefault="00DB5004" w:rsidP="00DB5004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:rsidR="00486105" w:rsidRDefault="00486105" w:rsidP="00486105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</w:p>
    <w:p w:rsidR="00DB5004" w:rsidRDefault="00DB5004" w:rsidP="00486105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br w:type="page"/>
      </w:r>
    </w:p>
    <w:p w:rsidR="00486105" w:rsidRDefault="00486105" w:rsidP="006D61E4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</w:p>
    <w:p w:rsidR="00486105" w:rsidRDefault="00486105" w:rsidP="006D61E4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</w:p>
    <w:p w:rsidR="00DB5004" w:rsidRPr="00486105" w:rsidRDefault="00DB5004" w:rsidP="006D61E4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  <w:r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Table 1: International Investment Position (IIP) </w:t>
      </w:r>
      <w:r w:rsidR="006D61E4"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Stock </w:t>
      </w:r>
      <w:r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by Economic Sectors </w:t>
      </w:r>
      <w:r w:rsidR="006D61E4"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for </w:t>
      </w:r>
      <w:r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Palestine, at the </w:t>
      </w:r>
      <w:r w:rsidR="006D61E4"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End </w:t>
      </w:r>
      <w:r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of the </w:t>
      </w:r>
      <w:r w:rsidR="00A7421B" w:rsidRPr="00486105">
        <w:rPr>
          <w:rFonts w:asciiTheme="majorBidi" w:hAnsiTheme="majorBidi" w:cstheme="majorBidi"/>
          <w:i w:val="0"/>
          <w:iCs/>
          <w:sz w:val="25"/>
          <w:szCs w:val="25"/>
        </w:rPr>
        <w:t>Third</w:t>
      </w:r>
      <w:r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 Quarter 2017</w:t>
      </w:r>
    </w:p>
    <w:p w:rsidR="00486105" w:rsidRDefault="00486105" w:rsidP="00486105">
      <w:pPr>
        <w:ind w:right="3631"/>
        <w:contextualSpacing/>
        <w:rPr>
          <w:rFonts w:ascii="Arial" w:hAnsi="Arial"/>
          <w:b w:val="0"/>
          <w:bCs/>
          <w:i w:val="0"/>
          <w:iCs/>
          <w:sz w:val="18"/>
          <w:szCs w:val="18"/>
        </w:rPr>
      </w:pPr>
    </w:p>
    <w:p w:rsidR="00486105" w:rsidRDefault="00486105" w:rsidP="00486105">
      <w:pPr>
        <w:ind w:right="3631"/>
        <w:contextualSpacing/>
        <w:rPr>
          <w:rFonts w:ascii="Arial" w:hAnsi="Arial"/>
          <w:b w:val="0"/>
          <w:bCs/>
          <w:i w:val="0"/>
          <w:iCs/>
          <w:sz w:val="18"/>
          <w:szCs w:val="18"/>
        </w:rPr>
      </w:pPr>
    </w:p>
    <w:p w:rsidR="00DB5004" w:rsidRDefault="00486105" w:rsidP="00486105">
      <w:pPr>
        <w:ind w:right="3631"/>
        <w:contextualSpacing/>
        <w:rPr>
          <w:rFonts w:asciiTheme="majorBidi" w:hAnsiTheme="majorBidi" w:cstheme="majorBidi"/>
          <w:i w:val="0"/>
          <w:iCs/>
          <w:sz w:val="20"/>
          <w:szCs w:val="20"/>
        </w:rPr>
      </w:pPr>
      <w:r w:rsidRPr="00486105">
        <w:rPr>
          <w:rFonts w:asciiTheme="majorBidi" w:hAnsiTheme="majorBidi" w:cstheme="majorBidi"/>
          <w:i w:val="0"/>
          <w:iCs/>
          <w:sz w:val="20"/>
          <w:szCs w:val="20"/>
        </w:rPr>
        <w:t>Value in million USD</w:t>
      </w:r>
    </w:p>
    <w:p w:rsidR="00486105" w:rsidRPr="00486105" w:rsidRDefault="00486105" w:rsidP="00486105">
      <w:pPr>
        <w:ind w:right="3631"/>
        <w:contextualSpacing/>
        <w:rPr>
          <w:rFonts w:asciiTheme="majorBidi" w:hAnsiTheme="majorBidi" w:cstheme="majorBidi"/>
          <w:i w:val="0"/>
          <w:iCs/>
          <w:sz w:val="20"/>
          <w:szCs w:val="20"/>
        </w:rPr>
      </w:pPr>
    </w:p>
    <w:tbl>
      <w:tblPr>
        <w:bidiVisual/>
        <w:tblW w:w="1082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1080"/>
        <w:gridCol w:w="1532"/>
        <w:gridCol w:w="1171"/>
        <w:gridCol w:w="1262"/>
        <w:gridCol w:w="1175"/>
        <w:gridCol w:w="3521"/>
      </w:tblGrid>
      <w:tr w:rsidR="00DB5004" w:rsidRPr="007B3C7C" w:rsidTr="002D40C1">
        <w:trPr>
          <w:trHeight w:val="284"/>
          <w:jc w:val="center"/>
        </w:trPr>
        <w:tc>
          <w:tcPr>
            <w:tcW w:w="499" w:type="pct"/>
            <w:vMerge w:val="restart"/>
            <w:vAlign w:val="center"/>
          </w:tcPr>
          <w:p w:rsidR="00DB5004" w:rsidRPr="0091214D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91214D">
              <w:rPr>
                <w:rFonts w:ascii="Arial" w:hAnsi="Arial"/>
                <w:i w:val="0"/>
                <w:iCs/>
                <w:sz w:val="17"/>
                <w:szCs w:val="17"/>
              </w:rPr>
              <w:t>TOTAL</w:t>
            </w:r>
          </w:p>
        </w:tc>
        <w:tc>
          <w:tcPr>
            <w:tcW w:w="1207" w:type="pct"/>
            <w:gridSpan w:val="2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Other Sectors</w:t>
            </w:r>
          </w:p>
        </w:tc>
        <w:tc>
          <w:tcPr>
            <w:tcW w:w="541" w:type="pct"/>
            <w:vMerge w:val="restart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Banks Sector</w:t>
            </w:r>
          </w:p>
        </w:tc>
        <w:tc>
          <w:tcPr>
            <w:tcW w:w="583" w:type="pct"/>
            <w:vMerge w:val="restart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Government Sector</w:t>
            </w:r>
          </w:p>
        </w:tc>
        <w:tc>
          <w:tcPr>
            <w:tcW w:w="543" w:type="pct"/>
            <w:vMerge w:val="restart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Monetary Authorities (PMA)</w:t>
            </w:r>
          </w:p>
        </w:tc>
        <w:tc>
          <w:tcPr>
            <w:tcW w:w="1627" w:type="pct"/>
            <w:vMerge w:val="restart"/>
          </w:tcPr>
          <w:p w:rsidR="00DB5004" w:rsidRPr="003F4147" w:rsidRDefault="00FE78BF" w:rsidP="002D40C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i w:val="0"/>
                <w:iCs/>
                <w:sz w:val="17"/>
                <w:szCs w:val="17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.4pt;margin-top:2.05pt;width:166.9pt;height:86.25pt;z-index:251663360;mso-position-horizontal-relative:text;mso-position-vertical-relative:text" o:connectortype="straight">
                  <w10:wrap anchorx="page"/>
                </v:shape>
              </w:pict>
            </w:r>
            <w:r w:rsidR="00DB5004"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      </w:t>
            </w:r>
            <w:r w:rsidR="00DB5004">
              <w:rPr>
                <w:rFonts w:ascii="Arial" w:hAnsi="Arial"/>
                <w:i w:val="0"/>
                <w:iCs/>
                <w:sz w:val="17"/>
                <w:szCs w:val="17"/>
              </w:rPr>
              <w:t xml:space="preserve">      </w:t>
            </w:r>
            <w:r w:rsidR="00DB5004" w:rsidRPr="003F4147">
              <w:rPr>
                <w:rFonts w:ascii="Arial" w:hAnsi="Arial"/>
                <w:i w:val="0"/>
                <w:iCs/>
                <w:sz w:val="17"/>
                <w:szCs w:val="17"/>
              </w:rPr>
              <w:t>Economic Sector</w:t>
            </w:r>
            <w:r w:rsidR="00DB5004" w:rsidRPr="003F4147">
              <w:rPr>
                <w:rFonts w:ascii="Arial" w:hAnsi="Arial" w:hint="cs"/>
                <w:i w:val="0"/>
                <w:iCs/>
                <w:sz w:val="17"/>
                <w:szCs w:val="17"/>
                <w:rtl/>
              </w:rPr>
              <w:t xml:space="preserve">   </w:t>
            </w:r>
          </w:p>
          <w:p w:rsidR="00DB5004" w:rsidRPr="003F4147" w:rsidRDefault="00DB5004" w:rsidP="002D40C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DB5004" w:rsidRPr="003F4147" w:rsidRDefault="00DB5004" w:rsidP="002D40C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DB5004" w:rsidRPr="003F4147" w:rsidRDefault="00DB5004" w:rsidP="002D40C1">
            <w:pPr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</w:p>
          <w:p w:rsidR="00DB5004" w:rsidRPr="003F4147" w:rsidRDefault="00DB5004" w:rsidP="002D40C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0"/>
                <w:szCs w:val="10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       </w:t>
            </w:r>
            <w:r w:rsidRPr="003F4147">
              <w:rPr>
                <w:rFonts w:ascii="Arial" w:hAnsi="Arial"/>
                <w:i w:val="0"/>
                <w:iCs/>
                <w:sz w:val="10"/>
                <w:szCs w:val="10"/>
              </w:rPr>
              <w:t xml:space="preserve">        </w:t>
            </w:r>
          </w:p>
          <w:p w:rsidR="00DB5004" w:rsidRPr="003F4147" w:rsidRDefault="00DB5004" w:rsidP="002D40C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7"/>
                <w:szCs w:val="17"/>
              </w:rPr>
            </w:pPr>
          </w:p>
          <w:p w:rsidR="00DB5004" w:rsidRPr="003F4147" w:rsidRDefault="00DB5004" w:rsidP="002D40C1">
            <w:pPr>
              <w:tabs>
                <w:tab w:val="left" w:pos="3067"/>
              </w:tabs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Investments Stocks by</w:t>
            </w:r>
            <w:r>
              <w:rPr>
                <w:rFonts w:ascii="Arial" w:hAnsi="Arial"/>
                <w:i w:val="0"/>
                <w:iCs/>
                <w:sz w:val="17"/>
                <w:szCs w:val="17"/>
              </w:rPr>
              <w:t xml:space="preserve"> </w:t>
            </w:r>
          </w:p>
          <w:p w:rsidR="00DB5004" w:rsidRPr="003F4147" w:rsidRDefault="00DB5004" w:rsidP="002D40C1">
            <w:pPr>
              <w:tabs>
                <w:tab w:val="left" w:pos="3067"/>
              </w:tabs>
              <w:rPr>
                <w:rFonts w:cs="Simplified Arabic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Type of Investment</w:t>
            </w:r>
          </w:p>
        </w:tc>
      </w:tr>
      <w:tr w:rsidR="00DB5004" w:rsidRPr="007B3C7C" w:rsidTr="002D40C1">
        <w:trPr>
          <w:trHeight w:val="1492"/>
          <w:jc w:val="center"/>
        </w:trPr>
        <w:tc>
          <w:tcPr>
            <w:tcW w:w="499" w:type="pct"/>
            <w:vMerge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cs="Simplified Arabic"/>
                <w:i w:val="0"/>
                <w:iCs/>
                <w:sz w:val="17"/>
                <w:szCs w:val="17"/>
                <w:rtl/>
              </w:rPr>
            </w:pPr>
          </w:p>
        </w:tc>
        <w:tc>
          <w:tcPr>
            <w:tcW w:w="499" w:type="pct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House- Holds Sector</w:t>
            </w:r>
          </w:p>
        </w:tc>
        <w:tc>
          <w:tcPr>
            <w:tcW w:w="708" w:type="pct"/>
            <w:vAlign w:val="center"/>
          </w:tcPr>
          <w:p w:rsidR="00DB5004" w:rsidRPr="003F4147" w:rsidRDefault="00DB5004" w:rsidP="002D40C1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7"/>
                <w:szCs w:val="17"/>
              </w:rPr>
            </w:pPr>
            <w:r>
              <w:rPr>
                <w:rFonts w:ascii="Arial" w:hAnsi="Arial"/>
                <w:i w:val="0"/>
                <w:iCs/>
                <w:sz w:val="17"/>
                <w:szCs w:val="17"/>
              </w:rPr>
              <w:t xml:space="preserve">Nonbank Financial Corporations, Non-Financial Corporations, </w:t>
            </w: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and NGOs Sector</w:t>
            </w:r>
          </w:p>
        </w:tc>
        <w:tc>
          <w:tcPr>
            <w:tcW w:w="541" w:type="pct"/>
            <w:vMerge/>
          </w:tcPr>
          <w:p w:rsidR="00DB5004" w:rsidRPr="007B3C7C" w:rsidRDefault="00DB5004" w:rsidP="002D40C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583" w:type="pct"/>
            <w:vMerge/>
          </w:tcPr>
          <w:p w:rsidR="00DB5004" w:rsidRPr="007B3C7C" w:rsidRDefault="00DB5004" w:rsidP="002D40C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543" w:type="pct"/>
            <w:vMerge/>
            <w:vAlign w:val="center"/>
          </w:tcPr>
          <w:p w:rsidR="00DB5004" w:rsidRPr="007B3C7C" w:rsidRDefault="00DB5004" w:rsidP="002D40C1">
            <w:pPr>
              <w:spacing w:line="0" w:lineRule="atLeast"/>
              <w:jc w:val="center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  <w:tc>
          <w:tcPr>
            <w:tcW w:w="1627" w:type="pct"/>
            <w:vMerge/>
          </w:tcPr>
          <w:p w:rsidR="00DB5004" w:rsidRPr="007B3C7C" w:rsidRDefault="00DB5004" w:rsidP="002D40C1">
            <w:pPr>
              <w:spacing w:line="0" w:lineRule="atLeast"/>
              <w:rPr>
                <w:rFonts w:cs="Simplified Arabic"/>
                <w:b w:val="0"/>
                <w:bCs/>
                <w:sz w:val="17"/>
                <w:szCs w:val="17"/>
                <w:rtl/>
              </w:rPr>
            </w:pP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1,195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-908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-523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2,676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-863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27" w:type="pct"/>
            <w:vAlign w:val="center"/>
          </w:tcPr>
          <w:p w:rsidR="00C0362A" w:rsidRPr="003F4147" w:rsidRDefault="00C0362A" w:rsidP="002D40C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>International Investment Position (net)*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670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4,630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27" w:type="pct"/>
            <w:vAlign w:val="center"/>
          </w:tcPr>
          <w:p w:rsidR="00C0362A" w:rsidRPr="003F4147" w:rsidRDefault="00C0362A" w:rsidP="002D40C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Total External Assets 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pct"/>
            <w:vAlign w:val="center"/>
          </w:tcPr>
          <w:p w:rsidR="00C0362A" w:rsidRPr="004A7C2C" w:rsidRDefault="00C0362A" w:rsidP="002D40C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Direct Investment Abroad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874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7" w:type="pct"/>
            <w:vAlign w:val="center"/>
          </w:tcPr>
          <w:p w:rsidR="00C0362A" w:rsidRPr="004A7C2C" w:rsidRDefault="00C0362A" w:rsidP="002D40C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Portfolio Investments Abroad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627" w:type="pct"/>
            <w:vAlign w:val="center"/>
          </w:tcPr>
          <w:p w:rsidR="00C0362A" w:rsidRPr="004A7C2C" w:rsidRDefault="00C0362A" w:rsidP="002D40C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4A7C2C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Other Investments Abroad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969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678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627" w:type="pct"/>
            <w:vAlign w:val="center"/>
          </w:tcPr>
          <w:p w:rsidR="00C0362A" w:rsidRPr="004A7C2C" w:rsidRDefault="00C0362A" w:rsidP="002D40C1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  <w:rtl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 Of which: currency and deposits**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447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447</w:t>
            </w:r>
          </w:p>
        </w:tc>
        <w:tc>
          <w:tcPr>
            <w:tcW w:w="1627" w:type="pct"/>
            <w:vAlign w:val="center"/>
          </w:tcPr>
          <w:p w:rsidR="00C0362A" w:rsidRPr="003F4147" w:rsidRDefault="00C0362A" w:rsidP="002D40C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Reserve Assets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973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954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035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1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pct"/>
            <w:vAlign w:val="center"/>
          </w:tcPr>
          <w:p w:rsidR="00C0362A" w:rsidRPr="003F4147" w:rsidRDefault="00C0362A" w:rsidP="002D40C1">
            <w:pPr>
              <w:spacing w:line="0" w:lineRule="atLeast"/>
              <w:rPr>
                <w:rFonts w:ascii="Arial" w:hAnsi="Arial"/>
                <w:i w:val="0"/>
                <w:iCs/>
                <w:sz w:val="17"/>
                <w:szCs w:val="17"/>
                <w:rtl/>
              </w:rPr>
            </w:pPr>
            <w:r w:rsidRPr="003F4147">
              <w:rPr>
                <w:rFonts w:ascii="Arial" w:hAnsi="Arial"/>
                <w:i w:val="0"/>
                <w:iCs/>
                <w:sz w:val="17"/>
                <w:szCs w:val="17"/>
              </w:rPr>
              <w:t xml:space="preserve">Total Foreign Liabilities 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632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973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741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918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pct"/>
            <w:vAlign w:val="center"/>
          </w:tcPr>
          <w:p w:rsidR="00C0362A" w:rsidRPr="003F4147" w:rsidRDefault="00C0362A" w:rsidP="002D40C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Direct Investment in Palestine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382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pct"/>
            <w:vAlign w:val="center"/>
          </w:tcPr>
          <w:p w:rsidR="00C0362A" w:rsidRPr="003F4147" w:rsidRDefault="00C0362A" w:rsidP="002D40C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Portfolio Investments in Palestine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699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035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pct"/>
            <w:vAlign w:val="center"/>
          </w:tcPr>
          <w:p w:rsidR="00C0362A" w:rsidRPr="003F4147" w:rsidRDefault="00C0362A" w:rsidP="002D40C1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</w:pPr>
            <w:r w:rsidRPr="003F4147">
              <w:rPr>
                <w:rFonts w:ascii="Arial" w:hAnsi="Arial"/>
                <w:b w:val="0"/>
                <w:bCs/>
                <w:i w:val="0"/>
                <w:iCs/>
                <w:sz w:val="17"/>
                <w:szCs w:val="17"/>
              </w:rPr>
              <w:t>Foreign Other Investments in Palestine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9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41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,</w:t>
            </w: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035</w:t>
            </w:r>
          </w:p>
        </w:tc>
        <w:tc>
          <w:tcPr>
            <w:tcW w:w="543" w:type="pct"/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pct"/>
            <w:vAlign w:val="center"/>
          </w:tcPr>
          <w:p w:rsidR="00C0362A" w:rsidRPr="004A7C2C" w:rsidRDefault="00C0362A" w:rsidP="00B6004F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 Of which: </w:t>
            </w:r>
            <w:r w:rsidR="00B6004F">
              <w:rPr>
                <w:rFonts w:ascii="Arial" w:hAnsi="Arial"/>
                <w:b w:val="0"/>
                <w:bCs/>
                <w:sz w:val="17"/>
                <w:szCs w:val="17"/>
              </w:rPr>
              <w:t>l</w:t>
            </w:r>
            <w:r w:rsidR="00B6004F"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oans </w:t>
            </w: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>from abroad</w:t>
            </w:r>
          </w:p>
        </w:tc>
      </w:tr>
      <w:tr w:rsidR="00C0362A" w:rsidRPr="007B3C7C" w:rsidTr="002D40C1">
        <w:trPr>
          <w:trHeight w:val="284"/>
          <w:jc w:val="center"/>
        </w:trPr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699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699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bottom"/>
          </w:tcPr>
          <w:p w:rsidR="00C0362A" w:rsidRPr="000856AA" w:rsidRDefault="00C0362A" w:rsidP="002D40C1">
            <w:pPr>
              <w:bidi/>
              <w:ind w:firstLineChars="100" w:firstLine="180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0856AA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C0362A" w:rsidRPr="004A7C2C" w:rsidRDefault="00C0362A" w:rsidP="002D40C1">
            <w:pPr>
              <w:spacing w:line="0" w:lineRule="atLeast"/>
              <w:rPr>
                <w:rFonts w:ascii="Arial" w:hAnsi="Arial"/>
                <w:b w:val="0"/>
                <w:bCs/>
                <w:sz w:val="17"/>
                <w:szCs w:val="17"/>
                <w:rtl/>
              </w:rPr>
            </w:pPr>
            <w:r w:rsidRPr="004A7C2C">
              <w:rPr>
                <w:rFonts w:ascii="Arial" w:hAnsi="Arial"/>
                <w:b w:val="0"/>
                <w:bCs/>
                <w:sz w:val="17"/>
                <w:szCs w:val="17"/>
              </w:rPr>
              <w:t xml:space="preserve">    Of which: currency and deposits***</w:t>
            </w:r>
          </w:p>
        </w:tc>
      </w:tr>
    </w:tbl>
    <w:p w:rsidR="00486105" w:rsidRDefault="00486105" w:rsidP="00486105">
      <w:pPr>
        <w:spacing w:line="0" w:lineRule="atLeast"/>
        <w:ind w:right="142"/>
        <w:rPr>
          <w:rFonts w:ascii="Arial" w:hAnsi="Arial"/>
          <w:i w:val="0"/>
          <w:iCs/>
          <w:sz w:val="22"/>
          <w:szCs w:val="22"/>
        </w:rPr>
      </w:pPr>
    </w:p>
    <w:p w:rsidR="00DB5004" w:rsidRPr="000D1317" w:rsidRDefault="00DB5004" w:rsidP="00486105">
      <w:pPr>
        <w:spacing w:line="0" w:lineRule="atLeast"/>
        <w:ind w:right="142"/>
        <w:rPr>
          <w:rFonts w:ascii="Arial" w:hAnsi="Arial"/>
          <w:b w:val="0"/>
          <w:bCs/>
          <w:sz w:val="17"/>
          <w:szCs w:val="17"/>
        </w:rPr>
      </w:pPr>
      <w:r w:rsidRPr="0041774E">
        <w:rPr>
          <w:rFonts w:ascii="Arial" w:hAnsi="Arial"/>
          <w:sz w:val="17"/>
          <w:szCs w:val="17"/>
        </w:rPr>
        <w:t>Notes</w:t>
      </w:r>
      <w:r w:rsidRPr="000D1317">
        <w:rPr>
          <w:rFonts w:ascii="Arial" w:hAnsi="Arial"/>
          <w:b w:val="0"/>
          <w:bCs/>
          <w:sz w:val="17"/>
          <w:szCs w:val="17"/>
        </w:rPr>
        <w:t xml:space="preserve">: </w:t>
      </w:r>
    </w:p>
    <w:p w:rsidR="00DB5004" w:rsidRPr="0041774E" w:rsidRDefault="00DB5004" w:rsidP="00486105">
      <w:pPr>
        <w:pStyle w:val="ListParagraph"/>
        <w:spacing w:line="0" w:lineRule="atLeast"/>
        <w:ind w:left="0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in the above table are close to the nearest integer.</w:t>
      </w:r>
    </w:p>
    <w:p w:rsidR="00DB5004" w:rsidRPr="0041774E" w:rsidRDefault="00DB5004" w:rsidP="00486105">
      <w:pPr>
        <w:pStyle w:val="ListParagraph"/>
        <w:spacing w:line="0" w:lineRule="atLeast"/>
        <w:ind w:left="0"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- </w:t>
      </w:r>
      <w:r w:rsidRPr="0041774E">
        <w:rPr>
          <w:rFonts w:ascii="Arial" w:hAnsi="Arial"/>
          <w:b w:val="0"/>
          <w:bCs/>
          <w:i w:val="0"/>
          <w:iCs/>
          <w:sz w:val="17"/>
          <w:szCs w:val="17"/>
        </w:rPr>
        <w:t>The data does not include the value of land owned by non-residents.</w:t>
      </w:r>
    </w:p>
    <w:p w:rsidR="00DB5004" w:rsidRPr="00DD063E" w:rsidRDefault="00DB5004" w:rsidP="00486105">
      <w:pPr>
        <w:spacing w:line="0" w:lineRule="atLeast"/>
        <w:ind w:right="142"/>
        <w:jc w:val="both"/>
        <w:rPr>
          <w:rFonts w:ascii="Arial" w:hAnsi="Arial"/>
          <w:b w:val="0"/>
          <w:bCs/>
          <w:i w:val="0"/>
          <w:iCs/>
          <w:sz w:val="17"/>
          <w:szCs w:val="17"/>
          <w:rtl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* International investment position (net): equals total external assets minus total foreign liabilities.</w:t>
      </w:r>
    </w:p>
    <w:p w:rsidR="00DB5004" w:rsidRPr="00DD063E" w:rsidRDefault="00DB5004" w:rsidP="00486105">
      <w:pPr>
        <w:spacing w:line="0" w:lineRule="atLeast"/>
        <w:ind w:right="142" w:hanging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** Currency and deposits: Including residents deposits in banks abroad,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i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n addition to foreign currency cash in Palestinian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 xml:space="preserve"> 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>economy.</w:t>
      </w:r>
    </w:p>
    <w:p w:rsidR="00DB5004" w:rsidRPr="00DD063E" w:rsidRDefault="00DB5004" w:rsidP="00486105">
      <w:pPr>
        <w:spacing w:line="0" w:lineRule="atLeast"/>
        <w:ind w:right="142"/>
        <w:jc w:val="both"/>
        <w:rPr>
          <w:rFonts w:ascii="Arial" w:hAnsi="Arial"/>
          <w:b w:val="0"/>
          <w:bCs/>
          <w:i w:val="0"/>
          <w:iCs/>
          <w:sz w:val="17"/>
          <w:szCs w:val="17"/>
        </w:rPr>
      </w:pP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*** Currency and deposits: Include the deposits of non-residents deposited in </w:t>
      </w:r>
      <w:r>
        <w:rPr>
          <w:rFonts w:ascii="Arial" w:hAnsi="Arial"/>
          <w:b w:val="0"/>
          <w:bCs/>
          <w:i w:val="0"/>
          <w:iCs/>
          <w:sz w:val="17"/>
          <w:szCs w:val="17"/>
        </w:rPr>
        <w:t>resident</w:t>
      </w:r>
      <w:r w:rsidRPr="00DD063E">
        <w:rPr>
          <w:rFonts w:ascii="Arial" w:hAnsi="Arial"/>
          <w:b w:val="0"/>
          <w:bCs/>
          <w:i w:val="0"/>
          <w:iCs/>
          <w:sz w:val="17"/>
          <w:szCs w:val="17"/>
        </w:rPr>
        <w:t xml:space="preserve"> banks.</w:t>
      </w:r>
    </w:p>
    <w:p w:rsidR="00DB5004" w:rsidRDefault="00DB5004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486105" w:rsidRDefault="00486105" w:rsidP="00486105">
      <w:pPr>
        <w:contextualSpacing/>
        <w:rPr>
          <w:rFonts w:asciiTheme="majorBidi" w:hAnsiTheme="majorBidi" w:cstheme="majorBidi"/>
          <w:i w:val="0"/>
          <w:iCs/>
          <w:sz w:val="25"/>
          <w:szCs w:val="25"/>
        </w:rPr>
      </w:pPr>
    </w:p>
    <w:p w:rsidR="00486105" w:rsidRDefault="00486105" w:rsidP="00B6004F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</w:p>
    <w:p w:rsidR="00DB5004" w:rsidRPr="00486105" w:rsidRDefault="00DB5004" w:rsidP="00B6004F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  <w:r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Table 2: Gross External Debt </w:t>
      </w:r>
      <w:r w:rsidR="00B6004F"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Position </w:t>
      </w:r>
      <w:r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on Palestine, at the </w:t>
      </w:r>
      <w:r w:rsidR="00B6004F"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End </w:t>
      </w:r>
      <w:r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of the </w:t>
      </w:r>
    </w:p>
    <w:p w:rsidR="00DB5004" w:rsidRPr="00486105" w:rsidRDefault="00A7421B" w:rsidP="00A7421B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  <w:r w:rsidRPr="00486105">
        <w:rPr>
          <w:rFonts w:asciiTheme="majorBidi" w:hAnsiTheme="majorBidi" w:cstheme="majorBidi"/>
          <w:i w:val="0"/>
          <w:iCs/>
          <w:sz w:val="25"/>
          <w:szCs w:val="25"/>
        </w:rPr>
        <w:t>Second</w:t>
      </w:r>
      <w:r w:rsidR="00DB5004"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 and </w:t>
      </w:r>
      <w:r w:rsidRPr="00486105">
        <w:rPr>
          <w:rFonts w:asciiTheme="majorBidi" w:hAnsiTheme="majorBidi" w:cstheme="majorBidi"/>
          <w:i w:val="0"/>
          <w:iCs/>
          <w:sz w:val="25"/>
          <w:szCs w:val="25"/>
        </w:rPr>
        <w:t>Third</w:t>
      </w:r>
      <w:r w:rsidR="00DB5004" w:rsidRPr="00486105">
        <w:rPr>
          <w:rFonts w:asciiTheme="majorBidi" w:hAnsiTheme="majorBidi" w:cstheme="majorBidi"/>
          <w:i w:val="0"/>
          <w:iCs/>
          <w:sz w:val="25"/>
          <w:szCs w:val="25"/>
        </w:rPr>
        <w:t xml:space="preserve"> Quarters 2017</w:t>
      </w:r>
    </w:p>
    <w:p w:rsidR="00DB5004" w:rsidRPr="00486105" w:rsidRDefault="00DB5004" w:rsidP="00DB5004">
      <w:pPr>
        <w:contextualSpacing/>
        <w:rPr>
          <w:rFonts w:asciiTheme="majorBidi" w:hAnsiTheme="majorBidi" w:cstheme="majorBidi"/>
          <w:i w:val="0"/>
          <w:iCs/>
          <w:sz w:val="25"/>
          <w:szCs w:val="25"/>
        </w:rPr>
      </w:pPr>
    </w:p>
    <w:p w:rsidR="00DB5004" w:rsidRPr="00486105" w:rsidRDefault="00DB5004" w:rsidP="00486105">
      <w:pPr>
        <w:ind w:right="3967"/>
        <w:contextualSpacing/>
        <w:rPr>
          <w:rFonts w:asciiTheme="majorBidi" w:hAnsiTheme="majorBidi" w:cstheme="majorBidi"/>
          <w:i w:val="0"/>
          <w:iCs/>
          <w:sz w:val="20"/>
          <w:szCs w:val="20"/>
        </w:rPr>
      </w:pPr>
      <w:r w:rsidRPr="00486105">
        <w:rPr>
          <w:rFonts w:asciiTheme="majorBidi" w:hAnsiTheme="majorBidi" w:cstheme="majorBidi"/>
          <w:i w:val="0"/>
          <w:iCs/>
          <w:sz w:val="20"/>
          <w:szCs w:val="20"/>
        </w:rPr>
        <w:t xml:space="preserve">Value in million USD   </w:t>
      </w:r>
    </w:p>
    <w:tbl>
      <w:tblPr>
        <w:tblpPr w:leftFromText="180" w:rightFromText="180" w:vertAnchor="text" w:tblpXSpec="center" w:tblpY="1"/>
        <w:tblOverlap w:val="never"/>
        <w:bidiVisual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2533"/>
        <w:gridCol w:w="4745"/>
      </w:tblGrid>
      <w:tr w:rsidR="00A7421B" w:rsidRPr="00344FE3" w:rsidTr="00486105">
        <w:trPr>
          <w:trHeight w:val="284"/>
        </w:trPr>
        <w:tc>
          <w:tcPr>
            <w:tcW w:w="1291" w:type="pct"/>
            <w:vAlign w:val="center"/>
          </w:tcPr>
          <w:p w:rsidR="00A7421B" w:rsidRPr="0053342F" w:rsidRDefault="00A7421B" w:rsidP="00A7421B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>
              <w:rPr>
                <w:rFonts w:ascii="Arial" w:hAnsi="Arial"/>
                <w:i w:val="0"/>
                <w:iCs/>
                <w:sz w:val="18"/>
                <w:szCs w:val="18"/>
              </w:rPr>
              <w:t>Stock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 at the end of the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Third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 Quarter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2017</w:t>
            </w:r>
          </w:p>
        </w:tc>
        <w:tc>
          <w:tcPr>
            <w:tcW w:w="1291" w:type="pct"/>
            <w:vAlign w:val="center"/>
          </w:tcPr>
          <w:p w:rsidR="00A7421B" w:rsidRPr="0053342F" w:rsidRDefault="00A7421B" w:rsidP="00A7421B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>
              <w:rPr>
                <w:rFonts w:ascii="Arial" w:hAnsi="Arial"/>
                <w:i w:val="0"/>
                <w:iCs/>
                <w:sz w:val="18"/>
                <w:szCs w:val="18"/>
              </w:rPr>
              <w:t>Stock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 at the end of the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Second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 Quarter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2017</w:t>
            </w:r>
          </w:p>
        </w:tc>
        <w:tc>
          <w:tcPr>
            <w:tcW w:w="2418" w:type="pct"/>
            <w:vAlign w:val="center"/>
          </w:tcPr>
          <w:p w:rsidR="00A7421B" w:rsidRPr="0053342F" w:rsidRDefault="00A7421B" w:rsidP="00A7421B">
            <w:pPr>
              <w:spacing w:line="0" w:lineRule="atLeast"/>
              <w:jc w:val="center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Economic Sector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1,035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1,021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General Government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66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969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961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  <w:rtl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Monetary Authorities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699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758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  <w:rtl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Banks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343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393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356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365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70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70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Other Sectors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291" w:type="pct"/>
            <w:vAlign w:val="bottom"/>
          </w:tcPr>
          <w:p w:rsidR="00505632" w:rsidRPr="00F61D27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Short-term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67</w:t>
            </w:r>
          </w:p>
        </w:tc>
        <w:tc>
          <w:tcPr>
            <w:tcW w:w="1291" w:type="pct"/>
            <w:vAlign w:val="bottom"/>
          </w:tcPr>
          <w:p w:rsidR="00505632" w:rsidRPr="00F61D27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67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Long-term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291" w:type="pct"/>
            <w:vAlign w:val="bottom"/>
          </w:tcPr>
          <w:p w:rsidR="00505632" w:rsidRPr="00F61D27" w:rsidRDefault="00505632" w:rsidP="00505632">
            <w:pPr>
              <w:bidi/>
              <w:jc w:val="center"/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</w:pPr>
            <w:r w:rsidRPr="00F61D27">
              <w:rPr>
                <w:rFonts w:ascii="Arial" w:hAnsi="Arial" w:cs="Arial"/>
                <w:i w:val="0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 xml:space="preserve">Direct </w:t>
            </w:r>
            <w:r>
              <w:rPr>
                <w:rFonts w:ascii="Arial" w:hAnsi="Arial"/>
                <w:i w:val="0"/>
                <w:iCs/>
                <w:sz w:val="18"/>
                <w:szCs w:val="18"/>
              </w:rPr>
              <w:t>I</w:t>
            </w: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nvestment: lending between affiliated companies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1291" w:type="pct"/>
            <w:vAlign w:val="bottom"/>
          </w:tcPr>
          <w:p w:rsidR="00505632" w:rsidRPr="00F61D27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1D2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Debt liabilities to affiliated enterprises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291" w:type="pct"/>
            <w:vAlign w:val="bottom"/>
          </w:tcPr>
          <w:p w:rsidR="00505632" w:rsidRPr="00F81583" w:rsidRDefault="00505632" w:rsidP="00505632">
            <w:pPr>
              <w:bidi/>
              <w:jc w:val="center"/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F81583">
              <w:rPr>
                <w:rFonts w:ascii="Arial" w:hAnsi="Arial" w:cs="Arial"/>
                <w:b w:val="0"/>
                <w:bCs/>
                <w:i w:val="0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b w:val="0"/>
                <w:bCs/>
                <w:i w:val="0"/>
                <w:iCs/>
                <w:sz w:val="18"/>
                <w:szCs w:val="18"/>
              </w:rPr>
              <w:t>Debt liabilities to direct investors</w:t>
            </w:r>
          </w:p>
        </w:tc>
      </w:tr>
      <w:tr w:rsidR="00505632" w:rsidRPr="00344FE3" w:rsidTr="00486105">
        <w:trPr>
          <w:trHeight w:val="284"/>
        </w:trPr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1,809</w:t>
            </w:r>
          </w:p>
        </w:tc>
        <w:tc>
          <w:tcPr>
            <w:tcW w:w="1291" w:type="pct"/>
            <w:vAlign w:val="bottom"/>
          </w:tcPr>
          <w:p w:rsidR="00505632" w:rsidRDefault="00505632" w:rsidP="00505632">
            <w:pPr>
              <w:bidi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  <w:rtl/>
              </w:rPr>
              <w:t>1,85</w:t>
            </w:r>
            <w:r>
              <w:rPr>
                <w:rFonts w:ascii="Arial" w:hAnsi="Arial" w:cs="Arial" w:hint="cs"/>
                <w:b w:val="0"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418" w:type="pct"/>
            <w:vAlign w:val="bottom"/>
          </w:tcPr>
          <w:p w:rsidR="00505632" w:rsidRPr="0053342F" w:rsidRDefault="00505632" w:rsidP="00505632">
            <w:pPr>
              <w:spacing w:line="0" w:lineRule="atLeast"/>
              <w:rPr>
                <w:rFonts w:ascii="Arial" w:hAnsi="Arial"/>
                <w:i w:val="0"/>
                <w:iCs/>
                <w:sz w:val="18"/>
                <w:szCs w:val="18"/>
              </w:rPr>
            </w:pPr>
            <w:r w:rsidRPr="0053342F">
              <w:rPr>
                <w:rFonts w:ascii="Arial" w:hAnsi="Arial"/>
                <w:i w:val="0"/>
                <w:iCs/>
                <w:sz w:val="18"/>
                <w:szCs w:val="18"/>
              </w:rPr>
              <w:t>Gross External Debt Position</w:t>
            </w:r>
          </w:p>
        </w:tc>
      </w:tr>
    </w:tbl>
    <w:p w:rsidR="00DB5004" w:rsidRPr="0053342F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DB5004" w:rsidRPr="00C305B9" w:rsidRDefault="00DB5004" w:rsidP="00DB5004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B94B95" w:rsidRDefault="00DB5004" w:rsidP="00DB5004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Pr="00F91DCF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  <w:rtl/>
        </w:rPr>
      </w:pPr>
    </w:p>
    <w:sectPr w:rsidR="00F2693C" w:rsidRPr="00F91DCF" w:rsidSect="00486105">
      <w:foot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EE" w:rsidRDefault="00CE40EE" w:rsidP="00885BEC">
      <w:r>
        <w:separator/>
      </w:r>
    </w:p>
  </w:endnote>
  <w:endnote w:type="continuationSeparator" w:id="0">
    <w:p w:rsidR="00CE40EE" w:rsidRDefault="00CE40EE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Content>
      <w:p w:rsidR="002D40C1" w:rsidRDefault="00FE78BF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2D40C1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486105">
          <w:rPr>
            <w:b w:val="0"/>
            <w:bCs/>
            <w:i w:val="0"/>
            <w:iCs/>
            <w:noProof/>
            <w:sz w:val="20"/>
            <w:szCs w:val="20"/>
          </w:rPr>
          <w:t>3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2D40C1" w:rsidRDefault="002D4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EE" w:rsidRDefault="00CE40EE" w:rsidP="00885BEC">
      <w:r>
        <w:separator/>
      </w:r>
    </w:p>
  </w:footnote>
  <w:footnote w:type="continuationSeparator" w:id="0">
    <w:p w:rsidR="00CE40EE" w:rsidRDefault="00CE40EE" w:rsidP="0088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72F1"/>
    <w:rsid w:val="000115CC"/>
    <w:rsid w:val="0001231A"/>
    <w:rsid w:val="000124A7"/>
    <w:rsid w:val="00013A84"/>
    <w:rsid w:val="00022F55"/>
    <w:rsid w:val="00023916"/>
    <w:rsid w:val="00023F63"/>
    <w:rsid w:val="0002627D"/>
    <w:rsid w:val="000271AF"/>
    <w:rsid w:val="00030C2F"/>
    <w:rsid w:val="00032DB0"/>
    <w:rsid w:val="00037C5E"/>
    <w:rsid w:val="00040BCA"/>
    <w:rsid w:val="00047BC1"/>
    <w:rsid w:val="00050DB2"/>
    <w:rsid w:val="000541C3"/>
    <w:rsid w:val="00056CE8"/>
    <w:rsid w:val="00056EBF"/>
    <w:rsid w:val="000621F0"/>
    <w:rsid w:val="00067DB7"/>
    <w:rsid w:val="00072644"/>
    <w:rsid w:val="00077AA7"/>
    <w:rsid w:val="00080709"/>
    <w:rsid w:val="00080765"/>
    <w:rsid w:val="00081BE1"/>
    <w:rsid w:val="00085209"/>
    <w:rsid w:val="00090534"/>
    <w:rsid w:val="00090697"/>
    <w:rsid w:val="00090A98"/>
    <w:rsid w:val="00091661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4B6A"/>
    <w:rsid w:val="000B638F"/>
    <w:rsid w:val="000B66F2"/>
    <w:rsid w:val="000C0673"/>
    <w:rsid w:val="000C156F"/>
    <w:rsid w:val="000C2CD8"/>
    <w:rsid w:val="000C30EC"/>
    <w:rsid w:val="000D0B86"/>
    <w:rsid w:val="000D134F"/>
    <w:rsid w:val="000D36E9"/>
    <w:rsid w:val="000D4C84"/>
    <w:rsid w:val="000E57DB"/>
    <w:rsid w:val="000E6DC2"/>
    <w:rsid w:val="000E76D1"/>
    <w:rsid w:val="000E77D9"/>
    <w:rsid w:val="000F2F95"/>
    <w:rsid w:val="000F449F"/>
    <w:rsid w:val="000F4C18"/>
    <w:rsid w:val="000F7730"/>
    <w:rsid w:val="00100B52"/>
    <w:rsid w:val="0011238A"/>
    <w:rsid w:val="00122B0F"/>
    <w:rsid w:val="001243F4"/>
    <w:rsid w:val="00126E34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609E2"/>
    <w:rsid w:val="00161954"/>
    <w:rsid w:val="00162E38"/>
    <w:rsid w:val="00170276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A3990"/>
    <w:rsid w:val="001B1110"/>
    <w:rsid w:val="001B2151"/>
    <w:rsid w:val="001B2404"/>
    <w:rsid w:val="001B35EB"/>
    <w:rsid w:val="001B4D6A"/>
    <w:rsid w:val="001B7265"/>
    <w:rsid w:val="001C1307"/>
    <w:rsid w:val="001C161B"/>
    <w:rsid w:val="001C2180"/>
    <w:rsid w:val="001C6697"/>
    <w:rsid w:val="001C7022"/>
    <w:rsid w:val="001D3642"/>
    <w:rsid w:val="001D43EA"/>
    <w:rsid w:val="001D5ADB"/>
    <w:rsid w:val="001D5D12"/>
    <w:rsid w:val="001D7ADF"/>
    <w:rsid w:val="001D7C9B"/>
    <w:rsid w:val="001E2FD6"/>
    <w:rsid w:val="001E4E8A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4E71"/>
    <w:rsid w:val="00246BC1"/>
    <w:rsid w:val="00251A59"/>
    <w:rsid w:val="0025216F"/>
    <w:rsid w:val="002523D4"/>
    <w:rsid w:val="00254E95"/>
    <w:rsid w:val="00254FB5"/>
    <w:rsid w:val="00260883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DD7"/>
    <w:rsid w:val="002D1337"/>
    <w:rsid w:val="002D40C1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DEF"/>
    <w:rsid w:val="00322FF5"/>
    <w:rsid w:val="00325B26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23FA"/>
    <w:rsid w:val="00364DE2"/>
    <w:rsid w:val="003650EA"/>
    <w:rsid w:val="003713EE"/>
    <w:rsid w:val="00371BAA"/>
    <w:rsid w:val="00376039"/>
    <w:rsid w:val="00376DA0"/>
    <w:rsid w:val="00377817"/>
    <w:rsid w:val="0038255A"/>
    <w:rsid w:val="00382E41"/>
    <w:rsid w:val="003838AD"/>
    <w:rsid w:val="0038458B"/>
    <w:rsid w:val="00385033"/>
    <w:rsid w:val="00387A29"/>
    <w:rsid w:val="00391B60"/>
    <w:rsid w:val="00394B30"/>
    <w:rsid w:val="00397CC6"/>
    <w:rsid w:val="003A1748"/>
    <w:rsid w:val="003A3E2C"/>
    <w:rsid w:val="003A7091"/>
    <w:rsid w:val="003B0C69"/>
    <w:rsid w:val="003B2285"/>
    <w:rsid w:val="003B4EFD"/>
    <w:rsid w:val="003B56C9"/>
    <w:rsid w:val="003C00B9"/>
    <w:rsid w:val="003C22E0"/>
    <w:rsid w:val="003C64EA"/>
    <w:rsid w:val="003D1AD0"/>
    <w:rsid w:val="003D64EB"/>
    <w:rsid w:val="003D6FF3"/>
    <w:rsid w:val="003D7154"/>
    <w:rsid w:val="003E0504"/>
    <w:rsid w:val="003E289D"/>
    <w:rsid w:val="003E38BC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6F83"/>
    <w:rsid w:val="0040747F"/>
    <w:rsid w:val="00410274"/>
    <w:rsid w:val="00411C10"/>
    <w:rsid w:val="00412B95"/>
    <w:rsid w:val="00420768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62347"/>
    <w:rsid w:val="004624A9"/>
    <w:rsid w:val="00463EB9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86105"/>
    <w:rsid w:val="00486C03"/>
    <w:rsid w:val="0048744C"/>
    <w:rsid w:val="004908D8"/>
    <w:rsid w:val="004920F5"/>
    <w:rsid w:val="00494846"/>
    <w:rsid w:val="00494AD4"/>
    <w:rsid w:val="004954C4"/>
    <w:rsid w:val="004A6FCF"/>
    <w:rsid w:val="004B6088"/>
    <w:rsid w:val="004B65A3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701E"/>
    <w:rsid w:val="00501ACB"/>
    <w:rsid w:val="0050324C"/>
    <w:rsid w:val="00505632"/>
    <w:rsid w:val="00512E0F"/>
    <w:rsid w:val="00513BB5"/>
    <w:rsid w:val="0051707F"/>
    <w:rsid w:val="005322B0"/>
    <w:rsid w:val="0053266C"/>
    <w:rsid w:val="00532EFB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22E7"/>
    <w:rsid w:val="00564454"/>
    <w:rsid w:val="00570B11"/>
    <w:rsid w:val="005715DA"/>
    <w:rsid w:val="005721DA"/>
    <w:rsid w:val="00572967"/>
    <w:rsid w:val="005738ED"/>
    <w:rsid w:val="00575A80"/>
    <w:rsid w:val="005775B3"/>
    <w:rsid w:val="00583A54"/>
    <w:rsid w:val="00584208"/>
    <w:rsid w:val="0058499C"/>
    <w:rsid w:val="00587861"/>
    <w:rsid w:val="0059372F"/>
    <w:rsid w:val="00594133"/>
    <w:rsid w:val="00595820"/>
    <w:rsid w:val="005A05C8"/>
    <w:rsid w:val="005A622B"/>
    <w:rsid w:val="005B47E8"/>
    <w:rsid w:val="005B6A18"/>
    <w:rsid w:val="005C3F38"/>
    <w:rsid w:val="005C63F0"/>
    <w:rsid w:val="005C6ACB"/>
    <w:rsid w:val="005C7213"/>
    <w:rsid w:val="005D1897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54EE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51C6"/>
    <w:rsid w:val="00627303"/>
    <w:rsid w:val="00631A9E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49CA"/>
    <w:rsid w:val="0066502B"/>
    <w:rsid w:val="0066643E"/>
    <w:rsid w:val="0067102F"/>
    <w:rsid w:val="00672923"/>
    <w:rsid w:val="00673220"/>
    <w:rsid w:val="006738B1"/>
    <w:rsid w:val="00681C63"/>
    <w:rsid w:val="006825EB"/>
    <w:rsid w:val="006860A4"/>
    <w:rsid w:val="006864AF"/>
    <w:rsid w:val="00692615"/>
    <w:rsid w:val="006945FA"/>
    <w:rsid w:val="006949AB"/>
    <w:rsid w:val="006A4970"/>
    <w:rsid w:val="006A6595"/>
    <w:rsid w:val="006B5EE1"/>
    <w:rsid w:val="006C0330"/>
    <w:rsid w:val="006C46B3"/>
    <w:rsid w:val="006C5842"/>
    <w:rsid w:val="006C5ED3"/>
    <w:rsid w:val="006D24EE"/>
    <w:rsid w:val="006D61E4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5408"/>
    <w:rsid w:val="00737401"/>
    <w:rsid w:val="007440AA"/>
    <w:rsid w:val="0074518D"/>
    <w:rsid w:val="00745DFE"/>
    <w:rsid w:val="00753738"/>
    <w:rsid w:val="0075703F"/>
    <w:rsid w:val="00757248"/>
    <w:rsid w:val="00760B80"/>
    <w:rsid w:val="0076206A"/>
    <w:rsid w:val="007634C9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5FD1"/>
    <w:rsid w:val="00796D97"/>
    <w:rsid w:val="00796DF9"/>
    <w:rsid w:val="007971E6"/>
    <w:rsid w:val="007A0A4E"/>
    <w:rsid w:val="007A0E5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3CEC"/>
    <w:rsid w:val="007E6926"/>
    <w:rsid w:val="007E7CB3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20280"/>
    <w:rsid w:val="00822930"/>
    <w:rsid w:val="008244F8"/>
    <w:rsid w:val="00824C66"/>
    <w:rsid w:val="00831A99"/>
    <w:rsid w:val="00836286"/>
    <w:rsid w:val="00837C26"/>
    <w:rsid w:val="008442FD"/>
    <w:rsid w:val="008443CF"/>
    <w:rsid w:val="00851D2D"/>
    <w:rsid w:val="00852594"/>
    <w:rsid w:val="00854491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81"/>
    <w:rsid w:val="00881593"/>
    <w:rsid w:val="00883934"/>
    <w:rsid w:val="00883CEF"/>
    <w:rsid w:val="008840BB"/>
    <w:rsid w:val="00885BEC"/>
    <w:rsid w:val="00887793"/>
    <w:rsid w:val="00887DDA"/>
    <w:rsid w:val="0089649C"/>
    <w:rsid w:val="008975DB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C25F1"/>
    <w:rsid w:val="008C3935"/>
    <w:rsid w:val="008C6098"/>
    <w:rsid w:val="008D3918"/>
    <w:rsid w:val="008D3B4F"/>
    <w:rsid w:val="008D6DAC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AC3"/>
    <w:rsid w:val="00924D55"/>
    <w:rsid w:val="009255C6"/>
    <w:rsid w:val="00925BF6"/>
    <w:rsid w:val="00926CCD"/>
    <w:rsid w:val="00932592"/>
    <w:rsid w:val="00932724"/>
    <w:rsid w:val="00934182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3067"/>
    <w:rsid w:val="00995DBB"/>
    <w:rsid w:val="009973FF"/>
    <w:rsid w:val="009A04C2"/>
    <w:rsid w:val="009A1A09"/>
    <w:rsid w:val="009A283F"/>
    <w:rsid w:val="009A3453"/>
    <w:rsid w:val="009A4C10"/>
    <w:rsid w:val="009A5052"/>
    <w:rsid w:val="009A7592"/>
    <w:rsid w:val="009A7BFB"/>
    <w:rsid w:val="009B2698"/>
    <w:rsid w:val="009B2A2B"/>
    <w:rsid w:val="009B4EDA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4139"/>
    <w:rsid w:val="009E531E"/>
    <w:rsid w:val="009E5D63"/>
    <w:rsid w:val="009E5EFA"/>
    <w:rsid w:val="009E617A"/>
    <w:rsid w:val="009E6F8A"/>
    <w:rsid w:val="009F0BD8"/>
    <w:rsid w:val="009F2EF7"/>
    <w:rsid w:val="00A0261D"/>
    <w:rsid w:val="00A05211"/>
    <w:rsid w:val="00A071CF"/>
    <w:rsid w:val="00A11EF4"/>
    <w:rsid w:val="00A13EA4"/>
    <w:rsid w:val="00A14C59"/>
    <w:rsid w:val="00A17436"/>
    <w:rsid w:val="00A22356"/>
    <w:rsid w:val="00A23C3A"/>
    <w:rsid w:val="00A24A69"/>
    <w:rsid w:val="00A259C6"/>
    <w:rsid w:val="00A30E49"/>
    <w:rsid w:val="00A32B2A"/>
    <w:rsid w:val="00A34663"/>
    <w:rsid w:val="00A3567B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63CA6"/>
    <w:rsid w:val="00A70B84"/>
    <w:rsid w:val="00A71D30"/>
    <w:rsid w:val="00A71DF1"/>
    <w:rsid w:val="00A727AE"/>
    <w:rsid w:val="00A7421B"/>
    <w:rsid w:val="00A763DB"/>
    <w:rsid w:val="00A80B3D"/>
    <w:rsid w:val="00A80CF4"/>
    <w:rsid w:val="00A84C9F"/>
    <w:rsid w:val="00A85A9D"/>
    <w:rsid w:val="00A86274"/>
    <w:rsid w:val="00A87406"/>
    <w:rsid w:val="00A92509"/>
    <w:rsid w:val="00A959EE"/>
    <w:rsid w:val="00A96BFE"/>
    <w:rsid w:val="00AA021F"/>
    <w:rsid w:val="00AA3270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7AFC"/>
    <w:rsid w:val="00AF109B"/>
    <w:rsid w:val="00AF120E"/>
    <w:rsid w:val="00AF2816"/>
    <w:rsid w:val="00AF371C"/>
    <w:rsid w:val="00AF63AE"/>
    <w:rsid w:val="00AF7572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3628"/>
    <w:rsid w:val="00B442CF"/>
    <w:rsid w:val="00B5657B"/>
    <w:rsid w:val="00B6004F"/>
    <w:rsid w:val="00B63C24"/>
    <w:rsid w:val="00B64638"/>
    <w:rsid w:val="00B64C52"/>
    <w:rsid w:val="00B65CDD"/>
    <w:rsid w:val="00B75768"/>
    <w:rsid w:val="00B8277D"/>
    <w:rsid w:val="00B831CF"/>
    <w:rsid w:val="00B84951"/>
    <w:rsid w:val="00B855C1"/>
    <w:rsid w:val="00B874B5"/>
    <w:rsid w:val="00B900EF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39E1"/>
    <w:rsid w:val="00BF2513"/>
    <w:rsid w:val="00BF4261"/>
    <w:rsid w:val="00BF46C5"/>
    <w:rsid w:val="00C0362A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1CBB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7761"/>
    <w:rsid w:val="00C72AF2"/>
    <w:rsid w:val="00C74F4A"/>
    <w:rsid w:val="00C80AC1"/>
    <w:rsid w:val="00C81FA4"/>
    <w:rsid w:val="00C8323C"/>
    <w:rsid w:val="00C83DD0"/>
    <w:rsid w:val="00C85CB3"/>
    <w:rsid w:val="00C85D0B"/>
    <w:rsid w:val="00C869DC"/>
    <w:rsid w:val="00C87CE8"/>
    <w:rsid w:val="00C92770"/>
    <w:rsid w:val="00C9485F"/>
    <w:rsid w:val="00C95F13"/>
    <w:rsid w:val="00CA21A4"/>
    <w:rsid w:val="00CA323C"/>
    <w:rsid w:val="00CA332B"/>
    <w:rsid w:val="00CA3918"/>
    <w:rsid w:val="00CA3989"/>
    <w:rsid w:val="00CB1059"/>
    <w:rsid w:val="00CB377E"/>
    <w:rsid w:val="00CB4298"/>
    <w:rsid w:val="00CB51E9"/>
    <w:rsid w:val="00CB69DF"/>
    <w:rsid w:val="00CB7601"/>
    <w:rsid w:val="00CC2528"/>
    <w:rsid w:val="00CC3DA4"/>
    <w:rsid w:val="00CE0208"/>
    <w:rsid w:val="00CE0DC1"/>
    <w:rsid w:val="00CE1143"/>
    <w:rsid w:val="00CE40EE"/>
    <w:rsid w:val="00CE5EB9"/>
    <w:rsid w:val="00CE738E"/>
    <w:rsid w:val="00CE7BF2"/>
    <w:rsid w:val="00CF0D0B"/>
    <w:rsid w:val="00CF2F0B"/>
    <w:rsid w:val="00CF4903"/>
    <w:rsid w:val="00CF74A0"/>
    <w:rsid w:val="00D035A2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4652"/>
    <w:rsid w:val="00D54927"/>
    <w:rsid w:val="00D55E68"/>
    <w:rsid w:val="00D56E3B"/>
    <w:rsid w:val="00D57892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350F"/>
    <w:rsid w:val="00DB5004"/>
    <w:rsid w:val="00DB6568"/>
    <w:rsid w:val="00DB6A67"/>
    <w:rsid w:val="00DC196A"/>
    <w:rsid w:val="00DC1F91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39A7"/>
    <w:rsid w:val="00DF62B2"/>
    <w:rsid w:val="00E007BE"/>
    <w:rsid w:val="00E01FA1"/>
    <w:rsid w:val="00E02162"/>
    <w:rsid w:val="00E021E0"/>
    <w:rsid w:val="00E02DCB"/>
    <w:rsid w:val="00E06BAE"/>
    <w:rsid w:val="00E077C7"/>
    <w:rsid w:val="00E117D4"/>
    <w:rsid w:val="00E12C55"/>
    <w:rsid w:val="00E16D3D"/>
    <w:rsid w:val="00E16D50"/>
    <w:rsid w:val="00E17FE9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CB6"/>
    <w:rsid w:val="00E752B6"/>
    <w:rsid w:val="00E767FA"/>
    <w:rsid w:val="00E80E73"/>
    <w:rsid w:val="00E813BB"/>
    <w:rsid w:val="00E909E5"/>
    <w:rsid w:val="00E90B90"/>
    <w:rsid w:val="00E9181C"/>
    <w:rsid w:val="00E91C5C"/>
    <w:rsid w:val="00E92125"/>
    <w:rsid w:val="00E948E2"/>
    <w:rsid w:val="00E976CD"/>
    <w:rsid w:val="00E97A98"/>
    <w:rsid w:val="00EA0141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13BF"/>
    <w:rsid w:val="00EF7518"/>
    <w:rsid w:val="00F00BF5"/>
    <w:rsid w:val="00F03889"/>
    <w:rsid w:val="00F04D52"/>
    <w:rsid w:val="00F05F1C"/>
    <w:rsid w:val="00F108D7"/>
    <w:rsid w:val="00F12823"/>
    <w:rsid w:val="00F16F88"/>
    <w:rsid w:val="00F21843"/>
    <w:rsid w:val="00F227B5"/>
    <w:rsid w:val="00F234B0"/>
    <w:rsid w:val="00F2693C"/>
    <w:rsid w:val="00F31885"/>
    <w:rsid w:val="00F32F97"/>
    <w:rsid w:val="00F34B56"/>
    <w:rsid w:val="00F35B8F"/>
    <w:rsid w:val="00F35DFA"/>
    <w:rsid w:val="00F36F52"/>
    <w:rsid w:val="00F440C8"/>
    <w:rsid w:val="00F44ABD"/>
    <w:rsid w:val="00F44E5B"/>
    <w:rsid w:val="00F45CF4"/>
    <w:rsid w:val="00F45E4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81583"/>
    <w:rsid w:val="00F82939"/>
    <w:rsid w:val="00F86A73"/>
    <w:rsid w:val="00F90043"/>
    <w:rsid w:val="00F91DCF"/>
    <w:rsid w:val="00F932AC"/>
    <w:rsid w:val="00FA24A7"/>
    <w:rsid w:val="00FA65B7"/>
    <w:rsid w:val="00FA773D"/>
    <w:rsid w:val="00FA7773"/>
    <w:rsid w:val="00FB5470"/>
    <w:rsid w:val="00FB5E5C"/>
    <w:rsid w:val="00FB7DEF"/>
    <w:rsid w:val="00FC2F0B"/>
    <w:rsid w:val="00FD4E2D"/>
    <w:rsid w:val="00FD50F5"/>
    <w:rsid w:val="00FD5154"/>
    <w:rsid w:val="00FD574D"/>
    <w:rsid w:val="00FD7ED6"/>
    <w:rsid w:val="00FE268E"/>
    <w:rsid w:val="00FE437C"/>
    <w:rsid w:val="00FE5702"/>
    <w:rsid w:val="00FE5EE0"/>
    <w:rsid w:val="00FE6EDE"/>
    <w:rsid w:val="00FE733F"/>
    <w:rsid w:val="00FE78B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80AE-375C-4B24-BE15-2F3A9FB1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2</cp:revision>
  <cp:lastPrinted>2017-12-18T07:51:00Z</cp:lastPrinted>
  <dcterms:created xsi:type="dcterms:W3CDTF">2017-12-18T07:51:00Z</dcterms:created>
  <dcterms:modified xsi:type="dcterms:W3CDTF">2017-12-18T07:51:00Z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