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BB" w:rsidRDefault="00E75BBB" w:rsidP="00E75BBB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E75BBB" w:rsidRDefault="00E75BBB" w:rsidP="00E75BBB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927F69" w:rsidRPr="00E75BBB" w:rsidRDefault="00927F69" w:rsidP="006916F9">
      <w:pPr>
        <w:tabs>
          <w:tab w:val="left" w:pos="554"/>
          <w:tab w:val="right" w:pos="5961"/>
        </w:tabs>
        <w:bidi/>
        <w:jc w:val="center"/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4221C5" w:rsidRPr="00F149B2" w:rsidRDefault="004221C5" w:rsidP="006916F9">
      <w:pPr>
        <w:rPr>
          <w:rFonts w:asciiTheme="majorBidi" w:hAnsiTheme="majorBidi" w:cstheme="majorBidi"/>
          <w:i w:val="0"/>
          <w:iCs/>
          <w:sz w:val="2"/>
          <w:szCs w:val="2"/>
        </w:rPr>
      </w:pPr>
    </w:p>
    <w:p w:rsidR="00DC292C" w:rsidRPr="00F149B2" w:rsidRDefault="00DC292C" w:rsidP="006916F9">
      <w:pPr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F149B2">
        <w:rPr>
          <w:rFonts w:asciiTheme="majorBidi" w:hAnsiTheme="majorBidi" w:cstheme="majorBidi"/>
          <w:i w:val="0"/>
          <w:iCs/>
          <w:sz w:val="28"/>
          <w:szCs w:val="28"/>
        </w:rPr>
        <w:t xml:space="preserve">The Net Stock of the International Investment Position (IIP) amounted to USD </w:t>
      </w:r>
      <w:r w:rsidR="00327B47" w:rsidRPr="00F149B2">
        <w:rPr>
          <w:rFonts w:asciiTheme="majorBidi" w:hAnsiTheme="majorBidi" w:cstheme="majorBidi"/>
          <w:i w:val="0"/>
          <w:iCs/>
          <w:sz w:val="28"/>
          <w:szCs w:val="28"/>
        </w:rPr>
        <w:t>3,</w:t>
      </w:r>
      <w:r w:rsidR="00D86AB4">
        <w:rPr>
          <w:rFonts w:asciiTheme="majorBidi" w:hAnsiTheme="majorBidi" w:cstheme="majorBidi"/>
          <w:i w:val="0"/>
          <w:iCs/>
          <w:sz w:val="28"/>
          <w:szCs w:val="28"/>
        </w:rPr>
        <w:t>36</w:t>
      </w:r>
      <w:r w:rsidR="00320AFE">
        <w:rPr>
          <w:rFonts w:asciiTheme="majorBidi" w:hAnsiTheme="majorBidi" w:cstheme="majorBidi"/>
          <w:i w:val="0"/>
          <w:iCs/>
          <w:sz w:val="28"/>
          <w:szCs w:val="28"/>
        </w:rPr>
        <w:t>1</w:t>
      </w:r>
      <w:r w:rsidRPr="00F149B2">
        <w:rPr>
          <w:rFonts w:asciiTheme="majorBidi" w:hAnsiTheme="majorBidi" w:cstheme="majorBidi"/>
          <w:i w:val="0"/>
          <w:iCs/>
          <w:sz w:val="28"/>
          <w:szCs w:val="28"/>
        </w:rPr>
        <w:t xml:space="preserve">million at the End of the </w:t>
      </w:r>
      <w:r w:rsidR="00320AFE">
        <w:rPr>
          <w:rFonts w:asciiTheme="majorBidi" w:hAnsiTheme="majorBidi" w:cstheme="majorBidi"/>
          <w:i w:val="0"/>
          <w:iCs/>
          <w:sz w:val="28"/>
          <w:szCs w:val="28"/>
        </w:rPr>
        <w:t>Fourth</w:t>
      </w:r>
      <w:r w:rsidRPr="00F149B2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202</w:t>
      </w:r>
      <w:r w:rsidR="00160716" w:rsidRPr="00F149B2">
        <w:rPr>
          <w:rFonts w:asciiTheme="majorBidi" w:hAnsiTheme="majorBidi" w:cstheme="majorBidi"/>
          <w:i w:val="0"/>
          <w:iCs/>
          <w:sz w:val="28"/>
          <w:szCs w:val="28"/>
        </w:rPr>
        <w:t>2</w:t>
      </w:r>
      <w:r w:rsidRPr="00F149B2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</w:p>
    <w:p w:rsidR="00DB5004" w:rsidRPr="00F149B2" w:rsidRDefault="00DB5004" w:rsidP="006916F9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:rsidR="006B1CE8" w:rsidRPr="006916F9" w:rsidRDefault="00DB5004" w:rsidP="006916F9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Palestinian Central Bureau of Statistics</w:t>
      </w:r>
      <w:r w:rsidR="00C23EB0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(PCBS) and the Palestine Monetary Authority (PMA)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announced the preliminary results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International Investment Position</w:t>
      </w:r>
      <w:r w:rsidR="00C23EB0" w:rsidRPr="006916F9">
        <w:rPr>
          <w:rStyle w:val="hps"/>
          <w:rFonts w:asciiTheme="majorBidi" w:hAnsiTheme="majorBidi" w:cstheme="majorBidi" w:hint="cs"/>
          <w:b w:val="0"/>
          <w:bCs/>
          <w:i w:val="0"/>
          <w:iCs/>
          <w:sz w:val="26"/>
          <w:szCs w:val="26"/>
          <w:rtl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(IIP), and External Debt statistics for Palestine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as of </w:t>
      </w:r>
      <w:r w:rsidR="00C56B7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end of</w:t>
      </w:r>
      <w:r w:rsidR="00E85A96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</w:t>
      </w:r>
      <w:r w:rsidR="00B51A43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320AFE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fourth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quarter 20</w:t>
      </w:r>
      <w:r w:rsidR="00633411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="00160716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="006B1CE8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.</w:t>
      </w:r>
    </w:p>
    <w:p w:rsidR="006916F9" w:rsidRPr="006916F9" w:rsidRDefault="006916F9" w:rsidP="006916F9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6916F9" w:rsidRDefault="00DB5004" w:rsidP="006916F9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total stocks of External Assets for </w:t>
      </w:r>
      <w:r w:rsidR="00C56B7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</w:t>
      </w:r>
      <w:r w:rsidR="00E85A96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ian economy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amounted to USD </w:t>
      </w:r>
      <w:r w:rsidR="00892B81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9</w:t>
      </w:r>
      <w:r w:rsidR="00CB31FA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D86AB4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4</w:t>
      </w:r>
      <w:r w:rsidR="00320AF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61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million, </w:t>
      </w:r>
      <w:r w:rsidR="004B7C0D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he Foreign Direct Investment </w:t>
      </w:r>
      <w:r w:rsidR="006054E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Abroad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contributed to </w:t>
      </w:r>
      <w:r w:rsidR="00892B81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</w:t>
      </w:r>
      <w:r w:rsidR="007862A5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Portfolio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Investments abroad reached </w:t>
      </w:r>
      <w:r w:rsidR="00CB31FA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D86AB4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7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while Other Foreign Investments </w:t>
      </w:r>
      <w:r w:rsidR="006054E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Abroad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reached </w:t>
      </w:r>
      <w:r w:rsidR="00320AF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70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and Reserve Assets amounted to </w:t>
      </w:r>
      <w:r w:rsidR="00D86AB4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320AF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0</w:t>
      </w:r>
      <w:r w:rsidR="00EC5050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%.</w:t>
      </w:r>
      <w:r w:rsidR="000A5151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 </w:t>
      </w:r>
    </w:p>
    <w:p w:rsidR="008615B9" w:rsidRPr="006916F9" w:rsidRDefault="008615B9" w:rsidP="006916F9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6916F9" w:rsidRDefault="00320AFE" w:rsidP="006916F9">
      <w:pPr>
        <w:pStyle w:val="BodyText3"/>
        <w:rPr>
          <w:rFonts w:asciiTheme="majorBidi" w:hAnsiTheme="majorBidi" w:cstheme="majorBidi"/>
          <w:i w:val="0"/>
          <w:iCs/>
          <w:sz w:val="26"/>
          <w:szCs w:val="26"/>
        </w:rPr>
      </w:pPr>
      <w:r w:rsidRPr="006916F9">
        <w:rPr>
          <w:rFonts w:asciiTheme="majorBidi" w:hAnsiTheme="majorBidi" w:cstheme="majorBidi"/>
          <w:i w:val="0"/>
          <w:iCs/>
          <w:sz w:val="26"/>
          <w:szCs w:val="26"/>
        </w:rPr>
        <w:t>51</w:t>
      </w:r>
      <w:r w:rsidR="008615B9" w:rsidRPr="006916F9">
        <w:rPr>
          <w:rFonts w:asciiTheme="majorBidi" w:hAnsiTheme="majorBidi" w:cstheme="majorBidi"/>
          <w:i w:val="0"/>
          <w:iCs/>
          <w:sz w:val="26"/>
          <w:szCs w:val="26"/>
        </w:rPr>
        <w:t>% of the total foreign liabilities on the Palestinian economy</w:t>
      </w:r>
      <w:r w:rsidR="002E3BDC" w:rsidRPr="006916F9">
        <w:rPr>
          <w:rFonts w:asciiTheme="majorBidi" w:hAnsiTheme="majorBidi" w:cstheme="majorBidi"/>
          <w:i w:val="0"/>
          <w:iCs/>
          <w:sz w:val="26"/>
          <w:szCs w:val="26"/>
        </w:rPr>
        <w:t xml:space="preserve"> at the End of the </w:t>
      </w:r>
      <w:r w:rsidRPr="006916F9">
        <w:rPr>
          <w:rFonts w:asciiTheme="majorBidi" w:hAnsiTheme="majorBidi" w:cstheme="majorBidi"/>
          <w:i w:val="0"/>
          <w:iCs/>
          <w:sz w:val="26"/>
          <w:szCs w:val="26"/>
        </w:rPr>
        <w:t xml:space="preserve">Fourth </w:t>
      </w:r>
      <w:r w:rsidR="002E3BDC" w:rsidRPr="006916F9">
        <w:rPr>
          <w:rFonts w:asciiTheme="majorBidi" w:hAnsiTheme="majorBidi" w:cstheme="majorBidi"/>
          <w:i w:val="0"/>
          <w:iCs/>
          <w:sz w:val="26"/>
          <w:szCs w:val="26"/>
        </w:rPr>
        <w:t xml:space="preserve">Quarter of </w:t>
      </w:r>
      <w:r w:rsidR="00905A56" w:rsidRPr="006916F9">
        <w:rPr>
          <w:rFonts w:asciiTheme="majorBidi" w:hAnsiTheme="majorBidi" w:cstheme="majorBidi"/>
          <w:i w:val="0"/>
          <w:iCs/>
          <w:sz w:val="26"/>
          <w:szCs w:val="26"/>
        </w:rPr>
        <w:t>2022</w:t>
      </w:r>
      <w:r w:rsidR="008615B9" w:rsidRPr="006916F9">
        <w:rPr>
          <w:rFonts w:asciiTheme="majorBidi" w:hAnsiTheme="majorBidi" w:cstheme="majorBidi"/>
          <w:i w:val="0"/>
          <w:iCs/>
          <w:sz w:val="26"/>
          <w:szCs w:val="26"/>
        </w:rPr>
        <w:t xml:space="preserve"> are </w:t>
      </w:r>
      <w:r w:rsidR="00C56B7B" w:rsidRPr="006916F9">
        <w:rPr>
          <w:rFonts w:asciiTheme="majorBidi" w:hAnsiTheme="majorBidi" w:cstheme="majorBidi"/>
          <w:i w:val="0"/>
          <w:iCs/>
          <w:sz w:val="26"/>
          <w:szCs w:val="26"/>
        </w:rPr>
        <w:t xml:space="preserve">a </w:t>
      </w:r>
      <w:r w:rsidR="008615B9" w:rsidRPr="006916F9">
        <w:rPr>
          <w:rFonts w:asciiTheme="majorBidi" w:hAnsiTheme="majorBidi" w:cstheme="majorBidi"/>
          <w:i w:val="0"/>
          <w:iCs/>
          <w:sz w:val="26"/>
          <w:szCs w:val="26"/>
        </w:rPr>
        <w:t>foreign direct investment</w:t>
      </w:r>
    </w:p>
    <w:p w:rsidR="00064A5C" w:rsidRPr="006916F9" w:rsidRDefault="00DB5004" w:rsidP="006916F9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total stocks of For</w:t>
      </w:r>
      <w:r w:rsidR="00B902A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eign Liabilities in Palestine (</w:t>
      </w:r>
      <w:r w:rsidR="003D2935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Balances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of non-residents invested in Palestine) amounted to USD </w:t>
      </w:r>
      <w:r w:rsidR="00892B81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6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320AF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100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million, </w:t>
      </w:r>
      <w:r w:rsidR="009D1202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where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Foreign Direct Investment in Palestine contributed to </w:t>
      </w:r>
      <w:r w:rsidR="00320AF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51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Portfolio Investments in Palestine reached </w:t>
      </w:r>
      <w:r w:rsidR="00320AF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14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</w:t>
      </w:r>
      <w:r w:rsidR="003265DF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and </w:t>
      </w:r>
      <w:r w:rsidR="00C87C90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O</w:t>
      </w:r>
      <w:r w:rsidR="00C23EB0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ther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Investments in Palestine (mainly loans and deposits from abroad) amounted to </w:t>
      </w:r>
      <w:r w:rsidR="000C3870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="00320AF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5</w:t>
      </w:r>
      <w:r w:rsidR="00DD6071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%.</w:t>
      </w:r>
      <w:r w:rsidR="00D13DDD" w:rsidRPr="006916F9">
        <w:rPr>
          <w:rFonts w:asciiTheme="majorBidi" w:hAnsiTheme="majorBidi" w:cstheme="majorBidi" w:hint="cs"/>
          <w:b w:val="0"/>
          <w:bCs/>
          <w:i w:val="0"/>
          <w:iCs/>
          <w:sz w:val="26"/>
          <w:szCs w:val="26"/>
          <w:rtl/>
        </w:rPr>
        <w:t xml:space="preserve">  </w:t>
      </w:r>
      <w:r w:rsidR="00064A5C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A</w:t>
      </w:r>
      <w:r w:rsidR="000E5A08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C56B7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sectoral level, foreign investments in </w:t>
      </w:r>
      <w:r w:rsidR="00C56B7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bank</w:t>
      </w:r>
      <w:r w:rsidR="00C56B7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ing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sector contributed a major value in the foreign liabilities, represented by </w:t>
      </w:r>
      <w:r w:rsidR="00320AFE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35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of the total value of foreign liabilities </w:t>
      </w:r>
      <w:r w:rsidR="00C56B7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n </w:t>
      </w:r>
      <w:r w:rsidR="00C56B7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Palestinian economy.</w:t>
      </w:r>
    </w:p>
    <w:p w:rsidR="006916F9" w:rsidRPr="006916F9" w:rsidRDefault="006916F9" w:rsidP="006916F9">
      <w:pPr>
        <w:pStyle w:val="HTMLPreformatted"/>
        <w:shd w:val="clear" w:color="auto" w:fill="FFFFFF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DB5004" w:rsidRPr="006916F9" w:rsidRDefault="009D1202" w:rsidP="006916F9">
      <w:pPr>
        <w:pStyle w:val="HTMLPreformatted"/>
        <w:shd w:val="clear" w:color="auto" w:fill="FFFFFF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6916F9">
        <w:rPr>
          <w:rFonts w:asciiTheme="majorBidi" w:hAnsiTheme="majorBidi" w:cstheme="majorBidi"/>
          <w:b/>
          <w:iCs/>
          <w:sz w:val="26"/>
          <w:szCs w:val="26"/>
        </w:rPr>
        <w:t>A</w:t>
      </w:r>
      <w:r w:rsidR="00216CA7" w:rsidRPr="006916F9">
        <w:rPr>
          <w:rFonts w:asciiTheme="majorBidi" w:hAnsiTheme="majorBidi" w:cstheme="majorBidi"/>
          <w:b/>
          <w:iCs/>
          <w:sz w:val="26"/>
          <w:szCs w:val="26"/>
          <w:lang w:val="en-GB"/>
        </w:rPr>
        <w:t>n</w:t>
      </w:r>
      <w:r w:rsidR="0007197F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042E1B" w:rsidRPr="006916F9">
        <w:rPr>
          <w:rFonts w:asciiTheme="majorBidi" w:hAnsiTheme="majorBidi" w:cstheme="majorBidi"/>
          <w:b/>
          <w:iCs/>
          <w:sz w:val="26"/>
          <w:szCs w:val="26"/>
        </w:rPr>
        <w:t>in</w:t>
      </w:r>
      <w:r w:rsidR="008615B9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crease </w:t>
      </w:r>
      <w:r w:rsidR="00C56B7B" w:rsidRPr="006916F9">
        <w:rPr>
          <w:rFonts w:asciiTheme="majorBidi" w:hAnsiTheme="majorBidi" w:cstheme="majorBidi"/>
          <w:b/>
          <w:iCs/>
          <w:sz w:val="26"/>
          <w:szCs w:val="26"/>
        </w:rPr>
        <w:t>in</w:t>
      </w:r>
      <w:r w:rsidR="008615B9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805979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Stock of </w:t>
      </w:r>
      <w:r w:rsidR="00DD103D" w:rsidRPr="006916F9">
        <w:rPr>
          <w:rFonts w:asciiTheme="majorBidi" w:hAnsiTheme="majorBidi" w:cstheme="majorBidi"/>
          <w:b/>
          <w:iCs/>
          <w:sz w:val="26"/>
          <w:szCs w:val="26"/>
        </w:rPr>
        <w:t>e</w:t>
      </w:r>
      <w:r w:rsidR="00041F63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xternal </w:t>
      </w:r>
      <w:r w:rsidR="00805979" w:rsidRPr="006916F9">
        <w:rPr>
          <w:rFonts w:asciiTheme="majorBidi" w:hAnsiTheme="majorBidi" w:cstheme="majorBidi"/>
          <w:b/>
          <w:iCs/>
          <w:sz w:val="26"/>
          <w:szCs w:val="26"/>
        </w:rPr>
        <w:t>d</w:t>
      </w:r>
      <w:r w:rsidR="00064A5C" w:rsidRPr="006916F9">
        <w:rPr>
          <w:rFonts w:asciiTheme="majorBidi" w:hAnsiTheme="majorBidi" w:cstheme="majorBidi"/>
          <w:b/>
          <w:iCs/>
          <w:sz w:val="26"/>
          <w:szCs w:val="26"/>
        </w:rPr>
        <w:t>ebt</w:t>
      </w:r>
      <w:r w:rsidR="001D3A4A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 on general government sector</w:t>
      </w:r>
      <w:r w:rsidR="00064A5C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8615B9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by </w:t>
      </w:r>
      <w:r w:rsidR="00D86AB4" w:rsidRPr="006916F9">
        <w:rPr>
          <w:rFonts w:asciiTheme="majorBidi" w:hAnsiTheme="majorBidi" w:cstheme="majorBidi"/>
          <w:b/>
          <w:iCs/>
          <w:sz w:val="26"/>
          <w:szCs w:val="26"/>
        </w:rPr>
        <w:t>2</w:t>
      </w:r>
      <w:r w:rsidR="008615B9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%, </w:t>
      </w:r>
      <w:r w:rsidR="0007197F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to reach </w:t>
      </w:r>
      <w:r w:rsidR="00041F63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about </w:t>
      </w:r>
      <w:r w:rsidR="003E3D66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USD </w:t>
      </w:r>
      <w:r w:rsidR="000148EC" w:rsidRPr="006916F9">
        <w:rPr>
          <w:rFonts w:asciiTheme="majorBidi" w:hAnsiTheme="majorBidi" w:cstheme="majorBidi" w:hint="cs"/>
          <w:bCs/>
          <w:i/>
          <w:sz w:val="26"/>
          <w:szCs w:val="26"/>
          <w:rtl/>
        </w:rPr>
        <w:t>1.</w:t>
      </w:r>
      <w:r w:rsidR="00042E1B" w:rsidRPr="006916F9">
        <w:rPr>
          <w:rFonts w:asciiTheme="majorBidi" w:hAnsiTheme="majorBidi" w:cstheme="majorBidi" w:hint="cs"/>
          <w:bCs/>
          <w:i/>
          <w:sz w:val="26"/>
          <w:szCs w:val="26"/>
          <w:rtl/>
        </w:rPr>
        <w:t>3</w:t>
      </w:r>
      <w:r w:rsidR="00D13DDD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041F63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billion at the end of the </w:t>
      </w:r>
      <w:r w:rsidR="00042E1B" w:rsidRPr="006916F9">
        <w:rPr>
          <w:rFonts w:asciiTheme="majorBidi" w:hAnsiTheme="majorBidi" w:cstheme="majorBidi"/>
          <w:b/>
          <w:iCs/>
          <w:sz w:val="26"/>
          <w:szCs w:val="26"/>
        </w:rPr>
        <w:t>fourth</w:t>
      </w:r>
      <w:r w:rsidR="00041F63" w:rsidRPr="006916F9">
        <w:rPr>
          <w:rFonts w:asciiTheme="majorBidi" w:hAnsiTheme="majorBidi" w:cstheme="majorBidi"/>
          <w:b/>
          <w:iCs/>
          <w:sz w:val="26"/>
          <w:szCs w:val="26"/>
        </w:rPr>
        <w:t xml:space="preserve"> quarter 20</w:t>
      </w:r>
      <w:r w:rsidR="00741D4C" w:rsidRPr="006916F9">
        <w:rPr>
          <w:rFonts w:asciiTheme="majorBidi" w:hAnsiTheme="majorBidi" w:cstheme="majorBidi"/>
          <w:b/>
          <w:iCs/>
          <w:sz w:val="26"/>
          <w:szCs w:val="26"/>
        </w:rPr>
        <w:t>2</w:t>
      </w:r>
      <w:r w:rsidR="00160716" w:rsidRPr="006916F9">
        <w:rPr>
          <w:rFonts w:asciiTheme="majorBidi" w:hAnsiTheme="majorBidi" w:cstheme="majorBidi"/>
          <w:b/>
          <w:iCs/>
          <w:sz w:val="26"/>
          <w:szCs w:val="26"/>
        </w:rPr>
        <w:t>2</w:t>
      </w:r>
    </w:p>
    <w:p w:rsidR="00DB5004" w:rsidRPr="006916F9" w:rsidRDefault="00DB5004" w:rsidP="006916F9">
      <w:pPr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  <w:rtl/>
        </w:rPr>
      </w:pP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Gross External Debt</w:t>
      </w:r>
      <w:r w:rsidR="001D3A4A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Stock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1D3A4A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on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 Palestinian </w:t>
      </w:r>
      <w:r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econom</w:t>
      </w:r>
      <w:r w:rsidR="00F33016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ic sectors </w:t>
      </w:r>
      <w:r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reached USD </w:t>
      </w:r>
      <w:r w:rsidR="001336A8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042E1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191</w:t>
      </w:r>
      <w:r w:rsidR="00D13DDD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million</w:t>
      </w:r>
      <w:r w:rsidR="002E060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042E1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de</w:t>
      </w:r>
      <w:r w:rsidR="002E060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creased by </w:t>
      </w:r>
      <w:r w:rsidR="00042E1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2E060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compared with </w:t>
      </w:r>
      <w:r w:rsidR="00C56B7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="002E060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previous quarter</w:t>
      </w:r>
      <w:r w:rsidR="003C16F6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On the other hand, the government’s external debt increased by 2% to reach</w:t>
      </w:r>
      <w:r w:rsidR="000F23F0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about</w:t>
      </w:r>
      <w:r w:rsidR="003C16F6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$1.3 billion at the end of the fourth quarter of 2022</w:t>
      </w:r>
      <w:r w:rsidR="00705853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. </w:t>
      </w:r>
      <w:r w:rsidR="000F23F0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3C16F6" w:rsidRPr="000107EA">
        <w:rPr>
          <w:rStyle w:val="hps"/>
          <w:rFonts w:asciiTheme="majorBidi" w:hAnsiTheme="majorBidi" w:cstheme="majorBidi"/>
          <w:b w:val="0"/>
          <w:i w:val="0"/>
          <w:sz w:val="26"/>
          <w:szCs w:val="26"/>
        </w:rPr>
        <w:t xml:space="preserve">The Stock of external debt has been distributed between debt </w:t>
      </w:r>
      <w:r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on </w:t>
      </w:r>
      <w:r w:rsidR="00C56B7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</w:t>
      </w:r>
      <w:r w:rsidR="001D3A4A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general</w:t>
      </w:r>
      <w:r w:rsidR="00C56B7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 sector represented</w:t>
      </w:r>
      <w:r w:rsidR="00D13DDD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D86AB4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5</w:t>
      </w:r>
      <w:r w:rsidR="00042E1B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9</w:t>
      </w:r>
      <w:r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while debt on </w:t>
      </w:r>
      <w:r w:rsidR="00BB2CD8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banking</w:t>
      </w:r>
      <w:r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sector</w:t>
      </w:r>
      <w:r w:rsidR="00CA3846" w:rsidRPr="000107EA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(deposits of non-residents in </w:t>
      </w:r>
      <w:r w:rsidR="00CA3846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banks operating in Palestine)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reached </w:t>
      </w:r>
      <w:r w:rsidR="00042E1B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34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%, debt on other sectors (</w:t>
      </w:r>
      <w:r w:rsidR="00B902AB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n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on</w:t>
      </w:r>
      <w:r w:rsidR="00D13DDD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-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bank</w:t>
      </w:r>
      <w:r w:rsidR="00F87856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ing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financial </w:t>
      </w:r>
      <w:r w:rsidR="00F87856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institutions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non-financial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corporations, NGOs</w:t>
      </w:r>
      <w:r w:rsidR="00C56B7B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household sector) amounted to</w:t>
      </w:r>
      <w:r w:rsidR="00D13DDD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96138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5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%,</w:t>
      </w:r>
      <w:r w:rsidR="009D1202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8C3935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and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lending between affiliated companies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reached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96138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%.</w:t>
      </w:r>
    </w:p>
    <w:p w:rsidR="00DB5004" w:rsidRPr="006916F9" w:rsidRDefault="00DB5004" w:rsidP="006916F9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91760B" w:rsidRDefault="00DB5004" w:rsidP="0091760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International Investment Position</w:t>
      </w:r>
      <w:r w:rsidR="00C23EB0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(IIP) is </w:t>
      </w:r>
      <w:r w:rsidR="009D1202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 statistical record </w:t>
      </w:r>
      <w:r w:rsidR="005B0FBB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</w:t>
      </w:r>
      <w:r w:rsidR="009D1202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investments stocks for the residents in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Palestine (individuals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institutions</w:t>
      </w:r>
      <w:r w:rsidR="005B0FB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government)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invested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the rest of the world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(abroad)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under the name of</w:t>
      </w:r>
      <w:r w:rsidR="00C23EB0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(assets)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compare</w:t>
      </w:r>
      <w:r w:rsidR="009D1202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d with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investments stocks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owned by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residents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outside Palestine (individuals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institutions</w:t>
      </w:r>
      <w:r w:rsidR="005B0FBB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government)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invested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Palestine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under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name of (liabilities).</w:t>
      </w:r>
    </w:p>
    <w:p w:rsidR="0091760B" w:rsidRPr="0091760B" w:rsidRDefault="0091760B" w:rsidP="0091760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6916F9" w:rsidRDefault="00DB5004" w:rsidP="0091760B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t>The Balance of Payments Manual - fifth edition, issued by the International Monetary Fund in 1993, divides the assets and liabilities into direct investment (investment by 10% and more in the non-resident capital)</w:t>
      </w:r>
      <w:r w:rsidR="004A5A58"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t>. P</w:t>
      </w: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t>ortfolio investment (investment less than 10% in the non-resident capital as well as investment in bonds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), and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other investments</w:t>
      </w:r>
      <w:r w:rsidR="009D1202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(includes </w:t>
      </w: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stocks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 trade credit</w:t>
      </w: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loans, currency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deposits</w:t>
      </w:r>
      <w:r w:rsidR="005B0FBB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any</w:t>
      </w: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other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assets or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liabilities</w:t>
      </w: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)</w:t>
      </w:r>
      <w:r w:rsidR="009D1202"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.</w:t>
      </w: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A5A58"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</w:t>
      </w: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n addition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to the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Reserve Assets</w:t>
      </w:r>
      <w:r w:rsidRPr="006916F9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i.e.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Stocks</w:t>
      </w:r>
      <w:r w:rsidR="00C23EB0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held by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Central </w:t>
      </w:r>
      <w:r w:rsidR="00DC1F91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B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anks/ Monetary Authorities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to address the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imbalances</w:t>
      </w:r>
      <w:r w:rsidR="00B51A43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the balance of</w:t>
      </w:r>
      <w:r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payments</w:t>
      </w:r>
      <w:r w:rsidR="004A5A58" w:rsidRPr="006916F9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. I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 is worth mentioning that the reserve assets are only included </w:t>
      </w:r>
      <w:r w:rsidR="00F87856"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on</w:t>
      </w:r>
      <w:r w:rsidRPr="006916F9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 asset side. </w:t>
      </w:r>
    </w:p>
    <w:p w:rsidR="0091760B" w:rsidRDefault="0091760B" w:rsidP="006916F9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 w:val="26"/>
          <w:szCs w:val="26"/>
        </w:rPr>
      </w:pPr>
    </w:p>
    <w:p w:rsidR="0091760B" w:rsidRPr="0091760B" w:rsidRDefault="0091760B" w:rsidP="0091760B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 w:val="18"/>
          <w:szCs w:val="18"/>
        </w:rPr>
      </w:pPr>
    </w:p>
    <w:p w:rsidR="007B2BD6" w:rsidRDefault="007B2BD6" w:rsidP="0091760B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 w:val="26"/>
          <w:szCs w:val="26"/>
        </w:rPr>
      </w:pPr>
    </w:p>
    <w:p w:rsidR="00DB5004" w:rsidRPr="006916F9" w:rsidRDefault="00DB5004" w:rsidP="007B2BD6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6916F9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The External Debt is </w:t>
      </w:r>
      <w:r w:rsidR="004A5A58" w:rsidRPr="006916F9">
        <w:rPr>
          <w:rStyle w:val="hps"/>
          <w:rFonts w:asciiTheme="majorBidi" w:hAnsiTheme="majorBidi" w:cstheme="majorBidi"/>
          <w:sz w:val="26"/>
          <w:szCs w:val="26"/>
        </w:rPr>
        <w:t>a statistical record</w:t>
      </w:r>
      <w:r w:rsidR="004A5A58" w:rsidRPr="006916F9">
        <w:rPr>
          <w:rStyle w:val="hps"/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5B0FBB" w:rsidRPr="006916F9">
        <w:rPr>
          <w:rStyle w:val="hps"/>
          <w:rFonts w:asciiTheme="majorBidi" w:hAnsiTheme="majorBidi" w:cstheme="majorBidi"/>
          <w:sz w:val="26"/>
          <w:szCs w:val="26"/>
        </w:rPr>
        <w:t>of</w:t>
      </w:r>
      <w:r w:rsidR="004A5A58" w:rsidRPr="006916F9">
        <w:rPr>
          <w:rStyle w:val="hps"/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>the debt stocks on Palestinian economic sectors due to non-residents.</w:t>
      </w:r>
      <w:r w:rsidR="00B51A43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 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These include (loans from non-residents, </w:t>
      </w:r>
      <w:r w:rsidR="00DC1F91" w:rsidRPr="006916F9">
        <w:rPr>
          <w:rFonts w:asciiTheme="majorBidi" w:hAnsiTheme="majorBidi" w:cstheme="majorBidi"/>
          <w:bCs/>
          <w:iCs/>
          <w:sz w:val="26"/>
          <w:szCs w:val="26"/>
        </w:rPr>
        <w:t>deposit</w:t>
      </w:r>
      <w:r w:rsidR="00260883" w:rsidRPr="006916F9">
        <w:rPr>
          <w:rFonts w:asciiTheme="majorBidi" w:hAnsiTheme="majorBidi" w:cstheme="majorBidi"/>
          <w:bCs/>
          <w:iCs/>
          <w:sz w:val="26"/>
          <w:szCs w:val="26"/>
        </w:rPr>
        <w:t>s</w:t>
      </w:r>
      <w:r w:rsidR="00DC1F91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 of</w:t>
      </w:r>
      <w:r w:rsidR="00B51A43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non-residents deposited in the banks </w:t>
      </w:r>
      <w:r w:rsidR="00BB2CD8" w:rsidRPr="006916F9">
        <w:rPr>
          <w:rFonts w:asciiTheme="majorBidi" w:hAnsiTheme="majorBidi" w:cstheme="majorBidi"/>
          <w:bCs/>
          <w:iCs/>
          <w:sz w:val="26"/>
          <w:szCs w:val="26"/>
        </w:rPr>
        <w:t>operating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 in Palestine, the Palestinian bonds purchased by non-residents, </w:t>
      </w:r>
      <w:r w:rsidR="005B0FBB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and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debt transactions between the non-resident enterprises and fellow enterprises in Palestine. They encompass as well any other liabilities </w:t>
      </w:r>
      <w:r w:rsidR="00F87856" w:rsidRPr="006916F9">
        <w:rPr>
          <w:rFonts w:asciiTheme="majorBidi" w:hAnsiTheme="majorBidi" w:cstheme="majorBidi"/>
          <w:bCs/>
          <w:iCs/>
          <w:sz w:val="26"/>
          <w:szCs w:val="26"/>
        </w:rPr>
        <w:t>in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5B0FBB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Palestinian economy) the data of external debt have been extracted from the liabilities side in the international investment position matrix (debt items). </w:t>
      </w:r>
      <w:r w:rsidR="004A5A58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Compiling and disseminating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>the data based on (</w:t>
      </w:r>
      <w:r w:rsidR="005B0FBB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External Debt Statistics Manual) issued by IMF in 2003, </w:t>
      </w:r>
      <w:r w:rsidR="004A5A58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which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is harmonized with </w:t>
      </w:r>
      <w:r w:rsidR="00E85A96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="00AF576D" w:rsidRPr="006916F9">
        <w:rPr>
          <w:rFonts w:asciiTheme="majorBidi" w:hAnsiTheme="majorBidi" w:cstheme="majorBidi"/>
          <w:bCs/>
          <w:iCs/>
          <w:sz w:val="26"/>
          <w:szCs w:val="26"/>
        </w:rPr>
        <w:t>fifth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 edition of </w:t>
      </w:r>
      <w:r w:rsidR="005B0FBB" w:rsidRPr="006916F9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6916F9">
        <w:rPr>
          <w:rFonts w:asciiTheme="majorBidi" w:hAnsiTheme="majorBidi" w:cstheme="majorBidi"/>
          <w:bCs/>
          <w:iCs/>
          <w:sz w:val="26"/>
          <w:szCs w:val="26"/>
        </w:rPr>
        <w:t>Balance of Payments Manual</w:t>
      </w:r>
      <w:r w:rsidR="00E85A96" w:rsidRPr="006916F9">
        <w:rPr>
          <w:rFonts w:asciiTheme="majorBidi" w:hAnsiTheme="majorBidi" w:cstheme="majorBidi"/>
          <w:bCs/>
          <w:iCs/>
          <w:sz w:val="26"/>
          <w:szCs w:val="26"/>
        </w:rPr>
        <w:t>.</w:t>
      </w:r>
    </w:p>
    <w:p w:rsidR="0091760B" w:rsidRPr="0091760B" w:rsidRDefault="0091760B" w:rsidP="0091760B">
      <w:pPr>
        <w:tabs>
          <w:tab w:val="left" w:pos="975"/>
        </w:tabs>
        <w:contextualSpacing/>
        <w:rPr>
          <w:rFonts w:asciiTheme="majorBidi" w:hAnsiTheme="majorBidi" w:cstheme="majorBidi"/>
          <w:i w:val="0"/>
          <w:iCs/>
          <w:sz w:val="16"/>
          <w:szCs w:val="16"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ab/>
      </w:r>
    </w:p>
    <w:p w:rsidR="00DB5004" w:rsidRPr="0091760B" w:rsidRDefault="00DB5004" w:rsidP="006916F9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Table 1: International Investment Position (IIP) </w:t>
      </w:r>
      <w:r w:rsidR="006D61E4"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Stock </w:t>
      </w:r>
      <w:r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by Economic Sectors </w:t>
      </w:r>
      <w:r w:rsidR="006D61E4"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for </w:t>
      </w:r>
      <w:r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Palestine, at the </w:t>
      </w:r>
      <w:r w:rsidR="00112F30" w:rsidRPr="0091760B">
        <w:rPr>
          <w:rFonts w:asciiTheme="majorBidi" w:hAnsiTheme="majorBidi" w:cstheme="majorBidi"/>
          <w:i w:val="0"/>
          <w:iCs/>
          <w:sz w:val="28"/>
          <w:szCs w:val="28"/>
        </w:rPr>
        <w:t>e</w:t>
      </w:r>
      <w:r w:rsidR="006D61E4"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nd </w:t>
      </w:r>
      <w:r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042E1B" w:rsidRPr="0091760B">
        <w:rPr>
          <w:rFonts w:asciiTheme="majorBidi" w:hAnsiTheme="majorBidi" w:cstheme="majorBidi"/>
          <w:i w:val="0"/>
          <w:iCs/>
          <w:sz w:val="28"/>
          <w:szCs w:val="28"/>
        </w:rPr>
        <w:t>Fourth</w:t>
      </w:r>
      <w:r w:rsidR="00CB0325"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91760B">
        <w:rPr>
          <w:rFonts w:asciiTheme="majorBidi" w:hAnsiTheme="majorBidi" w:cstheme="majorBidi"/>
          <w:i w:val="0"/>
          <w:iCs/>
          <w:sz w:val="28"/>
          <w:szCs w:val="28"/>
        </w:rPr>
        <w:t>Quarter</w:t>
      </w:r>
      <w:r w:rsidR="00E85A96" w:rsidRPr="0091760B">
        <w:rPr>
          <w:rFonts w:asciiTheme="majorBidi" w:hAnsiTheme="majorBidi" w:cstheme="majorBidi"/>
          <w:i w:val="0"/>
          <w:iCs/>
          <w:sz w:val="28"/>
          <w:szCs w:val="28"/>
        </w:rPr>
        <w:t>,</w:t>
      </w:r>
      <w:r w:rsidR="00CB0325" w:rsidRPr="0091760B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91760B">
        <w:rPr>
          <w:rFonts w:asciiTheme="majorBidi" w:hAnsiTheme="majorBidi" w:cstheme="majorBidi"/>
          <w:i w:val="0"/>
          <w:iCs/>
          <w:sz w:val="28"/>
          <w:szCs w:val="28"/>
        </w:rPr>
        <w:t>20</w:t>
      </w:r>
      <w:r w:rsidR="00C50347" w:rsidRPr="0091760B">
        <w:rPr>
          <w:rFonts w:asciiTheme="majorBidi" w:hAnsiTheme="majorBidi" w:cstheme="majorBidi"/>
          <w:i w:val="0"/>
          <w:iCs/>
          <w:sz w:val="28"/>
          <w:szCs w:val="28"/>
        </w:rPr>
        <w:t>2</w:t>
      </w:r>
      <w:r w:rsidR="00160716" w:rsidRPr="0091760B">
        <w:rPr>
          <w:rFonts w:asciiTheme="majorBidi" w:hAnsiTheme="majorBidi" w:cstheme="majorBidi"/>
          <w:i w:val="0"/>
          <w:iCs/>
          <w:sz w:val="28"/>
          <w:szCs w:val="28"/>
        </w:rPr>
        <w:t>2</w:t>
      </w:r>
    </w:p>
    <w:p w:rsidR="00DB5004" w:rsidRPr="0091760B" w:rsidRDefault="00DB5004" w:rsidP="006916F9">
      <w:pPr>
        <w:contextualSpacing/>
        <w:jc w:val="center"/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DB5004" w:rsidRPr="006916F9" w:rsidRDefault="00B51A43" w:rsidP="006916F9">
      <w:pPr>
        <w:ind w:left="-851" w:right="3631" w:hanging="142"/>
        <w:contextualSpacing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6916F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  </w:t>
      </w:r>
      <w:r w:rsidR="00E75BBB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    </w:t>
      </w:r>
      <w:r w:rsidR="00DB5004" w:rsidRPr="006916F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Value in million USD</w:t>
      </w:r>
    </w:p>
    <w:tbl>
      <w:tblPr>
        <w:bidiVisual/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6"/>
        <w:gridCol w:w="1700"/>
        <w:gridCol w:w="997"/>
        <w:gridCol w:w="1558"/>
        <w:gridCol w:w="1419"/>
        <w:gridCol w:w="3108"/>
      </w:tblGrid>
      <w:tr w:rsidR="006916F9" w:rsidRPr="006916F9" w:rsidTr="006916F9">
        <w:trPr>
          <w:trHeight w:val="284"/>
          <w:jc w:val="center"/>
        </w:trPr>
        <w:tc>
          <w:tcPr>
            <w:tcW w:w="513" w:type="pct"/>
            <w:vMerge w:val="restart"/>
            <w:vAlign w:val="center"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TOTAL</w:t>
            </w:r>
          </w:p>
        </w:tc>
        <w:tc>
          <w:tcPr>
            <w:tcW w:w="1283" w:type="pct"/>
            <w:gridSpan w:val="2"/>
            <w:vAlign w:val="center"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  <w:tc>
          <w:tcPr>
            <w:tcW w:w="451" w:type="pct"/>
            <w:vMerge w:val="restart"/>
            <w:vAlign w:val="center"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Banks Sector</w:t>
            </w:r>
          </w:p>
        </w:tc>
        <w:tc>
          <w:tcPr>
            <w:tcW w:w="705" w:type="pct"/>
            <w:vMerge w:val="restart"/>
            <w:vAlign w:val="center"/>
          </w:tcPr>
          <w:p w:rsidR="00DB5004" w:rsidRPr="006916F9" w:rsidRDefault="001D3A4A" w:rsidP="006916F9">
            <w:pPr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 xml:space="preserve">General </w:t>
            </w:r>
            <w:r w:rsidR="00DB5004" w:rsidRPr="006916F9">
              <w:rPr>
                <w:rFonts w:asciiTheme="majorBidi" w:hAnsiTheme="majorBidi" w:cstheme="majorBidi"/>
                <w:i w:val="0"/>
                <w:iCs/>
              </w:rPr>
              <w:t>Government Sector</w:t>
            </w:r>
          </w:p>
        </w:tc>
        <w:tc>
          <w:tcPr>
            <w:tcW w:w="642" w:type="pct"/>
            <w:vMerge w:val="restart"/>
            <w:vAlign w:val="center"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Monetary Authorities (PMA)</w:t>
            </w:r>
          </w:p>
        </w:tc>
        <w:tc>
          <w:tcPr>
            <w:tcW w:w="1406" w:type="pct"/>
            <w:vMerge w:val="restart"/>
          </w:tcPr>
          <w:p w:rsidR="006916F9" w:rsidRDefault="006916F9" w:rsidP="006916F9">
            <w:pPr>
              <w:ind w:left="720"/>
              <w:rPr>
                <w:rFonts w:asciiTheme="majorBidi" w:hAnsiTheme="majorBidi" w:cstheme="majorBidi"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6985</wp:posOffset>
                      </wp:positionV>
                      <wp:extent cx="1952625" cy="156210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156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2F9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4.95pt;margin-top:.55pt;width:153.7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H2IwIAAEEEAAAOAAAAZHJzL2Uyb0RvYy54bWysU9uO2jAQfa/Uf7D8DrksU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"/>
                  </w:pict>
                </mc:Fallback>
              </mc:AlternateContent>
            </w:r>
            <w:r w:rsidR="004B6F4B" w:rsidRPr="006916F9">
              <w:rPr>
                <w:rFonts w:asciiTheme="majorBidi" w:hAnsiTheme="majorBidi" w:cstheme="majorBidi"/>
                <w:i w:val="0"/>
                <w:iCs/>
              </w:rPr>
              <w:t xml:space="preserve">    </w:t>
            </w:r>
          </w:p>
          <w:p w:rsidR="00DB5004" w:rsidRPr="006916F9" w:rsidRDefault="006916F9" w:rsidP="006916F9">
            <w:pPr>
              <w:ind w:left="720"/>
              <w:rPr>
                <w:rFonts w:asciiTheme="majorBidi" w:hAnsiTheme="majorBidi" w:cstheme="majorBidi"/>
                <w:i w:val="0"/>
                <w:iCs/>
              </w:rPr>
            </w:pPr>
            <w:r>
              <w:rPr>
                <w:rFonts w:asciiTheme="majorBidi" w:hAnsiTheme="majorBidi" w:cstheme="majorBidi"/>
                <w:i w:val="0"/>
                <w:iCs/>
              </w:rPr>
              <w:t xml:space="preserve">      </w:t>
            </w:r>
            <w:r w:rsidR="00DB5004" w:rsidRPr="006916F9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  <w:p w:rsidR="00DB5004" w:rsidRPr="006916F9" w:rsidRDefault="00DB5004" w:rsidP="006916F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6916F9" w:rsidRDefault="00DB5004" w:rsidP="006916F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6916F9" w:rsidRDefault="00DB5004" w:rsidP="006916F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6916F9" w:rsidRDefault="00DB5004" w:rsidP="006916F9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6916F9" w:rsidRDefault="00DB5004" w:rsidP="006916F9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DB5004" w:rsidRPr="006916F9" w:rsidRDefault="00DB5004" w:rsidP="006916F9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Investments Stocks by</w:t>
            </w:r>
          </w:p>
          <w:p w:rsidR="00DB5004" w:rsidRPr="006916F9" w:rsidRDefault="00DB5004" w:rsidP="006916F9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Type of Investment</w:t>
            </w:r>
          </w:p>
        </w:tc>
      </w:tr>
      <w:tr w:rsidR="006916F9" w:rsidRPr="006916F9" w:rsidTr="0091760B">
        <w:trPr>
          <w:trHeight w:val="2184"/>
          <w:jc w:val="center"/>
        </w:trPr>
        <w:tc>
          <w:tcPr>
            <w:tcW w:w="513" w:type="pct"/>
            <w:vMerge/>
            <w:vAlign w:val="center"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514" w:type="pct"/>
            <w:vAlign w:val="center"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House- Holds Sector</w:t>
            </w:r>
          </w:p>
        </w:tc>
        <w:tc>
          <w:tcPr>
            <w:tcW w:w="769" w:type="pct"/>
            <w:vAlign w:val="center"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Non</w:t>
            </w:r>
            <w:r w:rsidR="00D13DDD" w:rsidRPr="006916F9">
              <w:rPr>
                <w:rFonts w:asciiTheme="majorBidi" w:hAnsiTheme="majorBidi" w:cstheme="majorBidi"/>
                <w:i w:val="0"/>
                <w:iCs/>
              </w:rPr>
              <w:t>-</w:t>
            </w:r>
            <w:r w:rsidRPr="006916F9">
              <w:rPr>
                <w:rFonts w:asciiTheme="majorBidi" w:hAnsiTheme="majorBidi" w:cstheme="majorBidi"/>
                <w:i w:val="0"/>
                <w:iCs/>
              </w:rPr>
              <w:t>bank Financial Corporations, Non-Financial Corporations, and NGOs Sector</w:t>
            </w:r>
          </w:p>
        </w:tc>
        <w:tc>
          <w:tcPr>
            <w:tcW w:w="451" w:type="pct"/>
            <w:vMerge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705" w:type="pct"/>
            <w:vMerge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42" w:type="pct"/>
            <w:vMerge/>
            <w:vAlign w:val="center"/>
          </w:tcPr>
          <w:p w:rsidR="00DB5004" w:rsidRPr="006916F9" w:rsidRDefault="00DB5004" w:rsidP="006916F9">
            <w:pPr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1406" w:type="pct"/>
            <w:vMerge/>
          </w:tcPr>
          <w:p w:rsidR="00DB5004" w:rsidRPr="006916F9" w:rsidRDefault="00DB5004" w:rsidP="006916F9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3,361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1,019-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708-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4,521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698-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1,265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>International Investment Position (net)*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9,461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59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850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6,683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604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1,265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 xml:space="preserve">Total External Assets 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318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25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293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Foreign Direct Investment Abroad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1,609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500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959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150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Portfolio Investments Abroad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6,637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34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57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5,724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604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218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Other Investments Abroad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5,945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34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5,691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218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</w:rPr>
              <w:t xml:space="preserve">      Of which: currency and deposits**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897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897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Reserve Assets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6,100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1,078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1,558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2,162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1,302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916F9">
              <w:rPr>
                <w:rFonts w:asciiTheme="majorBidi" w:hAnsiTheme="majorBidi" w:cstheme="majorBidi"/>
                <w:i w:val="0"/>
                <w:iCs/>
              </w:rPr>
              <w:t xml:space="preserve">Total Foreign Liabilities 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3,116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1,078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891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1,147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Foreign Direct Investment in Palestine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834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563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271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Foreign Portfolio Investments in Palestine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2,150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104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744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1,302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Foreign Other Investments in Palestine: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1,504</w:t>
            </w:r>
          </w:p>
        </w:tc>
        <w:tc>
          <w:tcPr>
            <w:tcW w:w="514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69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104</w:t>
            </w:r>
          </w:p>
        </w:tc>
        <w:tc>
          <w:tcPr>
            <w:tcW w:w="451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98</w:t>
            </w:r>
          </w:p>
        </w:tc>
        <w:tc>
          <w:tcPr>
            <w:tcW w:w="705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1,302</w:t>
            </w:r>
          </w:p>
        </w:tc>
        <w:tc>
          <w:tcPr>
            <w:tcW w:w="642" w:type="pct"/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6" w:type="pct"/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</w:rPr>
              <w:t xml:space="preserve">      Of which: loans from abroad</w:t>
            </w:r>
          </w:p>
        </w:tc>
      </w:tr>
      <w:tr w:rsidR="006916F9" w:rsidRPr="006916F9" w:rsidTr="006916F9">
        <w:trPr>
          <w:trHeight w:val="284"/>
          <w:jc w:val="center"/>
        </w:trPr>
        <w:tc>
          <w:tcPr>
            <w:tcW w:w="513" w:type="pct"/>
            <w:tcBorders>
              <w:bottom w:val="single" w:sz="4" w:space="0" w:color="auto"/>
            </w:tcBorders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646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646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bottom"/>
          </w:tcPr>
          <w:p w:rsidR="00042E1B" w:rsidRPr="006916F9" w:rsidRDefault="00042E1B" w:rsidP="006916F9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:rsidR="00042E1B" w:rsidRPr="006916F9" w:rsidRDefault="00042E1B" w:rsidP="006916F9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6916F9">
              <w:rPr>
                <w:rFonts w:asciiTheme="majorBidi" w:hAnsiTheme="majorBidi" w:cstheme="majorBidi"/>
                <w:b w:val="0"/>
                <w:bCs/>
              </w:rPr>
              <w:t xml:space="preserve">      Of which: currency and deposits***</w:t>
            </w:r>
          </w:p>
        </w:tc>
      </w:tr>
    </w:tbl>
    <w:p w:rsidR="00DB5004" w:rsidRPr="0091760B" w:rsidRDefault="00DB5004" w:rsidP="0091760B">
      <w:pPr>
        <w:contextualSpacing/>
        <w:rPr>
          <w:rFonts w:ascii="Arial" w:hAnsi="Arial"/>
          <w:i w:val="0"/>
          <w:iCs/>
          <w:sz w:val="14"/>
          <w:szCs w:val="14"/>
        </w:rPr>
      </w:pPr>
    </w:p>
    <w:p w:rsidR="00DB5004" w:rsidRPr="0091760B" w:rsidRDefault="00DB5004" w:rsidP="007B2BD6">
      <w:pPr>
        <w:spacing w:after="120"/>
        <w:ind w:left="-284" w:right="142"/>
        <w:rPr>
          <w:rFonts w:asciiTheme="majorBidi" w:hAnsiTheme="majorBidi" w:cstheme="majorBidi"/>
          <w:b w:val="0"/>
          <w:bCs/>
          <w:i w:val="0"/>
          <w:iCs/>
          <w:sz w:val="21"/>
          <w:szCs w:val="21"/>
        </w:rPr>
      </w:pPr>
      <w:r w:rsidRPr="0091760B">
        <w:rPr>
          <w:rFonts w:asciiTheme="majorBidi" w:hAnsiTheme="majorBidi" w:cstheme="majorBidi"/>
          <w:i w:val="0"/>
          <w:iCs/>
          <w:sz w:val="21"/>
          <w:szCs w:val="21"/>
        </w:rPr>
        <w:t>Notes</w:t>
      </w:r>
      <w:r w:rsidRPr="0091760B">
        <w:rPr>
          <w:rFonts w:asciiTheme="majorBidi" w:hAnsiTheme="majorBidi" w:cstheme="majorBidi"/>
          <w:b w:val="0"/>
          <w:bCs/>
          <w:i w:val="0"/>
          <w:iCs/>
          <w:sz w:val="21"/>
          <w:szCs w:val="21"/>
        </w:rPr>
        <w:t xml:space="preserve">: </w:t>
      </w:r>
    </w:p>
    <w:p w:rsidR="00DB5004" w:rsidRPr="007B2BD6" w:rsidRDefault="00DB5004" w:rsidP="007B2BD6">
      <w:pPr>
        <w:pStyle w:val="ListParagraph"/>
        <w:spacing w:after="120"/>
        <w:ind w:left="-284" w:right="142"/>
        <w:jc w:val="both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91760B">
        <w:rPr>
          <w:rFonts w:asciiTheme="majorBidi" w:hAnsiTheme="majorBidi" w:cstheme="majorBidi"/>
          <w:b w:val="0"/>
          <w:bCs/>
          <w:i w:val="0"/>
          <w:iCs/>
          <w:sz w:val="21"/>
          <w:szCs w:val="21"/>
        </w:rPr>
        <w:t xml:space="preserve">- </w:t>
      </w:r>
      <w:r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The data in the above table are close to the nearest integer.</w:t>
      </w:r>
    </w:p>
    <w:p w:rsidR="00DB5004" w:rsidRPr="007B2BD6" w:rsidRDefault="00DB5004" w:rsidP="007B2BD6">
      <w:pPr>
        <w:pStyle w:val="ListParagraph"/>
        <w:ind w:left="-284" w:right="142"/>
        <w:jc w:val="both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- The data does not include the value of land owned by non-residents.</w:t>
      </w:r>
    </w:p>
    <w:p w:rsidR="00DB5004" w:rsidRPr="007B2BD6" w:rsidRDefault="00DB5004" w:rsidP="007B2BD6">
      <w:pPr>
        <w:ind w:left="-284" w:right="142"/>
        <w:jc w:val="both"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  <w:r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 International investment position (net): equals total external assets minus total foreign liabilities.</w:t>
      </w:r>
    </w:p>
    <w:p w:rsidR="007B2BD6" w:rsidRPr="007B2BD6" w:rsidRDefault="00DB5004" w:rsidP="007B2BD6">
      <w:pPr>
        <w:ind w:left="-284" w:right="-45"/>
        <w:jc w:val="both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** Currency and deposits: Includ</w:t>
      </w:r>
      <w:r w:rsidR="00840C31"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e</w:t>
      </w:r>
      <w:r w:rsidR="004B6F4B"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</w:t>
      </w:r>
      <w:r w:rsidR="00112F30"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the </w:t>
      </w:r>
      <w:r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residents deposits in banks abroad, in addition to foreign </w:t>
      </w:r>
      <w:r w:rsidR="00AF576D"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exchange</w:t>
      </w:r>
      <w:r w:rsidR="00112F30"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in Palestinian </w:t>
      </w:r>
      <w:r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economy.</w:t>
      </w:r>
    </w:p>
    <w:p w:rsidR="00DB5004" w:rsidRPr="007B2BD6" w:rsidRDefault="00DB5004" w:rsidP="007B2BD6">
      <w:pPr>
        <w:ind w:left="-284" w:right="-45"/>
        <w:jc w:val="both"/>
        <w:rPr>
          <w:rFonts w:asciiTheme="majorBidi" w:hAnsiTheme="majorBidi" w:cstheme="majorBidi"/>
          <w:b w:val="0"/>
          <w:bCs/>
          <w:i w:val="0"/>
          <w:iCs/>
          <w:sz w:val="21"/>
          <w:szCs w:val="21"/>
        </w:rPr>
      </w:pPr>
      <w:r w:rsidRPr="007B2BD6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*** Currency and deposits: Include the deposits of non-residents deposited in resident banks.</w:t>
      </w:r>
      <w:r w:rsidRPr="00F149B2">
        <w:rPr>
          <w:rFonts w:asciiTheme="majorBidi" w:hAnsiTheme="majorBidi" w:cstheme="majorBidi"/>
          <w:bCs/>
          <w:iCs/>
        </w:rPr>
        <w:br w:type="page"/>
      </w:r>
    </w:p>
    <w:p w:rsidR="0091760B" w:rsidRDefault="0091760B" w:rsidP="006916F9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91760B" w:rsidRDefault="0091760B" w:rsidP="006916F9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DB5004" w:rsidRPr="00E75BBB" w:rsidRDefault="00DB5004" w:rsidP="006916F9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E75BBB">
        <w:rPr>
          <w:rFonts w:asciiTheme="majorBidi" w:hAnsiTheme="majorBidi" w:cstheme="majorBidi"/>
          <w:i w:val="0"/>
          <w:iCs/>
          <w:sz w:val="28"/>
          <w:szCs w:val="28"/>
        </w:rPr>
        <w:t>Table 2: G</w:t>
      </w:r>
      <w:bookmarkStart w:id="0" w:name="_GoBack"/>
      <w:bookmarkEnd w:id="0"/>
      <w:r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ross External Debt </w:t>
      </w:r>
      <w:r w:rsidR="00B6004F" w:rsidRPr="00E75BBB">
        <w:rPr>
          <w:rFonts w:asciiTheme="majorBidi" w:hAnsiTheme="majorBidi" w:cstheme="majorBidi"/>
          <w:i w:val="0"/>
          <w:iCs/>
          <w:sz w:val="28"/>
          <w:szCs w:val="28"/>
        </w:rPr>
        <w:t>Position</w:t>
      </w:r>
      <w:r w:rsidR="001D3A4A"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 Stock</w:t>
      </w:r>
      <w:r w:rsidR="00B6004F"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on Palestine, at the </w:t>
      </w:r>
      <w:r w:rsidR="00B6004F"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End </w:t>
      </w:r>
      <w:r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</w:p>
    <w:p w:rsidR="00DB5004" w:rsidRPr="00E75BBB" w:rsidRDefault="00760EE6" w:rsidP="006916F9">
      <w:pPr>
        <w:ind w:left="1440" w:hanging="1440"/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E75BBB">
        <w:rPr>
          <w:rFonts w:asciiTheme="majorBidi" w:hAnsiTheme="majorBidi" w:cstheme="majorBidi"/>
          <w:i w:val="0"/>
          <w:iCs/>
          <w:sz w:val="28"/>
          <w:szCs w:val="28"/>
        </w:rPr>
        <w:t>Third</w:t>
      </w:r>
      <w:r w:rsidR="004B6F4B"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B92512" w:rsidRPr="00E75BBB">
        <w:rPr>
          <w:rFonts w:asciiTheme="majorBidi" w:hAnsiTheme="majorBidi" w:cstheme="majorBidi"/>
          <w:i w:val="0"/>
          <w:iCs/>
          <w:sz w:val="28"/>
          <w:szCs w:val="28"/>
        </w:rPr>
        <w:t>Quarter</w:t>
      </w:r>
      <w:r w:rsidR="00D34D3F" w:rsidRPr="00E75BBB">
        <w:rPr>
          <w:rFonts w:asciiTheme="majorBidi" w:hAnsiTheme="majorBidi" w:cstheme="majorBidi"/>
          <w:i w:val="0"/>
          <w:iCs/>
          <w:sz w:val="28"/>
          <w:szCs w:val="28"/>
        </w:rPr>
        <w:t>, 20</w:t>
      </w:r>
      <w:r w:rsidR="004968BA" w:rsidRPr="00E75BBB">
        <w:rPr>
          <w:rFonts w:asciiTheme="majorBidi" w:hAnsiTheme="majorBidi" w:cstheme="majorBidi"/>
          <w:i w:val="0"/>
          <w:iCs/>
          <w:sz w:val="28"/>
          <w:szCs w:val="28"/>
        </w:rPr>
        <w:t>2</w:t>
      </w:r>
      <w:r w:rsidR="00160716" w:rsidRPr="00E75BBB">
        <w:rPr>
          <w:rFonts w:asciiTheme="majorBidi" w:hAnsiTheme="majorBidi" w:cstheme="majorBidi"/>
          <w:i w:val="0"/>
          <w:iCs/>
          <w:sz w:val="28"/>
          <w:szCs w:val="28"/>
        </w:rPr>
        <w:t>2</w:t>
      </w:r>
      <w:r w:rsidR="00C50347"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 and </w:t>
      </w:r>
      <w:r w:rsidRPr="00E75BBB">
        <w:rPr>
          <w:rFonts w:asciiTheme="majorBidi" w:hAnsiTheme="majorBidi" w:cstheme="majorBidi"/>
          <w:i w:val="0"/>
          <w:iCs/>
          <w:sz w:val="28"/>
          <w:szCs w:val="28"/>
        </w:rPr>
        <w:t>Fourth</w:t>
      </w:r>
      <w:r w:rsidR="00C87C90" w:rsidRPr="00E75BBB">
        <w:rPr>
          <w:rFonts w:asciiTheme="majorBidi" w:hAnsiTheme="majorBidi" w:cstheme="majorBidi"/>
          <w:i w:val="0"/>
          <w:iCs/>
          <w:sz w:val="28"/>
          <w:szCs w:val="28"/>
        </w:rPr>
        <w:t xml:space="preserve"> Quarter</w:t>
      </w:r>
      <w:r w:rsidR="00C50347" w:rsidRPr="00E75BBB">
        <w:rPr>
          <w:rFonts w:asciiTheme="majorBidi" w:hAnsiTheme="majorBidi" w:cstheme="majorBidi"/>
          <w:i w:val="0"/>
          <w:iCs/>
          <w:sz w:val="28"/>
          <w:szCs w:val="28"/>
        </w:rPr>
        <w:t>, 202</w:t>
      </w:r>
      <w:r w:rsidR="00160716" w:rsidRPr="00E75BBB">
        <w:rPr>
          <w:rFonts w:asciiTheme="majorBidi" w:hAnsiTheme="majorBidi" w:cstheme="majorBidi"/>
          <w:i w:val="0"/>
          <w:iCs/>
          <w:sz w:val="28"/>
          <w:szCs w:val="28"/>
        </w:rPr>
        <w:t>2</w:t>
      </w:r>
    </w:p>
    <w:p w:rsidR="00DB5004" w:rsidRPr="00E75BBB" w:rsidRDefault="00DB5004" w:rsidP="00E75BBB">
      <w:pPr>
        <w:ind w:firstLine="720"/>
        <w:contextualSpacing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DB5004" w:rsidRPr="00E75BBB" w:rsidRDefault="008E4CA4" w:rsidP="006916F9">
      <w:pPr>
        <w:ind w:left="-284" w:right="3967" w:firstLine="284"/>
        <w:contextualSpacing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E75BBB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    </w:t>
      </w:r>
      <w:r w:rsidR="00DB5004" w:rsidRPr="00E75BBB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Value in million USD </w:t>
      </w:r>
    </w:p>
    <w:tbl>
      <w:tblPr>
        <w:tblpPr w:leftFromText="180" w:rightFromText="180" w:vertAnchor="text" w:tblpXSpec="center" w:tblpY="1"/>
        <w:tblOverlap w:val="never"/>
        <w:bidiVisual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2573"/>
        <w:gridCol w:w="4240"/>
      </w:tblGrid>
      <w:tr w:rsidR="00E741B1" w:rsidRPr="00E75BBB" w:rsidTr="00E75BBB">
        <w:trPr>
          <w:trHeight w:val="723"/>
        </w:trPr>
        <w:tc>
          <w:tcPr>
            <w:tcW w:w="1388" w:type="pct"/>
            <w:vAlign w:val="center"/>
          </w:tcPr>
          <w:p w:rsidR="00E741B1" w:rsidRPr="00E75BBB" w:rsidRDefault="00E741B1" w:rsidP="00E75BBB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 xml:space="preserve">Stock at the end of the </w:t>
            </w:r>
            <w:r w:rsidR="004968BA" w:rsidRPr="00E75BBB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760EE6" w:rsidRPr="00E75BBB">
              <w:rPr>
                <w:rFonts w:asciiTheme="majorBidi" w:hAnsiTheme="majorBidi" w:cstheme="majorBidi"/>
              </w:rPr>
              <w:t xml:space="preserve"> </w:t>
            </w:r>
            <w:r w:rsidR="00760EE6" w:rsidRPr="00E75BBB">
              <w:rPr>
                <w:rFonts w:asciiTheme="majorBidi" w:hAnsiTheme="majorBidi" w:cstheme="majorBidi"/>
                <w:i w:val="0"/>
                <w:iCs/>
              </w:rPr>
              <w:t xml:space="preserve">Fourth </w:t>
            </w:r>
            <w:r w:rsidRPr="00E75BBB">
              <w:rPr>
                <w:rFonts w:asciiTheme="majorBidi" w:hAnsiTheme="majorBidi" w:cstheme="majorBidi"/>
                <w:i w:val="0"/>
                <w:iCs/>
              </w:rPr>
              <w:t>Quarter 202</w:t>
            </w:r>
            <w:r w:rsidR="00160716" w:rsidRPr="00E75BBB">
              <w:rPr>
                <w:rFonts w:asciiTheme="majorBidi" w:hAnsiTheme="majorBidi" w:cstheme="majorBidi"/>
                <w:i w:val="0"/>
                <w:iCs/>
              </w:rPr>
              <w:t>2</w:t>
            </w:r>
          </w:p>
        </w:tc>
        <w:tc>
          <w:tcPr>
            <w:tcW w:w="1364" w:type="pct"/>
            <w:vAlign w:val="center"/>
          </w:tcPr>
          <w:p w:rsidR="00E741B1" w:rsidRPr="00E75BBB" w:rsidRDefault="00AA4359" w:rsidP="00E75BBB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 xml:space="preserve">Stock at the end of the  </w:t>
            </w:r>
            <w:r w:rsidR="00EF12BA" w:rsidRPr="00E75BBB">
              <w:rPr>
                <w:rFonts w:asciiTheme="majorBidi" w:hAnsiTheme="majorBidi" w:cstheme="majorBidi"/>
              </w:rPr>
              <w:t xml:space="preserve"> </w:t>
            </w:r>
            <w:r w:rsidR="00760EE6" w:rsidRPr="00E75BBB">
              <w:rPr>
                <w:rFonts w:asciiTheme="majorBidi" w:hAnsiTheme="majorBidi" w:cstheme="majorBidi"/>
              </w:rPr>
              <w:t xml:space="preserve"> </w:t>
            </w:r>
            <w:r w:rsidR="00760EE6" w:rsidRPr="00E75BBB">
              <w:rPr>
                <w:rFonts w:asciiTheme="majorBidi" w:hAnsiTheme="majorBidi" w:cstheme="majorBidi"/>
                <w:i w:val="0"/>
                <w:iCs/>
              </w:rPr>
              <w:t xml:space="preserve">Third </w:t>
            </w:r>
            <w:r w:rsidRPr="00E75BBB">
              <w:rPr>
                <w:rFonts w:asciiTheme="majorBidi" w:hAnsiTheme="majorBidi" w:cstheme="majorBidi"/>
                <w:i w:val="0"/>
                <w:iCs/>
              </w:rPr>
              <w:t>Quarter 202</w:t>
            </w:r>
            <w:r w:rsidR="00160716" w:rsidRPr="00E75BBB">
              <w:rPr>
                <w:rFonts w:asciiTheme="majorBidi" w:hAnsiTheme="majorBidi" w:cstheme="majorBidi"/>
                <w:i w:val="0"/>
                <w:iCs/>
              </w:rPr>
              <w:t>2</w:t>
            </w:r>
          </w:p>
        </w:tc>
        <w:tc>
          <w:tcPr>
            <w:tcW w:w="2248" w:type="pct"/>
            <w:vAlign w:val="center"/>
          </w:tcPr>
          <w:p w:rsidR="00E741B1" w:rsidRPr="00E75BBB" w:rsidRDefault="00E741B1" w:rsidP="00E75BBB">
            <w:pPr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1,302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  <w:color w:val="000000"/>
              </w:rPr>
              <w:t>1,278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221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197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1081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1,081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744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  <w:color w:val="000000"/>
              </w:rPr>
              <w:t>792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413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308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331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484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104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  <w:color w:val="000000"/>
              </w:rPr>
              <w:t>104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104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104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41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  <w:color w:val="000000"/>
              </w:rPr>
              <w:t>41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>Direct Investment: lending between affiliated companies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Debt liabilities to affiliated companies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color w:val="000000"/>
                <w:rtl/>
              </w:rPr>
              <w:t>41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41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Debt liabilities to direct investors</w:t>
            </w:r>
          </w:p>
        </w:tc>
      </w:tr>
      <w:tr w:rsidR="00760EE6" w:rsidRPr="00E75BBB" w:rsidTr="00E75BBB">
        <w:trPr>
          <w:trHeight w:val="38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EE6" w:rsidRPr="00E75BBB" w:rsidRDefault="00760EE6" w:rsidP="00E75BB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E75BB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2,191</w:t>
            </w:r>
          </w:p>
        </w:tc>
        <w:tc>
          <w:tcPr>
            <w:tcW w:w="1364" w:type="pct"/>
            <w:vAlign w:val="bottom"/>
          </w:tcPr>
          <w:p w:rsidR="00760EE6" w:rsidRPr="00E75BBB" w:rsidRDefault="00760EE6" w:rsidP="00E75BBB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  <w:color w:val="000000"/>
              </w:rPr>
              <w:t>2,215</w:t>
            </w:r>
          </w:p>
        </w:tc>
        <w:tc>
          <w:tcPr>
            <w:tcW w:w="2248" w:type="pct"/>
            <w:vAlign w:val="bottom"/>
          </w:tcPr>
          <w:p w:rsidR="00760EE6" w:rsidRPr="00E75BBB" w:rsidRDefault="00760EE6" w:rsidP="006916F9">
            <w:pPr>
              <w:rPr>
                <w:rFonts w:asciiTheme="majorBidi" w:hAnsiTheme="majorBidi" w:cstheme="majorBidi"/>
                <w:i w:val="0"/>
                <w:iCs/>
              </w:rPr>
            </w:pPr>
            <w:r w:rsidRPr="00E75BBB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DB5004" w:rsidRPr="00F149B2" w:rsidRDefault="00CB0325" w:rsidP="006916F9">
      <w:pPr>
        <w:tabs>
          <w:tab w:val="left" w:pos="8018"/>
        </w:tabs>
        <w:contextualSpacing/>
        <w:rPr>
          <w:rFonts w:ascii="Arial" w:hAnsi="Arial"/>
          <w:i w:val="0"/>
          <w:iCs/>
          <w:sz w:val="22"/>
          <w:szCs w:val="22"/>
          <w:rtl/>
        </w:rPr>
      </w:pPr>
      <w:r w:rsidRPr="00F149B2">
        <w:rPr>
          <w:rFonts w:ascii="Arial" w:hAnsi="Arial"/>
          <w:i w:val="0"/>
          <w:iCs/>
          <w:sz w:val="22"/>
          <w:szCs w:val="22"/>
        </w:rPr>
        <w:tab/>
      </w:r>
    </w:p>
    <w:p w:rsidR="00087C4C" w:rsidRDefault="00087C4C" w:rsidP="00087C4C">
      <w:pPr>
        <w:bidi/>
        <w:jc w:val="center"/>
        <w:rPr>
          <w:rFonts w:asciiTheme="majorBidi" w:hAnsiTheme="majorBidi" w:cstheme="majorBidi"/>
          <w:rtl/>
        </w:rPr>
      </w:pPr>
    </w:p>
    <w:p w:rsidR="00087C4C" w:rsidRDefault="00087C4C" w:rsidP="00087C4C">
      <w:pPr>
        <w:bidi/>
        <w:jc w:val="center"/>
        <w:rPr>
          <w:rFonts w:asciiTheme="majorBidi" w:hAnsiTheme="majorBidi" w:cstheme="majorBidi"/>
          <w:rtl/>
        </w:rPr>
      </w:pPr>
    </w:p>
    <w:p w:rsidR="00087C4C" w:rsidRDefault="00087C4C" w:rsidP="00087C4C">
      <w:pPr>
        <w:bidi/>
        <w:jc w:val="center"/>
        <w:rPr>
          <w:rFonts w:asciiTheme="majorBidi" w:hAnsiTheme="majorBidi" w:cstheme="majorBidi"/>
          <w:rtl/>
        </w:rPr>
      </w:pPr>
    </w:p>
    <w:p w:rsidR="00087C4C" w:rsidRDefault="00087C4C" w:rsidP="00087C4C">
      <w:pPr>
        <w:bidi/>
        <w:jc w:val="center"/>
        <w:rPr>
          <w:rFonts w:asciiTheme="majorBidi" w:hAnsiTheme="majorBidi" w:cstheme="majorBidi"/>
          <w:rtl/>
        </w:rPr>
      </w:pPr>
    </w:p>
    <w:p w:rsidR="006B1CE8" w:rsidRPr="00F149B2" w:rsidRDefault="00087C4C" w:rsidP="00087C4C">
      <w:pPr>
        <w:bidi/>
        <w:jc w:val="center"/>
        <w:rPr>
          <w:rFonts w:asciiTheme="majorBidi" w:hAnsiTheme="majorBidi" w:cstheme="majorBidi"/>
        </w:rPr>
      </w:pPr>
      <w:r w:rsidRPr="00087C4C">
        <w:rPr>
          <w:noProof/>
        </w:rPr>
        <w:drawing>
          <wp:inline distT="0" distB="0" distL="0" distR="0" wp14:anchorId="627F38E6" wp14:editId="45B6AF63">
            <wp:extent cx="1552575" cy="1838325"/>
            <wp:effectExtent l="0" t="0" r="9525" b="0"/>
            <wp:docPr id="5" name="Picture 5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CE8" w:rsidRPr="00F149B2" w:rsidSect="0091760B">
      <w:headerReference w:type="default" r:id="rId11"/>
      <w:footerReference w:type="default" r:id="rId12"/>
      <w:pgSz w:w="11907" w:h="16839" w:code="9"/>
      <w:pgMar w:top="568" w:right="1134" w:bottom="1134" w:left="993" w:header="0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64" w:rsidRDefault="00402464" w:rsidP="00885BEC">
      <w:r>
        <w:separator/>
      </w:r>
    </w:p>
  </w:endnote>
  <w:endnote w:type="continuationSeparator" w:id="0">
    <w:p w:rsidR="00402464" w:rsidRDefault="00402464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7B" w:rsidRDefault="00402464" w:rsidP="00146AE4">
    <w:pPr>
      <w:pStyle w:val="Footer"/>
      <w:tabs>
        <w:tab w:val="clear" w:pos="9360"/>
      </w:tabs>
      <w:jc w:val="center"/>
      <w:rPr>
        <w:rFonts w:asciiTheme="majorBidi" w:hAnsiTheme="majorBidi" w:cstheme="majorBidi"/>
        <w:bCs/>
        <w:i w:val="0"/>
        <w:sz w:val="20"/>
        <w:szCs w:val="20"/>
      </w:rPr>
    </w:pPr>
    <w:sdt>
      <w:sdtPr>
        <w:id w:val="11285779"/>
        <w:docPartObj>
          <w:docPartGallery w:val="Page Numbers (Bottom of Page)"/>
          <w:docPartUnique/>
        </w:docPartObj>
      </w:sdtPr>
      <w:sdtEndPr/>
      <w:sdtContent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7B2BD6">
          <w:rPr>
            <w:b w:val="0"/>
            <w:bCs/>
            <w:i w:val="0"/>
            <w:iCs/>
            <w:noProof/>
            <w:sz w:val="20"/>
            <w:szCs w:val="20"/>
          </w:rPr>
          <w:t>3</w:t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64" w:rsidRDefault="00402464" w:rsidP="00885BEC">
      <w:r>
        <w:separator/>
      </w:r>
    </w:p>
  </w:footnote>
  <w:footnote w:type="continuationSeparator" w:id="0">
    <w:p w:rsidR="00402464" w:rsidRDefault="00402464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7B" w:rsidRPr="006916F9" w:rsidRDefault="00C56B7B" w:rsidP="006916F9">
    <w:pPr>
      <w:pStyle w:val="Header"/>
      <w:tabs>
        <w:tab w:val="clear" w:pos="4680"/>
        <w:tab w:val="clear" w:pos="9360"/>
        <w:tab w:val="left" w:pos="270"/>
        <w:tab w:val="left" w:pos="1200"/>
        <w:tab w:val="left" w:pos="6600"/>
      </w:tabs>
      <w:rPr>
        <w:b w:val="0"/>
        <w:bCs/>
        <w:i w:val="0"/>
        <w:i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59B9"/>
    <w:rsid w:val="00006227"/>
    <w:rsid w:val="000072F1"/>
    <w:rsid w:val="000107EA"/>
    <w:rsid w:val="000110B2"/>
    <w:rsid w:val="000115CC"/>
    <w:rsid w:val="000115F8"/>
    <w:rsid w:val="0001231A"/>
    <w:rsid w:val="000124A7"/>
    <w:rsid w:val="00013A84"/>
    <w:rsid w:val="000148EC"/>
    <w:rsid w:val="00014C69"/>
    <w:rsid w:val="00020807"/>
    <w:rsid w:val="00022F55"/>
    <w:rsid w:val="00023916"/>
    <w:rsid w:val="00023F63"/>
    <w:rsid w:val="0002627D"/>
    <w:rsid w:val="000271AF"/>
    <w:rsid w:val="00030C2F"/>
    <w:rsid w:val="00032DB0"/>
    <w:rsid w:val="00032E32"/>
    <w:rsid w:val="00035642"/>
    <w:rsid w:val="00037C5E"/>
    <w:rsid w:val="00040BCA"/>
    <w:rsid w:val="00041F63"/>
    <w:rsid w:val="00042E1B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197F"/>
    <w:rsid w:val="00072644"/>
    <w:rsid w:val="000726B5"/>
    <w:rsid w:val="00077AA7"/>
    <w:rsid w:val="00080709"/>
    <w:rsid w:val="00080765"/>
    <w:rsid w:val="00081BE1"/>
    <w:rsid w:val="00084741"/>
    <w:rsid w:val="00085209"/>
    <w:rsid w:val="00087C4C"/>
    <w:rsid w:val="00090534"/>
    <w:rsid w:val="00090697"/>
    <w:rsid w:val="00090A98"/>
    <w:rsid w:val="00091661"/>
    <w:rsid w:val="00092663"/>
    <w:rsid w:val="00093458"/>
    <w:rsid w:val="000934AF"/>
    <w:rsid w:val="00093B55"/>
    <w:rsid w:val="0009408F"/>
    <w:rsid w:val="000944C5"/>
    <w:rsid w:val="0009567F"/>
    <w:rsid w:val="0009774E"/>
    <w:rsid w:val="000A0089"/>
    <w:rsid w:val="000A23B0"/>
    <w:rsid w:val="000A2842"/>
    <w:rsid w:val="000A3B64"/>
    <w:rsid w:val="000A3D5C"/>
    <w:rsid w:val="000A5151"/>
    <w:rsid w:val="000A5E40"/>
    <w:rsid w:val="000B09BC"/>
    <w:rsid w:val="000B19A1"/>
    <w:rsid w:val="000B2406"/>
    <w:rsid w:val="000B3046"/>
    <w:rsid w:val="000B4B6A"/>
    <w:rsid w:val="000B638F"/>
    <w:rsid w:val="000B66F2"/>
    <w:rsid w:val="000C0673"/>
    <w:rsid w:val="000C0F4B"/>
    <w:rsid w:val="000C156F"/>
    <w:rsid w:val="000C2CD8"/>
    <w:rsid w:val="000C30EC"/>
    <w:rsid w:val="000C3870"/>
    <w:rsid w:val="000D0B86"/>
    <w:rsid w:val="000D134F"/>
    <w:rsid w:val="000D36E9"/>
    <w:rsid w:val="000D4C84"/>
    <w:rsid w:val="000E57DB"/>
    <w:rsid w:val="000E5A08"/>
    <w:rsid w:val="000E6DC2"/>
    <w:rsid w:val="000E724E"/>
    <w:rsid w:val="000E76D1"/>
    <w:rsid w:val="000E77D9"/>
    <w:rsid w:val="000F23F0"/>
    <w:rsid w:val="000F2F95"/>
    <w:rsid w:val="000F449F"/>
    <w:rsid w:val="000F4C18"/>
    <w:rsid w:val="000F6AD3"/>
    <w:rsid w:val="000F6F0F"/>
    <w:rsid w:val="000F7730"/>
    <w:rsid w:val="00100B52"/>
    <w:rsid w:val="0011238A"/>
    <w:rsid w:val="00112F30"/>
    <w:rsid w:val="00116CB6"/>
    <w:rsid w:val="00122B0F"/>
    <w:rsid w:val="001243F4"/>
    <w:rsid w:val="001253D2"/>
    <w:rsid w:val="00126E34"/>
    <w:rsid w:val="00130495"/>
    <w:rsid w:val="00131018"/>
    <w:rsid w:val="00132B71"/>
    <w:rsid w:val="001336A8"/>
    <w:rsid w:val="0013600F"/>
    <w:rsid w:val="00136634"/>
    <w:rsid w:val="00136FD5"/>
    <w:rsid w:val="001371FD"/>
    <w:rsid w:val="00137DE2"/>
    <w:rsid w:val="00140A8A"/>
    <w:rsid w:val="00141DE1"/>
    <w:rsid w:val="001420A0"/>
    <w:rsid w:val="00143718"/>
    <w:rsid w:val="0014579C"/>
    <w:rsid w:val="00146AE4"/>
    <w:rsid w:val="0014725E"/>
    <w:rsid w:val="0014777A"/>
    <w:rsid w:val="00151B5B"/>
    <w:rsid w:val="00151C3B"/>
    <w:rsid w:val="001570B7"/>
    <w:rsid w:val="001573C2"/>
    <w:rsid w:val="00157479"/>
    <w:rsid w:val="00160716"/>
    <w:rsid w:val="001609E2"/>
    <w:rsid w:val="00161954"/>
    <w:rsid w:val="001627FC"/>
    <w:rsid w:val="00162E38"/>
    <w:rsid w:val="001646F7"/>
    <w:rsid w:val="00170276"/>
    <w:rsid w:val="00171363"/>
    <w:rsid w:val="00181A2B"/>
    <w:rsid w:val="001823A8"/>
    <w:rsid w:val="001844CA"/>
    <w:rsid w:val="0018465B"/>
    <w:rsid w:val="001861B2"/>
    <w:rsid w:val="001862D7"/>
    <w:rsid w:val="00190B3C"/>
    <w:rsid w:val="00191CB7"/>
    <w:rsid w:val="001933C3"/>
    <w:rsid w:val="001951A5"/>
    <w:rsid w:val="0019579D"/>
    <w:rsid w:val="00196708"/>
    <w:rsid w:val="001A0774"/>
    <w:rsid w:val="001A3990"/>
    <w:rsid w:val="001A4D2C"/>
    <w:rsid w:val="001A75AC"/>
    <w:rsid w:val="001B0FB0"/>
    <w:rsid w:val="001B1110"/>
    <w:rsid w:val="001B2151"/>
    <w:rsid w:val="001B22C7"/>
    <w:rsid w:val="001B2404"/>
    <w:rsid w:val="001B35EB"/>
    <w:rsid w:val="001B4D6A"/>
    <w:rsid w:val="001B6CC5"/>
    <w:rsid w:val="001B7265"/>
    <w:rsid w:val="001C1307"/>
    <w:rsid w:val="001C161B"/>
    <w:rsid w:val="001C2180"/>
    <w:rsid w:val="001C2247"/>
    <w:rsid w:val="001C6697"/>
    <w:rsid w:val="001C7022"/>
    <w:rsid w:val="001C7347"/>
    <w:rsid w:val="001D3642"/>
    <w:rsid w:val="001D3A4A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04C1"/>
    <w:rsid w:val="002106D8"/>
    <w:rsid w:val="00211E0E"/>
    <w:rsid w:val="00216CA7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2546"/>
    <w:rsid w:val="00244E71"/>
    <w:rsid w:val="00246BC1"/>
    <w:rsid w:val="00250FBE"/>
    <w:rsid w:val="00251A59"/>
    <w:rsid w:val="0025216F"/>
    <w:rsid w:val="002523D4"/>
    <w:rsid w:val="002528CB"/>
    <w:rsid w:val="00254AB5"/>
    <w:rsid w:val="00254E95"/>
    <w:rsid w:val="00254FB5"/>
    <w:rsid w:val="00255BC3"/>
    <w:rsid w:val="00260883"/>
    <w:rsid w:val="0026165F"/>
    <w:rsid w:val="00262AC2"/>
    <w:rsid w:val="00264A2F"/>
    <w:rsid w:val="00265939"/>
    <w:rsid w:val="00267601"/>
    <w:rsid w:val="00270B06"/>
    <w:rsid w:val="00271538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39D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1980"/>
    <w:rsid w:val="002D2328"/>
    <w:rsid w:val="002D3D1B"/>
    <w:rsid w:val="002D40C1"/>
    <w:rsid w:val="002D429D"/>
    <w:rsid w:val="002D5FC8"/>
    <w:rsid w:val="002D7608"/>
    <w:rsid w:val="002E060B"/>
    <w:rsid w:val="002E0670"/>
    <w:rsid w:val="002E20F7"/>
    <w:rsid w:val="002E22CA"/>
    <w:rsid w:val="002E241A"/>
    <w:rsid w:val="002E3BDC"/>
    <w:rsid w:val="002E5E97"/>
    <w:rsid w:val="002E6591"/>
    <w:rsid w:val="002E710B"/>
    <w:rsid w:val="002F1E39"/>
    <w:rsid w:val="002F51DB"/>
    <w:rsid w:val="002F6F48"/>
    <w:rsid w:val="00300B52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0AFE"/>
    <w:rsid w:val="00322DEF"/>
    <w:rsid w:val="00322FF5"/>
    <w:rsid w:val="00325B26"/>
    <w:rsid w:val="003265DF"/>
    <w:rsid w:val="003267A8"/>
    <w:rsid w:val="00327B47"/>
    <w:rsid w:val="003312A1"/>
    <w:rsid w:val="00334D86"/>
    <w:rsid w:val="00334E32"/>
    <w:rsid w:val="0033623F"/>
    <w:rsid w:val="0033635F"/>
    <w:rsid w:val="0034096B"/>
    <w:rsid w:val="0034163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2C4"/>
    <w:rsid w:val="00360975"/>
    <w:rsid w:val="003623FA"/>
    <w:rsid w:val="00363DE2"/>
    <w:rsid w:val="00364DE2"/>
    <w:rsid w:val="003650EA"/>
    <w:rsid w:val="003713EE"/>
    <w:rsid w:val="00371BAA"/>
    <w:rsid w:val="003742D1"/>
    <w:rsid w:val="00376039"/>
    <w:rsid w:val="00376277"/>
    <w:rsid w:val="00376DA0"/>
    <w:rsid w:val="00377817"/>
    <w:rsid w:val="0038255A"/>
    <w:rsid w:val="00382E41"/>
    <w:rsid w:val="003838AD"/>
    <w:rsid w:val="0038458B"/>
    <w:rsid w:val="00385033"/>
    <w:rsid w:val="003857CD"/>
    <w:rsid w:val="00385B91"/>
    <w:rsid w:val="00387A29"/>
    <w:rsid w:val="00390435"/>
    <w:rsid w:val="003916ED"/>
    <w:rsid w:val="00391B60"/>
    <w:rsid w:val="00394B30"/>
    <w:rsid w:val="00397CC6"/>
    <w:rsid w:val="003A1748"/>
    <w:rsid w:val="003A3E2C"/>
    <w:rsid w:val="003A41BC"/>
    <w:rsid w:val="003A441E"/>
    <w:rsid w:val="003A7091"/>
    <w:rsid w:val="003B0C69"/>
    <w:rsid w:val="003B2285"/>
    <w:rsid w:val="003B4EFD"/>
    <w:rsid w:val="003B56C9"/>
    <w:rsid w:val="003C00B9"/>
    <w:rsid w:val="003C16F6"/>
    <w:rsid w:val="003C22E0"/>
    <w:rsid w:val="003C4844"/>
    <w:rsid w:val="003C5966"/>
    <w:rsid w:val="003C64EA"/>
    <w:rsid w:val="003D005D"/>
    <w:rsid w:val="003D1AD0"/>
    <w:rsid w:val="003D2935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31E"/>
    <w:rsid w:val="003F34C6"/>
    <w:rsid w:val="003F5357"/>
    <w:rsid w:val="003F57FD"/>
    <w:rsid w:val="003F586E"/>
    <w:rsid w:val="003F701A"/>
    <w:rsid w:val="00400738"/>
    <w:rsid w:val="00402464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21C5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4FAC"/>
    <w:rsid w:val="004555F5"/>
    <w:rsid w:val="00462347"/>
    <w:rsid w:val="004624A9"/>
    <w:rsid w:val="004636B1"/>
    <w:rsid w:val="00463EB9"/>
    <w:rsid w:val="00463F73"/>
    <w:rsid w:val="0046412B"/>
    <w:rsid w:val="0046623B"/>
    <w:rsid w:val="00466329"/>
    <w:rsid w:val="00466417"/>
    <w:rsid w:val="004706FF"/>
    <w:rsid w:val="00470EB2"/>
    <w:rsid w:val="0047210C"/>
    <w:rsid w:val="00472299"/>
    <w:rsid w:val="004722F3"/>
    <w:rsid w:val="00473BE3"/>
    <w:rsid w:val="00475B38"/>
    <w:rsid w:val="00482097"/>
    <w:rsid w:val="00483A1A"/>
    <w:rsid w:val="00485E88"/>
    <w:rsid w:val="00486C03"/>
    <w:rsid w:val="0048744C"/>
    <w:rsid w:val="004908D8"/>
    <w:rsid w:val="00491538"/>
    <w:rsid w:val="00491F13"/>
    <w:rsid w:val="004920F5"/>
    <w:rsid w:val="00492AFA"/>
    <w:rsid w:val="00494846"/>
    <w:rsid w:val="00494AD4"/>
    <w:rsid w:val="004954C4"/>
    <w:rsid w:val="0049585A"/>
    <w:rsid w:val="00496138"/>
    <w:rsid w:val="004968BA"/>
    <w:rsid w:val="00496B15"/>
    <w:rsid w:val="004A5A58"/>
    <w:rsid w:val="004A6FCF"/>
    <w:rsid w:val="004B46C3"/>
    <w:rsid w:val="004B5431"/>
    <w:rsid w:val="004B6088"/>
    <w:rsid w:val="004B65A3"/>
    <w:rsid w:val="004B6F4B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D5B74"/>
    <w:rsid w:val="004E0A56"/>
    <w:rsid w:val="004E120D"/>
    <w:rsid w:val="004E2CDA"/>
    <w:rsid w:val="004E3896"/>
    <w:rsid w:val="004E48F0"/>
    <w:rsid w:val="004E625A"/>
    <w:rsid w:val="004F052B"/>
    <w:rsid w:val="004F1663"/>
    <w:rsid w:val="004F3B71"/>
    <w:rsid w:val="004F4AAC"/>
    <w:rsid w:val="004F4E08"/>
    <w:rsid w:val="004F701E"/>
    <w:rsid w:val="00501ACB"/>
    <w:rsid w:val="0050324C"/>
    <w:rsid w:val="00505632"/>
    <w:rsid w:val="00512E0F"/>
    <w:rsid w:val="00513BB5"/>
    <w:rsid w:val="0051707F"/>
    <w:rsid w:val="00526366"/>
    <w:rsid w:val="00530F49"/>
    <w:rsid w:val="005322B0"/>
    <w:rsid w:val="0053266C"/>
    <w:rsid w:val="00532EFB"/>
    <w:rsid w:val="0053622D"/>
    <w:rsid w:val="00543C49"/>
    <w:rsid w:val="00544D08"/>
    <w:rsid w:val="00545118"/>
    <w:rsid w:val="00545C08"/>
    <w:rsid w:val="005506A6"/>
    <w:rsid w:val="00550FEB"/>
    <w:rsid w:val="00552DE8"/>
    <w:rsid w:val="00553325"/>
    <w:rsid w:val="005540CE"/>
    <w:rsid w:val="00554D40"/>
    <w:rsid w:val="00557B46"/>
    <w:rsid w:val="005606A6"/>
    <w:rsid w:val="00561D22"/>
    <w:rsid w:val="005622E7"/>
    <w:rsid w:val="005643D1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7065"/>
    <w:rsid w:val="00587861"/>
    <w:rsid w:val="00590575"/>
    <w:rsid w:val="0059372F"/>
    <w:rsid w:val="00594133"/>
    <w:rsid w:val="00595820"/>
    <w:rsid w:val="005A0581"/>
    <w:rsid w:val="005A05C8"/>
    <w:rsid w:val="005A2675"/>
    <w:rsid w:val="005A4E76"/>
    <w:rsid w:val="005A622B"/>
    <w:rsid w:val="005B0FBB"/>
    <w:rsid w:val="005B47E8"/>
    <w:rsid w:val="005B6A18"/>
    <w:rsid w:val="005C3F38"/>
    <w:rsid w:val="005C500B"/>
    <w:rsid w:val="005C63F0"/>
    <w:rsid w:val="005C6ACB"/>
    <w:rsid w:val="005C7213"/>
    <w:rsid w:val="005C7E82"/>
    <w:rsid w:val="005D0A4B"/>
    <w:rsid w:val="005D1897"/>
    <w:rsid w:val="005D292F"/>
    <w:rsid w:val="005D32C1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06EC4"/>
    <w:rsid w:val="006101E4"/>
    <w:rsid w:val="00612242"/>
    <w:rsid w:val="00613DED"/>
    <w:rsid w:val="00616296"/>
    <w:rsid w:val="006162C8"/>
    <w:rsid w:val="006171D1"/>
    <w:rsid w:val="00617945"/>
    <w:rsid w:val="006211A1"/>
    <w:rsid w:val="006239FE"/>
    <w:rsid w:val="00623A01"/>
    <w:rsid w:val="0062406A"/>
    <w:rsid w:val="006251C6"/>
    <w:rsid w:val="00627303"/>
    <w:rsid w:val="00631A9E"/>
    <w:rsid w:val="00633411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6664C"/>
    <w:rsid w:val="0067102F"/>
    <w:rsid w:val="00672923"/>
    <w:rsid w:val="00673220"/>
    <w:rsid w:val="006738B1"/>
    <w:rsid w:val="00681C63"/>
    <w:rsid w:val="006825EB"/>
    <w:rsid w:val="00682D89"/>
    <w:rsid w:val="006845AC"/>
    <w:rsid w:val="0068576E"/>
    <w:rsid w:val="006860A4"/>
    <w:rsid w:val="006864AF"/>
    <w:rsid w:val="006916F9"/>
    <w:rsid w:val="00692615"/>
    <w:rsid w:val="006945FA"/>
    <w:rsid w:val="006949AB"/>
    <w:rsid w:val="006A4970"/>
    <w:rsid w:val="006A6595"/>
    <w:rsid w:val="006B1CE8"/>
    <w:rsid w:val="006B5EE1"/>
    <w:rsid w:val="006B61A0"/>
    <w:rsid w:val="006C0330"/>
    <w:rsid w:val="006C3E2A"/>
    <w:rsid w:val="006C46B3"/>
    <w:rsid w:val="006C4F86"/>
    <w:rsid w:val="006C5842"/>
    <w:rsid w:val="006C5ED3"/>
    <w:rsid w:val="006D24EE"/>
    <w:rsid w:val="006D2BD6"/>
    <w:rsid w:val="006D4F2F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05853"/>
    <w:rsid w:val="00710589"/>
    <w:rsid w:val="007115CF"/>
    <w:rsid w:val="007117F4"/>
    <w:rsid w:val="00713756"/>
    <w:rsid w:val="007140D7"/>
    <w:rsid w:val="00720A7F"/>
    <w:rsid w:val="00725408"/>
    <w:rsid w:val="00727151"/>
    <w:rsid w:val="00730C57"/>
    <w:rsid w:val="00734801"/>
    <w:rsid w:val="00737401"/>
    <w:rsid w:val="00741D4C"/>
    <w:rsid w:val="007440AA"/>
    <w:rsid w:val="0074518D"/>
    <w:rsid w:val="007456E6"/>
    <w:rsid w:val="00745DFE"/>
    <w:rsid w:val="00751556"/>
    <w:rsid w:val="007517CE"/>
    <w:rsid w:val="00753738"/>
    <w:rsid w:val="0075703F"/>
    <w:rsid w:val="00757248"/>
    <w:rsid w:val="00760B80"/>
    <w:rsid w:val="00760EE6"/>
    <w:rsid w:val="00761E99"/>
    <w:rsid w:val="0076206A"/>
    <w:rsid w:val="007634C9"/>
    <w:rsid w:val="0076521B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2A5"/>
    <w:rsid w:val="00786E33"/>
    <w:rsid w:val="00795FD1"/>
    <w:rsid w:val="00796D97"/>
    <w:rsid w:val="00796DF9"/>
    <w:rsid w:val="007971E6"/>
    <w:rsid w:val="007A0A4E"/>
    <w:rsid w:val="007A0E58"/>
    <w:rsid w:val="007A1768"/>
    <w:rsid w:val="007A67ED"/>
    <w:rsid w:val="007A705B"/>
    <w:rsid w:val="007B0F66"/>
    <w:rsid w:val="007B1CC5"/>
    <w:rsid w:val="007B2BD6"/>
    <w:rsid w:val="007B438C"/>
    <w:rsid w:val="007C159F"/>
    <w:rsid w:val="007C3F47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0CD1"/>
    <w:rsid w:val="007E1BD9"/>
    <w:rsid w:val="007E2FA4"/>
    <w:rsid w:val="007E356A"/>
    <w:rsid w:val="007E3CEC"/>
    <w:rsid w:val="007E6926"/>
    <w:rsid w:val="007E7CB3"/>
    <w:rsid w:val="007F046C"/>
    <w:rsid w:val="007F34C4"/>
    <w:rsid w:val="007F5618"/>
    <w:rsid w:val="007F5B60"/>
    <w:rsid w:val="007F5D87"/>
    <w:rsid w:val="007F6CC5"/>
    <w:rsid w:val="007F6CF0"/>
    <w:rsid w:val="00800F27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0168"/>
    <w:rsid w:val="00812AC2"/>
    <w:rsid w:val="00813699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42FD"/>
    <w:rsid w:val="008443CF"/>
    <w:rsid w:val="00851D2D"/>
    <w:rsid w:val="00852594"/>
    <w:rsid w:val="00854491"/>
    <w:rsid w:val="0085689F"/>
    <w:rsid w:val="008614ED"/>
    <w:rsid w:val="008615B9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1DB6"/>
    <w:rsid w:val="00883934"/>
    <w:rsid w:val="00883CEF"/>
    <w:rsid w:val="008840BB"/>
    <w:rsid w:val="00884C1C"/>
    <w:rsid w:val="00885814"/>
    <w:rsid w:val="00885BEC"/>
    <w:rsid w:val="00887793"/>
    <w:rsid w:val="00887DDA"/>
    <w:rsid w:val="00892B81"/>
    <w:rsid w:val="0089649C"/>
    <w:rsid w:val="008975DB"/>
    <w:rsid w:val="008A1232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145"/>
    <w:rsid w:val="008C3935"/>
    <w:rsid w:val="008C6098"/>
    <w:rsid w:val="008C7DA5"/>
    <w:rsid w:val="008D3918"/>
    <w:rsid w:val="008D3B4F"/>
    <w:rsid w:val="008D58D0"/>
    <w:rsid w:val="008D6DAC"/>
    <w:rsid w:val="008E4CA4"/>
    <w:rsid w:val="008E5E96"/>
    <w:rsid w:val="008F1AEC"/>
    <w:rsid w:val="008F21DC"/>
    <w:rsid w:val="008F4CEC"/>
    <w:rsid w:val="008F5D45"/>
    <w:rsid w:val="00901CF7"/>
    <w:rsid w:val="00902456"/>
    <w:rsid w:val="0090255C"/>
    <w:rsid w:val="009026ED"/>
    <w:rsid w:val="00902A6A"/>
    <w:rsid w:val="00904219"/>
    <w:rsid w:val="00905A56"/>
    <w:rsid w:val="00906711"/>
    <w:rsid w:val="00906D73"/>
    <w:rsid w:val="00910D26"/>
    <w:rsid w:val="00911E2C"/>
    <w:rsid w:val="00914274"/>
    <w:rsid w:val="00915218"/>
    <w:rsid w:val="00915AC3"/>
    <w:rsid w:val="00917480"/>
    <w:rsid w:val="0091760B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36B96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12ED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841"/>
    <w:rsid w:val="00995DBB"/>
    <w:rsid w:val="009973FF"/>
    <w:rsid w:val="009A04C2"/>
    <w:rsid w:val="009A1A09"/>
    <w:rsid w:val="009A283F"/>
    <w:rsid w:val="009A3453"/>
    <w:rsid w:val="009A4C10"/>
    <w:rsid w:val="009A4ED1"/>
    <w:rsid w:val="009A5052"/>
    <w:rsid w:val="009A62CC"/>
    <w:rsid w:val="009A7592"/>
    <w:rsid w:val="009A7BFB"/>
    <w:rsid w:val="009B2698"/>
    <w:rsid w:val="009B2A2B"/>
    <w:rsid w:val="009B4EDA"/>
    <w:rsid w:val="009C33E4"/>
    <w:rsid w:val="009D0085"/>
    <w:rsid w:val="009D1130"/>
    <w:rsid w:val="009D1202"/>
    <w:rsid w:val="009D1D31"/>
    <w:rsid w:val="009D3211"/>
    <w:rsid w:val="009D3B48"/>
    <w:rsid w:val="009D486A"/>
    <w:rsid w:val="009D4935"/>
    <w:rsid w:val="009D4B49"/>
    <w:rsid w:val="009D56B2"/>
    <w:rsid w:val="009D5850"/>
    <w:rsid w:val="009D6BA3"/>
    <w:rsid w:val="009E183D"/>
    <w:rsid w:val="009E359D"/>
    <w:rsid w:val="009E365A"/>
    <w:rsid w:val="009E4139"/>
    <w:rsid w:val="009E531E"/>
    <w:rsid w:val="009E5D63"/>
    <w:rsid w:val="009E5EFA"/>
    <w:rsid w:val="009E617A"/>
    <w:rsid w:val="009E6C02"/>
    <w:rsid w:val="009E6F8A"/>
    <w:rsid w:val="009F0BD8"/>
    <w:rsid w:val="009F2EF7"/>
    <w:rsid w:val="009F6143"/>
    <w:rsid w:val="009F6862"/>
    <w:rsid w:val="00A0261D"/>
    <w:rsid w:val="00A05211"/>
    <w:rsid w:val="00A071CF"/>
    <w:rsid w:val="00A11EF4"/>
    <w:rsid w:val="00A13EA4"/>
    <w:rsid w:val="00A14C59"/>
    <w:rsid w:val="00A17436"/>
    <w:rsid w:val="00A211F1"/>
    <w:rsid w:val="00A21E60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6B9C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64E89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3B3E"/>
    <w:rsid w:val="00A84C9F"/>
    <w:rsid w:val="00A85A9D"/>
    <w:rsid w:val="00A86274"/>
    <w:rsid w:val="00A864A1"/>
    <w:rsid w:val="00A87406"/>
    <w:rsid w:val="00A92509"/>
    <w:rsid w:val="00A93623"/>
    <w:rsid w:val="00A959EE"/>
    <w:rsid w:val="00A96BFE"/>
    <w:rsid w:val="00AA021F"/>
    <w:rsid w:val="00AA1DB3"/>
    <w:rsid w:val="00AA3270"/>
    <w:rsid w:val="00AA4359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80C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3F23"/>
    <w:rsid w:val="00B0409D"/>
    <w:rsid w:val="00B04FC6"/>
    <w:rsid w:val="00B05E68"/>
    <w:rsid w:val="00B06256"/>
    <w:rsid w:val="00B13D84"/>
    <w:rsid w:val="00B15440"/>
    <w:rsid w:val="00B16062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10A3"/>
    <w:rsid w:val="00B43628"/>
    <w:rsid w:val="00B442CF"/>
    <w:rsid w:val="00B47E25"/>
    <w:rsid w:val="00B51A43"/>
    <w:rsid w:val="00B5657B"/>
    <w:rsid w:val="00B57F82"/>
    <w:rsid w:val="00B6004F"/>
    <w:rsid w:val="00B63C24"/>
    <w:rsid w:val="00B64638"/>
    <w:rsid w:val="00B64C52"/>
    <w:rsid w:val="00B65CDD"/>
    <w:rsid w:val="00B7016D"/>
    <w:rsid w:val="00B7305E"/>
    <w:rsid w:val="00B73082"/>
    <w:rsid w:val="00B75768"/>
    <w:rsid w:val="00B81942"/>
    <w:rsid w:val="00B81AC6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06B9"/>
    <w:rsid w:val="00BB2CD8"/>
    <w:rsid w:val="00BB2DD0"/>
    <w:rsid w:val="00BC002B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1F99"/>
    <w:rsid w:val="00BE39B9"/>
    <w:rsid w:val="00BE39E1"/>
    <w:rsid w:val="00BE785D"/>
    <w:rsid w:val="00BE7AFD"/>
    <w:rsid w:val="00BF0CB8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090"/>
    <w:rsid w:val="00C178DF"/>
    <w:rsid w:val="00C20472"/>
    <w:rsid w:val="00C21CA5"/>
    <w:rsid w:val="00C23EB0"/>
    <w:rsid w:val="00C24535"/>
    <w:rsid w:val="00C256DB"/>
    <w:rsid w:val="00C33D58"/>
    <w:rsid w:val="00C36857"/>
    <w:rsid w:val="00C36978"/>
    <w:rsid w:val="00C41CBB"/>
    <w:rsid w:val="00C443A9"/>
    <w:rsid w:val="00C46578"/>
    <w:rsid w:val="00C46679"/>
    <w:rsid w:val="00C46856"/>
    <w:rsid w:val="00C47B32"/>
    <w:rsid w:val="00C50347"/>
    <w:rsid w:val="00C51098"/>
    <w:rsid w:val="00C51EDB"/>
    <w:rsid w:val="00C51EE7"/>
    <w:rsid w:val="00C52220"/>
    <w:rsid w:val="00C5265D"/>
    <w:rsid w:val="00C5482B"/>
    <w:rsid w:val="00C56B7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04C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90"/>
    <w:rsid w:val="00C87CE8"/>
    <w:rsid w:val="00C92770"/>
    <w:rsid w:val="00C9485F"/>
    <w:rsid w:val="00C95AD7"/>
    <w:rsid w:val="00C95F13"/>
    <w:rsid w:val="00CA21A4"/>
    <w:rsid w:val="00CA323C"/>
    <w:rsid w:val="00CA332B"/>
    <w:rsid w:val="00CA3332"/>
    <w:rsid w:val="00CA3846"/>
    <w:rsid w:val="00CA3918"/>
    <w:rsid w:val="00CA3989"/>
    <w:rsid w:val="00CA3E44"/>
    <w:rsid w:val="00CA74CE"/>
    <w:rsid w:val="00CB0325"/>
    <w:rsid w:val="00CB1059"/>
    <w:rsid w:val="00CB31FA"/>
    <w:rsid w:val="00CB377E"/>
    <w:rsid w:val="00CB3F93"/>
    <w:rsid w:val="00CB4298"/>
    <w:rsid w:val="00CB51E9"/>
    <w:rsid w:val="00CB69DF"/>
    <w:rsid w:val="00CB721E"/>
    <w:rsid w:val="00CB7601"/>
    <w:rsid w:val="00CC1D43"/>
    <w:rsid w:val="00CC2528"/>
    <w:rsid w:val="00CC3528"/>
    <w:rsid w:val="00CC3DA4"/>
    <w:rsid w:val="00CC4912"/>
    <w:rsid w:val="00CC53C1"/>
    <w:rsid w:val="00CD132E"/>
    <w:rsid w:val="00CD1BE9"/>
    <w:rsid w:val="00CE0208"/>
    <w:rsid w:val="00CE0DC1"/>
    <w:rsid w:val="00CE1143"/>
    <w:rsid w:val="00CE3CDD"/>
    <w:rsid w:val="00CE5EB9"/>
    <w:rsid w:val="00CE6041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12348"/>
    <w:rsid w:val="00D13112"/>
    <w:rsid w:val="00D13188"/>
    <w:rsid w:val="00D13AE4"/>
    <w:rsid w:val="00D13DDD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4949"/>
    <w:rsid w:val="00D55E68"/>
    <w:rsid w:val="00D56E3B"/>
    <w:rsid w:val="00D57892"/>
    <w:rsid w:val="00D63164"/>
    <w:rsid w:val="00D65979"/>
    <w:rsid w:val="00D664E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6AB4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B786B"/>
    <w:rsid w:val="00DC196A"/>
    <w:rsid w:val="00DC1F91"/>
    <w:rsid w:val="00DC292C"/>
    <w:rsid w:val="00DC2E42"/>
    <w:rsid w:val="00DC5DC2"/>
    <w:rsid w:val="00DC64E4"/>
    <w:rsid w:val="00DC7F13"/>
    <w:rsid w:val="00DD103D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E77BE"/>
    <w:rsid w:val="00DF39A7"/>
    <w:rsid w:val="00DF3ABA"/>
    <w:rsid w:val="00DF4813"/>
    <w:rsid w:val="00DF62B2"/>
    <w:rsid w:val="00E007BE"/>
    <w:rsid w:val="00E01FA1"/>
    <w:rsid w:val="00E02162"/>
    <w:rsid w:val="00E021E0"/>
    <w:rsid w:val="00E02DCB"/>
    <w:rsid w:val="00E0317F"/>
    <w:rsid w:val="00E05460"/>
    <w:rsid w:val="00E05B92"/>
    <w:rsid w:val="00E0676A"/>
    <w:rsid w:val="00E06BAE"/>
    <w:rsid w:val="00E077C7"/>
    <w:rsid w:val="00E117D4"/>
    <w:rsid w:val="00E11A81"/>
    <w:rsid w:val="00E12C55"/>
    <w:rsid w:val="00E16B47"/>
    <w:rsid w:val="00E16D3D"/>
    <w:rsid w:val="00E16D50"/>
    <w:rsid w:val="00E17FE9"/>
    <w:rsid w:val="00E30EFE"/>
    <w:rsid w:val="00E337E2"/>
    <w:rsid w:val="00E34380"/>
    <w:rsid w:val="00E34BA6"/>
    <w:rsid w:val="00E355BA"/>
    <w:rsid w:val="00E35DA1"/>
    <w:rsid w:val="00E36FA8"/>
    <w:rsid w:val="00E37CCD"/>
    <w:rsid w:val="00E4153C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1B1"/>
    <w:rsid w:val="00E74CB6"/>
    <w:rsid w:val="00E752B6"/>
    <w:rsid w:val="00E75BBB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1EAF"/>
    <w:rsid w:val="00E92125"/>
    <w:rsid w:val="00E948E2"/>
    <w:rsid w:val="00E94F20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28D7"/>
    <w:rsid w:val="00EC3390"/>
    <w:rsid w:val="00EC418E"/>
    <w:rsid w:val="00EC5050"/>
    <w:rsid w:val="00EC580C"/>
    <w:rsid w:val="00EC6E9B"/>
    <w:rsid w:val="00EC7F16"/>
    <w:rsid w:val="00ED028B"/>
    <w:rsid w:val="00ED0711"/>
    <w:rsid w:val="00ED3FCC"/>
    <w:rsid w:val="00ED46C4"/>
    <w:rsid w:val="00ED7C5C"/>
    <w:rsid w:val="00EE02A9"/>
    <w:rsid w:val="00EE0E4C"/>
    <w:rsid w:val="00EE2376"/>
    <w:rsid w:val="00EE3932"/>
    <w:rsid w:val="00EE5E0F"/>
    <w:rsid w:val="00EF0235"/>
    <w:rsid w:val="00EF0669"/>
    <w:rsid w:val="00EF12BA"/>
    <w:rsid w:val="00EF13BF"/>
    <w:rsid w:val="00EF1536"/>
    <w:rsid w:val="00EF7518"/>
    <w:rsid w:val="00F00306"/>
    <w:rsid w:val="00F00BF5"/>
    <w:rsid w:val="00F01344"/>
    <w:rsid w:val="00F03889"/>
    <w:rsid w:val="00F03B37"/>
    <w:rsid w:val="00F04D52"/>
    <w:rsid w:val="00F05F1C"/>
    <w:rsid w:val="00F108D7"/>
    <w:rsid w:val="00F111F6"/>
    <w:rsid w:val="00F12823"/>
    <w:rsid w:val="00F13F43"/>
    <w:rsid w:val="00F149B2"/>
    <w:rsid w:val="00F16F88"/>
    <w:rsid w:val="00F21843"/>
    <w:rsid w:val="00F21DBA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77963"/>
    <w:rsid w:val="00F81583"/>
    <w:rsid w:val="00F82939"/>
    <w:rsid w:val="00F83778"/>
    <w:rsid w:val="00F84672"/>
    <w:rsid w:val="00F84D01"/>
    <w:rsid w:val="00F86A73"/>
    <w:rsid w:val="00F87856"/>
    <w:rsid w:val="00F90043"/>
    <w:rsid w:val="00F91DCF"/>
    <w:rsid w:val="00F92240"/>
    <w:rsid w:val="00F932AC"/>
    <w:rsid w:val="00F9532D"/>
    <w:rsid w:val="00F957FD"/>
    <w:rsid w:val="00FA24A7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C791E"/>
    <w:rsid w:val="00FD4E2D"/>
    <w:rsid w:val="00FD50F5"/>
    <w:rsid w:val="00FD5154"/>
    <w:rsid w:val="00FD574D"/>
    <w:rsid w:val="00FD6A02"/>
    <w:rsid w:val="00FD7ED6"/>
    <w:rsid w:val="00FE1775"/>
    <w:rsid w:val="00FE268E"/>
    <w:rsid w:val="00FE2C16"/>
    <w:rsid w:val="00FE437C"/>
    <w:rsid w:val="00FE5702"/>
    <w:rsid w:val="00FE5EE0"/>
    <w:rsid w:val="00FE6056"/>
    <w:rsid w:val="00FE6EDE"/>
    <w:rsid w:val="00FE733F"/>
    <w:rsid w:val="00FF2333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7B484D"/>
  <w15:docId w15:val="{41113B86-279F-4F8E-8300-D443A4D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7.png@01D95748.5FA5E63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6c69923-81ca-4877-b551-0a42433c9d52" origin="userSelected">
  <element uid="89d3b76a-033d-441b-8672-393549e2b1c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39D1-2640-4C24-A7BB-4B60145617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F792F0-0A6D-449C-9B19-A7E281E3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Saed Khalil</dc:creator>
  <cp:keywords>PUBLIC - عام</cp:keywords>
  <cp:lastModifiedBy>Hadeel Badran</cp:lastModifiedBy>
  <cp:revision>7</cp:revision>
  <cp:lastPrinted>2023-03-19T07:49:00Z</cp:lastPrinted>
  <dcterms:created xsi:type="dcterms:W3CDTF">2023-03-19T07:49:00Z</dcterms:created>
  <dcterms:modified xsi:type="dcterms:W3CDTF">2023-03-19T08:32:00Z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  <property fmtid="{D5CDD505-2E9C-101B-9397-08002B2CF9AE}" pid="4" name="docIndexRef">
    <vt:lpwstr>977b04bd-0273-47ce-829a-9bd2329d0cd6</vt:lpwstr>
  </property>
  <property fmtid="{D5CDD505-2E9C-101B-9397-08002B2CF9AE}" pid="5" name="bjSaver">
    <vt:lpwstr>MGlve4BmAq75WNicJRBf1B5O43smf+Ic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policy="56c69923-81ca-4877-b551-0a42433c9d52" origin="userSelected" xmlns="http://www.boldonj</vt:lpwstr>
  </property>
  <property fmtid="{D5CDD505-2E9C-101B-9397-08002B2CF9AE}" pid="7" name="bjDocumentLabelXML-0">
    <vt:lpwstr>ames.com/2008/01/sie/internal/label"&gt;&lt;element uid="89d3b76a-033d-441b-8672-393549e2b1c3" value="" /&gt;&lt;/sisl&gt;</vt:lpwstr>
  </property>
  <property fmtid="{D5CDD505-2E9C-101B-9397-08002B2CF9AE}" pid="8" name="bjDocumentSecurityLabel">
    <vt:lpwstr>PUBLIC - عام</vt:lpwstr>
  </property>
</Properties>
</file>