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6B" w:rsidRPr="000B4FAA" w:rsidRDefault="00041D6B" w:rsidP="00041D6B">
      <w:pPr>
        <w:pStyle w:val="Heading1"/>
        <w:bidi w:val="0"/>
        <w:spacing w:before="0" w:line="240" w:lineRule="auto"/>
        <w:jc w:val="center"/>
        <w:rPr>
          <w:rFonts w:asciiTheme="majorBidi" w:eastAsia="Times New Roman" w:hAnsiTheme="majorBidi"/>
          <w:color w:val="000000"/>
          <w:sz w:val="32"/>
          <w:szCs w:val="32"/>
        </w:rPr>
      </w:pPr>
      <w:r w:rsidRPr="000B4FAA">
        <w:rPr>
          <w:rFonts w:asciiTheme="majorBidi" w:eastAsia="Times New Roman" w:hAnsiTheme="majorBidi"/>
          <w:color w:val="000000"/>
          <w:sz w:val="32"/>
          <w:szCs w:val="32"/>
        </w:rPr>
        <w:t>Palestinian Central Bureau of Statistics (PCBS)</w:t>
      </w:r>
    </w:p>
    <w:p w:rsidR="00041D6B" w:rsidRPr="00041D6B" w:rsidRDefault="00041D6B" w:rsidP="00041D6B">
      <w:pPr>
        <w:pStyle w:val="Heading1"/>
        <w:bidi w:val="0"/>
        <w:spacing w:before="0" w:line="240" w:lineRule="auto"/>
        <w:jc w:val="center"/>
        <w:rPr>
          <w:rFonts w:asciiTheme="majorBidi" w:eastAsia="Times New Roman" w:hAnsiTheme="majorBidi"/>
          <w:color w:val="000000"/>
          <w:sz w:val="16"/>
          <w:szCs w:val="16"/>
        </w:rPr>
      </w:pPr>
    </w:p>
    <w:p w:rsidR="00041D6B" w:rsidRPr="000B4FAA" w:rsidRDefault="00041D6B" w:rsidP="00041D6B">
      <w:pPr>
        <w:pStyle w:val="Heading1"/>
        <w:bidi w:val="0"/>
        <w:spacing w:before="0" w:line="240" w:lineRule="auto"/>
        <w:jc w:val="center"/>
        <w:rPr>
          <w:rFonts w:asciiTheme="majorBidi" w:eastAsia="Times New Roman" w:hAnsiTheme="majorBidi"/>
          <w:color w:val="000000"/>
          <w:sz w:val="27"/>
          <w:szCs w:val="27"/>
          <w:rtl/>
        </w:rPr>
      </w:pPr>
      <w:r w:rsidRPr="000B4FAA">
        <w:rPr>
          <w:rFonts w:asciiTheme="majorBidi" w:eastAsia="Times New Roman" w:hAnsiTheme="majorBidi"/>
          <w:color w:val="000000"/>
          <w:sz w:val="27"/>
          <w:szCs w:val="27"/>
        </w:rPr>
        <w:t xml:space="preserve">Press Release on Hotel Activities Survey in </w:t>
      </w:r>
      <w:r w:rsidRPr="000B4FAA">
        <w:rPr>
          <w:rFonts w:asciiTheme="majorBidi" w:eastAsia="Times New Roman" w:hAnsiTheme="majorBidi"/>
          <w:snapToGrid w:val="0"/>
          <w:color w:val="000000"/>
          <w:sz w:val="27"/>
          <w:szCs w:val="27"/>
        </w:rPr>
        <w:t>the West Bank</w:t>
      </w:r>
      <w:r w:rsidRPr="000B4FAA">
        <w:rPr>
          <w:rFonts w:asciiTheme="majorBidi" w:eastAsia="Times New Roman" w:hAnsiTheme="majorBidi"/>
          <w:color w:val="000000"/>
          <w:sz w:val="27"/>
          <w:szCs w:val="27"/>
        </w:rPr>
        <w:t xml:space="preserve"> during the </w:t>
      </w:r>
      <w:r w:rsidRPr="00B5328B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First Quarter 201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6</w:t>
      </w:r>
    </w:p>
    <w:p w:rsidR="00041D6B" w:rsidRPr="00041D6B" w:rsidRDefault="00041D6B" w:rsidP="00041D6B">
      <w:pPr>
        <w:pStyle w:val="Heading1"/>
        <w:bidi w:val="0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41D6B" w:rsidRPr="001B56E6" w:rsidRDefault="00041D6B" w:rsidP="00041D6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More Than</w:t>
      </w:r>
      <w:r w:rsidRPr="001B5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80</w:t>
      </w:r>
      <w:r w:rsidRPr="001B5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Thousand Guests Spent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250 </w:t>
      </w:r>
      <w:r w:rsidRPr="001B5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Thousand Nights</w:t>
      </w:r>
    </w:p>
    <w:p w:rsidR="00041D6B" w:rsidRPr="001B56E6" w:rsidRDefault="00041D6B" w:rsidP="00041D6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041D6B" w:rsidRDefault="00041D6B" w:rsidP="00041D6B">
      <w:pPr>
        <w:pStyle w:val="Header"/>
        <w:tabs>
          <w:tab w:val="right" w:pos="4927"/>
          <w:tab w:val="right" w:pos="5919"/>
        </w:tabs>
        <w:bidi w:val="0"/>
        <w:jc w:val="center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041D6B" w:rsidRPr="00041D6B" w:rsidRDefault="00041D6B" w:rsidP="00041D6B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color w:val="000000" w:themeColor="text1"/>
          <w:sz w:val="16"/>
          <w:szCs w:val="16"/>
        </w:rPr>
      </w:pPr>
    </w:p>
    <w:p w:rsidR="00041D6B" w:rsidRPr="001B56E6" w:rsidRDefault="00041D6B" w:rsidP="00041D6B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During the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f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irst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q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uarter 201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6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80,228</w:t>
      </w:r>
      <w:r w:rsidRPr="001B5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guests stayed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at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hotels in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the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West Bank: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33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% were from European Union countries and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13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% were Palestinian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s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. </w:t>
      </w:r>
    </w:p>
    <w:p w:rsidR="00041D6B" w:rsidRPr="00041D6B" w:rsidRDefault="00041D6B" w:rsidP="00041D6B">
      <w:pPr>
        <w:pStyle w:val="Header"/>
        <w:tabs>
          <w:tab w:val="clear" w:pos="4320"/>
          <w:tab w:val="clear" w:pos="8640"/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41D6B" w:rsidRPr="001B56E6" w:rsidRDefault="00041D6B" w:rsidP="00041D6B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The number of hotel guests was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20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% lower than in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first</w:t>
      </w:r>
      <w:r w:rsidRPr="001B5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quarter of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2015 and 32%</w:t>
      </w:r>
      <w:r w:rsidRPr="009C113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lower than in previous quarter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.</w:t>
      </w:r>
    </w:p>
    <w:p w:rsidR="00041D6B" w:rsidRPr="00041D6B" w:rsidRDefault="00041D6B" w:rsidP="00041D6B">
      <w:pPr>
        <w:pStyle w:val="Header"/>
        <w:tabs>
          <w:tab w:val="clear" w:pos="4320"/>
          <w:tab w:val="clear" w:pos="8640"/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41D6B" w:rsidRDefault="00041D6B" w:rsidP="00041D6B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During 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the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f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irst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q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uarter 201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6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, the number of guest nights in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the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West Bank hotels </w:t>
      </w:r>
      <w:r>
        <w:rPr>
          <w:rFonts w:ascii="Times New Roman" w:hAnsi="Times New Roman" w:cs="Times New Roman"/>
          <w:snapToGrid w:val="0"/>
          <w:sz w:val="24"/>
          <w:szCs w:val="24"/>
        </w:rPr>
        <w:t>reached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250,131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: of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which </w:t>
      </w:r>
      <w:r>
        <w:rPr>
          <w:rFonts w:ascii="Times New Roman" w:hAnsi="Times New Roman" w:cs="Times New Roman" w:hint="cs"/>
          <w:snapToGrid w:val="0"/>
          <w:sz w:val="24"/>
          <w:szCs w:val="24"/>
          <w:rtl/>
        </w:rPr>
        <w:t>35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% were from European Union</w:t>
      </w:r>
      <w:r w:rsidRPr="002E111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countries</w:t>
      </w:r>
      <w:r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 w:hint="cs"/>
          <w:snapToGrid w:val="0"/>
          <w:sz w:val="24"/>
          <w:szCs w:val="24"/>
          <w:rtl/>
        </w:rPr>
        <w:t>15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% were Palestinian</w:t>
      </w:r>
      <w:r>
        <w:rPr>
          <w:rFonts w:ascii="Times New Roman" w:hAnsi="Times New Roman" w:cs="Times New Roman"/>
          <w:snapToGrid w:val="0"/>
          <w:sz w:val="24"/>
          <w:szCs w:val="24"/>
        </w:rPr>
        <w:t>s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, and </w:t>
      </w:r>
      <w:r>
        <w:rPr>
          <w:rFonts w:ascii="Times New Roman" w:hAnsi="Times New Roman" w:cs="Times New Roman" w:hint="cs"/>
          <w:snapToGrid w:val="0"/>
          <w:sz w:val="24"/>
          <w:szCs w:val="24"/>
          <w:rtl/>
        </w:rPr>
        <w:t>11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% were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from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the United States and Canada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41D6B" w:rsidRPr="00FF6CC0" w:rsidRDefault="00041D6B" w:rsidP="00041D6B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41D6B" w:rsidRDefault="00041D6B" w:rsidP="00041D6B">
      <w:pPr>
        <w:pBdr>
          <w:bottom w:val="single" w:sz="4" w:space="1" w:color="auto"/>
        </w:pBdr>
        <w:bidi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</w:p>
    <w:p w:rsidR="00041D6B" w:rsidRPr="00041D6B" w:rsidRDefault="00041D6B" w:rsidP="00041D6B">
      <w:pPr>
        <w:pBdr>
          <w:bottom w:val="single" w:sz="4" w:space="1" w:color="auto"/>
        </w:pBdr>
        <w:bidi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041D6B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Main Indicators for Hotel Activities</w:t>
      </w:r>
    </w:p>
    <w:tbl>
      <w:tblPr>
        <w:tblStyle w:val="TableGrid"/>
        <w:tblW w:w="6833" w:type="dxa"/>
        <w:jc w:val="center"/>
        <w:tblInd w:w="-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71"/>
        <w:gridCol w:w="1530"/>
        <w:gridCol w:w="1440"/>
        <w:gridCol w:w="1692"/>
      </w:tblGrid>
      <w:tr w:rsidR="00041D6B" w:rsidRPr="00B449F2" w:rsidTr="00041D6B">
        <w:trPr>
          <w:trHeight w:val="569"/>
          <w:jc w:val="center"/>
        </w:trPr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041D6B" w:rsidRPr="00041D6B" w:rsidRDefault="00041D6B" w:rsidP="00C76618">
            <w:pPr>
              <w:pStyle w:val="Header"/>
              <w:tabs>
                <w:tab w:val="clear" w:pos="4320"/>
                <w:tab w:val="clear" w:pos="8640"/>
                <w:tab w:val="right" w:pos="4927"/>
                <w:tab w:val="right" w:pos="5919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041D6B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  <w:t>Indicator</w:t>
            </w:r>
          </w:p>
          <w:p w:rsidR="00041D6B" w:rsidRPr="00041D6B" w:rsidRDefault="00041D6B" w:rsidP="00C766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1D6B" w:rsidRPr="00041D6B" w:rsidRDefault="00041D6B" w:rsidP="00C76618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D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1st</w:t>
            </w:r>
            <w:r w:rsidRPr="00041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Quarter</w:t>
            </w:r>
          </w:p>
          <w:p w:rsidR="00041D6B" w:rsidRPr="00041D6B" w:rsidRDefault="00041D6B" w:rsidP="00C766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D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2016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41D6B" w:rsidRPr="00041D6B" w:rsidRDefault="00041D6B" w:rsidP="00C76618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D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1st Quarter</w:t>
            </w:r>
            <w:r w:rsidRPr="00041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2015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041D6B" w:rsidRPr="00041D6B" w:rsidRDefault="00041D6B" w:rsidP="00C76618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D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4th</w:t>
            </w:r>
            <w:r w:rsidRPr="00041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041D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Quarter</w:t>
            </w:r>
            <w:r w:rsidRPr="00041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2015</w:t>
            </w:r>
          </w:p>
        </w:tc>
      </w:tr>
      <w:tr w:rsidR="00041D6B" w:rsidRPr="007254F9" w:rsidTr="00041D6B">
        <w:trPr>
          <w:trHeight w:val="288"/>
          <w:jc w:val="center"/>
        </w:trPr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:rsidR="00041D6B" w:rsidRPr="003D6FB3" w:rsidRDefault="00041D6B" w:rsidP="00C76618">
            <w:pPr>
              <w:bidi w:val="0"/>
              <w:ind w:right="11"/>
              <w:rPr>
                <w:rFonts w:ascii="Arial" w:hAnsi="Arial" w:cs="Arial"/>
                <w:sz w:val="18"/>
                <w:szCs w:val="18"/>
              </w:rPr>
            </w:pPr>
            <w:r w:rsidRPr="003D6FB3">
              <w:rPr>
                <w:rFonts w:ascii="Arial" w:hAnsi="Arial" w:cs="Arial"/>
                <w:sz w:val="18"/>
                <w:szCs w:val="18"/>
              </w:rPr>
              <w:t>No. of guests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1D6B" w:rsidRDefault="00041D6B" w:rsidP="00C7661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80,228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1D6B" w:rsidRDefault="00041D6B" w:rsidP="00C7661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99,689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1D6B" w:rsidRDefault="00041D6B" w:rsidP="00C7661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 w:themeColor="text1"/>
                <w:sz w:val="18"/>
                <w:szCs w:val="18"/>
                <w:rtl/>
              </w:rPr>
              <w:t>118,322</w:t>
            </w:r>
          </w:p>
        </w:tc>
      </w:tr>
      <w:tr w:rsidR="00041D6B" w:rsidRPr="00B449F2" w:rsidTr="00041D6B">
        <w:trPr>
          <w:trHeight w:val="288"/>
          <w:jc w:val="center"/>
        </w:trPr>
        <w:tc>
          <w:tcPr>
            <w:tcW w:w="2171" w:type="dxa"/>
            <w:vAlign w:val="center"/>
          </w:tcPr>
          <w:p w:rsidR="00041D6B" w:rsidRPr="003D6FB3" w:rsidRDefault="00041D6B" w:rsidP="00C76618">
            <w:pPr>
              <w:bidi w:val="0"/>
              <w:ind w:right="11"/>
              <w:rPr>
                <w:rFonts w:ascii="Arial" w:hAnsi="Arial" w:cs="Arial"/>
                <w:sz w:val="18"/>
                <w:szCs w:val="18"/>
              </w:rPr>
            </w:pPr>
            <w:r w:rsidRPr="003D6FB3">
              <w:rPr>
                <w:rFonts w:ascii="Arial" w:hAnsi="Arial" w:cs="Arial"/>
                <w:sz w:val="18"/>
                <w:szCs w:val="18"/>
              </w:rPr>
              <w:t>No. of guest nights</w:t>
            </w:r>
          </w:p>
        </w:tc>
        <w:tc>
          <w:tcPr>
            <w:tcW w:w="1530" w:type="dxa"/>
            <w:tcMar>
              <w:left w:w="28" w:type="dxa"/>
              <w:right w:w="28" w:type="dxa"/>
            </w:tcMar>
            <w:vAlign w:val="center"/>
          </w:tcPr>
          <w:p w:rsidR="00041D6B" w:rsidRDefault="00041D6B" w:rsidP="00C7661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250,131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041D6B" w:rsidRDefault="00041D6B" w:rsidP="00C7661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291,917</w:t>
            </w:r>
          </w:p>
        </w:tc>
        <w:tc>
          <w:tcPr>
            <w:tcW w:w="1692" w:type="dxa"/>
            <w:tcMar>
              <w:left w:w="28" w:type="dxa"/>
              <w:right w:w="28" w:type="dxa"/>
            </w:tcMar>
            <w:vAlign w:val="center"/>
          </w:tcPr>
          <w:p w:rsidR="00041D6B" w:rsidRDefault="00041D6B" w:rsidP="00C7661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373,621</w:t>
            </w:r>
          </w:p>
        </w:tc>
      </w:tr>
      <w:tr w:rsidR="00041D6B" w:rsidRPr="00B449F2" w:rsidTr="00041D6B">
        <w:trPr>
          <w:trHeight w:val="288"/>
          <w:jc w:val="center"/>
        </w:trPr>
        <w:tc>
          <w:tcPr>
            <w:tcW w:w="2171" w:type="dxa"/>
            <w:vAlign w:val="center"/>
          </w:tcPr>
          <w:p w:rsidR="00041D6B" w:rsidRPr="003D6FB3" w:rsidRDefault="00041D6B" w:rsidP="00C76618">
            <w:pPr>
              <w:bidi w:val="0"/>
              <w:ind w:right="11"/>
              <w:rPr>
                <w:rFonts w:ascii="Arial" w:hAnsi="Arial" w:cs="Arial"/>
                <w:sz w:val="18"/>
                <w:szCs w:val="18"/>
              </w:rPr>
            </w:pPr>
            <w:r w:rsidRPr="003D6FB3">
              <w:rPr>
                <w:rFonts w:ascii="Arial" w:hAnsi="Arial" w:cs="Arial"/>
                <w:sz w:val="18"/>
                <w:szCs w:val="18"/>
              </w:rPr>
              <w:t>Average room occupancy</w:t>
            </w:r>
          </w:p>
        </w:tc>
        <w:tc>
          <w:tcPr>
            <w:tcW w:w="1530" w:type="dxa"/>
            <w:tcMar>
              <w:left w:w="28" w:type="dxa"/>
              <w:right w:w="28" w:type="dxa"/>
            </w:tcMar>
            <w:vAlign w:val="center"/>
          </w:tcPr>
          <w:p w:rsidR="00041D6B" w:rsidRDefault="00041D6B" w:rsidP="00C7661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1,113.8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041D6B" w:rsidRDefault="00041D6B" w:rsidP="00C7661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1,359.6</w:t>
            </w:r>
          </w:p>
        </w:tc>
        <w:tc>
          <w:tcPr>
            <w:tcW w:w="1692" w:type="dxa"/>
            <w:tcMar>
              <w:left w:w="28" w:type="dxa"/>
              <w:right w:w="28" w:type="dxa"/>
            </w:tcMar>
            <w:vAlign w:val="center"/>
          </w:tcPr>
          <w:p w:rsidR="00041D6B" w:rsidRDefault="00041D6B" w:rsidP="00C7661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1,494.5</w:t>
            </w:r>
          </w:p>
        </w:tc>
      </w:tr>
      <w:tr w:rsidR="00041D6B" w:rsidRPr="00B449F2" w:rsidTr="00041D6B">
        <w:trPr>
          <w:trHeight w:val="288"/>
          <w:jc w:val="center"/>
        </w:trPr>
        <w:tc>
          <w:tcPr>
            <w:tcW w:w="2171" w:type="dxa"/>
            <w:vAlign w:val="center"/>
          </w:tcPr>
          <w:p w:rsidR="00041D6B" w:rsidRPr="003D6FB3" w:rsidRDefault="00041D6B" w:rsidP="00C76618">
            <w:pPr>
              <w:bidi w:val="0"/>
              <w:ind w:right="11"/>
              <w:rPr>
                <w:rFonts w:ascii="Arial" w:hAnsi="Arial" w:cs="Arial"/>
                <w:sz w:val="18"/>
                <w:szCs w:val="18"/>
              </w:rPr>
            </w:pPr>
            <w:r w:rsidRPr="003D6FB3">
              <w:rPr>
                <w:rFonts w:ascii="Arial" w:hAnsi="Arial" w:cs="Arial"/>
                <w:sz w:val="18"/>
                <w:szCs w:val="18"/>
              </w:rPr>
              <w:t>Average bed occupancy</w:t>
            </w:r>
          </w:p>
        </w:tc>
        <w:tc>
          <w:tcPr>
            <w:tcW w:w="1530" w:type="dxa"/>
            <w:tcMar>
              <w:left w:w="28" w:type="dxa"/>
              <w:right w:w="28" w:type="dxa"/>
            </w:tcMar>
            <w:vAlign w:val="center"/>
          </w:tcPr>
          <w:p w:rsidR="00041D6B" w:rsidRDefault="00041D6B" w:rsidP="00C7661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2,748.7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041D6B" w:rsidRDefault="00041D6B" w:rsidP="00C7661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3,243.5</w:t>
            </w:r>
          </w:p>
        </w:tc>
        <w:tc>
          <w:tcPr>
            <w:tcW w:w="1692" w:type="dxa"/>
            <w:tcMar>
              <w:left w:w="28" w:type="dxa"/>
              <w:right w:w="28" w:type="dxa"/>
            </w:tcMar>
            <w:vAlign w:val="center"/>
          </w:tcPr>
          <w:p w:rsidR="00041D6B" w:rsidRDefault="00041D6B" w:rsidP="00C7661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4,061.1</w:t>
            </w:r>
          </w:p>
        </w:tc>
      </w:tr>
      <w:tr w:rsidR="00041D6B" w:rsidRPr="00B449F2" w:rsidTr="00041D6B">
        <w:trPr>
          <w:trHeight w:val="288"/>
          <w:jc w:val="center"/>
        </w:trPr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041D6B" w:rsidRPr="003D6FB3" w:rsidRDefault="00041D6B" w:rsidP="00C76618">
            <w:pPr>
              <w:bidi w:val="0"/>
              <w:ind w:right="11"/>
              <w:rPr>
                <w:rFonts w:ascii="Arial" w:hAnsi="Arial" w:cs="Arial"/>
                <w:sz w:val="18"/>
                <w:szCs w:val="18"/>
              </w:rPr>
            </w:pPr>
            <w:r w:rsidRPr="003D6FB3">
              <w:rPr>
                <w:rFonts w:ascii="Arial" w:hAnsi="Arial" w:cs="Arial"/>
                <w:sz w:val="18"/>
                <w:szCs w:val="18"/>
              </w:rPr>
              <w:t>Rooms occupancy  %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1D6B" w:rsidRDefault="00041D6B" w:rsidP="00C7661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1D6B" w:rsidRDefault="00041D6B" w:rsidP="00C7661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19.8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1D6B" w:rsidRDefault="00041D6B" w:rsidP="00C7661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 w:themeColor="text1"/>
                <w:sz w:val="18"/>
                <w:szCs w:val="18"/>
                <w:rtl/>
              </w:rPr>
              <w:t>22.1</w:t>
            </w:r>
          </w:p>
        </w:tc>
      </w:tr>
    </w:tbl>
    <w:p w:rsidR="00041D6B" w:rsidRDefault="00041D6B" w:rsidP="00041D6B">
      <w:pPr>
        <w:bidi w:val="0"/>
        <w:spacing w:after="0" w:line="240" w:lineRule="auto"/>
        <w:jc w:val="both"/>
        <w:rPr>
          <w:rFonts w:asciiTheme="majorBidi" w:hAnsiTheme="majorBidi" w:cstheme="majorBidi"/>
          <w:sz w:val="4"/>
          <w:szCs w:val="4"/>
        </w:rPr>
      </w:pPr>
    </w:p>
    <w:p w:rsidR="00041D6B" w:rsidRDefault="00041D6B" w:rsidP="00041D6B">
      <w:pPr>
        <w:bidi w:val="0"/>
        <w:spacing w:after="0" w:line="240" w:lineRule="auto"/>
        <w:jc w:val="both"/>
        <w:rPr>
          <w:rFonts w:asciiTheme="majorBidi" w:hAnsiTheme="majorBidi" w:cstheme="majorBidi"/>
          <w:sz w:val="4"/>
          <w:szCs w:val="4"/>
        </w:rPr>
      </w:pPr>
    </w:p>
    <w:p w:rsidR="00041D6B" w:rsidRPr="00041D6B" w:rsidRDefault="00041D6B" w:rsidP="00041D6B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041D6B" w:rsidRDefault="00041D6B" w:rsidP="00041D6B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43225">
        <w:rPr>
          <w:rFonts w:ascii="Times New Roman" w:hAnsi="Times New Roman" w:cs="Times New Roman"/>
          <w:snapToGrid w:val="0"/>
          <w:sz w:val="24"/>
          <w:szCs w:val="24"/>
        </w:rPr>
        <w:t xml:space="preserve">During the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f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irst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q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uarter 201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6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were </w:t>
      </w:r>
      <w:r>
        <w:rPr>
          <w:rFonts w:ascii="Times New Roman" w:hAnsi="Times New Roman" w:cs="Times New Roman"/>
          <w:snapToGrid w:val="0"/>
          <w:sz w:val="24"/>
          <w:szCs w:val="24"/>
        </w:rPr>
        <w:t>2,856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>hotel workers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>
        <w:rPr>
          <w:rFonts w:ascii="Times New Roman" w:hAnsi="Times New Roman" w:cs="Times New Roman"/>
          <w:snapToGrid w:val="0"/>
          <w:sz w:val="24"/>
          <w:szCs w:val="24"/>
        </w:rPr>
        <w:t>(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>2,</w:t>
      </w:r>
      <w:r>
        <w:rPr>
          <w:rFonts w:ascii="Times New Roman" w:hAnsi="Times New Roman" w:cs="Times New Roman"/>
          <w:snapToGrid w:val="0"/>
          <w:sz w:val="24"/>
          <w:szCs w:val="24"/>
        </w:rPr>
        <w:t>197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 xml:space="preserve"> males and </w:t>
      </w:r>
      <w:r>
        <w:rPr>
          <w:rFonts w:ascii="Times New Roman" w:hAnsi="Times New Roman" w:cs="Times New Roman"/>
          <w:snapToGrid w:val="0"/>
          <w:sz w:val="24"/>
          <w:szCs w:val="24"/>
        </w:rPr>
        <w:t>659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 xml:space="preserve"> females</w:t>
      </w:r>
      <w:r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41D6B" w:rsidRPr="00041D6B" w:rsidRDefault="00041D6B" w:rsidP="00041D6B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041D6B" w:rsidRPr="006B65D8" w:rsidRDefault="00041D6B" w:rsidP="00041D6B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6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Hotel Room Occupancy </w:t>
      </w:r>
    </w:p>
    <w:p w:rsidR="00041D6B" w:rsidRPr="006B65D8" w:rsidRDefault="00041D6B" w:rsidP="00041D6B">
      <w:pPr>
        <w:bidi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>The room occupancy rate 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West Bank was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16.5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in the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f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irst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q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uarter 201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6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1D6B" w:rsidRPr="006B65D8" w:rsidRDefault="00041D6B" w:rsidP="00041D6B">
      <w:pPr>
        <w:bidi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Room occupancy during the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f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irst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q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uarter 201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6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lower than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f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irst 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>quarter of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>% lower than in the</w:t>
      </w:r>
      <w:r w:rsidRPr="00336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>previous quarter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1D6B" w:rsidRDefault="00041D6B" w:rsidP="00041D6B">
      <w:pPr>
        <w:pStyle w:val="Header"/>
        <w:tabs>
          <w:tab w:val="clear" w:pos="4320"/>
          <w:tab w:val="clear" w:pos="8640"/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031">
        <w:rPr>
          <w:rFonts w:ascii="Times New Roman" w:hAnsi="Times New Roman" w:cs="Times New Roman"/>
          <w:b/>
          <w:bCs/>
          <w:sz w:val="24"/>
          <w:szCs w:val="24"/>
        </w:rPr>
        <w:t>Hotel Capacity by Region</w:t>
      </w:r>
    </w:p>
    <w:p w:rsidR="00041D6B" w:rsidRPr="00A23887" w:rsidRDefault="00041D6B" w:rsidP="00041D6B">
      <w:pPr>
        <w:pStyle w:val="Header"/>
        <w:tabs>
          <w:tab w:val="clear" w:pos="4320"/>
          <w:tab w:val="clear" w:pos="8640"/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041D6B" w:rsidRPr="00174337" w:rsidRDefault="00041D6B" w:rsidP="00041D6B">
      <w:pPr>
        <w:widowControl w:val="0"/>
        <w:bidi w:val="0"/>
        <w:ind w:right="-1"/>
        <w:jc w:val="both"/>
        <w:rPr>
          <w:rFonts w:cs="Times New Roman"/>
          <w:color w:val="000000" w:themeColor="text1"/>
          <w:sz w:val="24"/>
          <w:szCs w:val="24"/>
        </w:rPr>
      </w:pPr>
      <w:r w:rsidRPr="003E718E">
        <w:rPr>
          <w:rFonts w:ascii="Times New Roman" w:hAnsi="Times New Roman" w:cs="Times New Roman"/>
          <w:snapToGrid w:val="0"/>
          <w:sz w:val="24"/>
          <w:szCs w:val="24"/>
        </w:rPr>
        <w:t>113 hotels operating in the West Bank responded to the Hotel Activities as in March of 2016.  These hotels had 6,766 rooms available with 14,903 beds.</w:t>
      </w:r>
      <w:r w:rsidRPr="00B2097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>These were distributed by region as follows</w:t>
      </w:r>
      <w:r>
        <w:rPr>
          <w:rFonts w:cs="Times New Roman"/>
          <w:color w:val="000000" w:themeColor="text1"/>
          <w:sz w:val="24"/>
          <w:szCs w:val="24"/>
        </w:rPr>
        <w:t>:</w:t>
      </w:r>
    </w:p>
    <w:p w:rsidR="00041D6B" w:rsidRPr="003E718E" w:rsidRDefault="00041D6B" w:rsidP="00041D6B">
      <w:pPr>
        <w:pStyle w:val="ListParagraph"/>
        <w:widowControl w:val="0"/>
        <w:numPr>
          <w:ilvl w:val="0"/>
          <w:numId w:val="1"/>
        </w:numPr>
        <w:bidi w:val="0"/>
        <w:ind w:left="426" w:right="-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718E">
        <w:rPr>
          <w:rFonts w:ascii="Times New Roman" w:hAnsi="Times New Roman" w:cs="Times New Roman"/>
          <w:snapToGrid w:val="0"/>
          <w:sz w:val="24"/>
          <w:szCs w:val="24"/>
        </w:rPr>
        <w:t>North of West Bank: 21 hotels comprising 435 rooms with 1,208 beds.</w:t>
      </w:r>
    </w:p>
    <w:p w:rsidR="00041D6B" w:rsidRPr="003E718E" w:rsidRDefault="00041D6B" w:rsidP="00041D6B">
      <w:pPr>
        <w:pStyle w:val="ListParagraph"/>
        <w:widowControl w:val="0"/>
        <w:numPr>
          <w:ilvl w:val="0"/>
          <w:numId w:val="1"/>
        </w:numPr>
        <w:bidi w:val="0"/>
        <w:ind w:left="426" w:right="-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718E">
        <w:rPr>
          <w:rFonts w:ascii="Times New Roman" w:hAnsi="Times New Roman" w:cs="Times New Roman"/>
          <w:snapToGrid w:val="0"/>
          <w:sz w:val="24"/>
          <w:szCs w:val="24"/>
        </w:rPr>
        <w:t>Middle of West Bank: 35 hotels comprising 1,609</w:t>
      </w:r>
      <w:r w:rsidRPr="003E718E">
        <w:rPr>
          <w:rFonts w:ascii="Times New Roman" w:hAnsi="Times New Roman" w:cs="Times New Roman" w:hint="cs"/>
          <w:snapToGrid w:val="0"/>
          <w:sz w:val="24"/>
          <w:szCs w:val="24"/>
          <w:rtl/>
        </w:rPr>
        <w:t xml:space="preserve"> </w:t>
      </w:r>
      <w:r w:rsidRPr="003E718E">
        <w:rPr>
          <w:rFonts w:ascii="Times New Roman" w:hAnsi="Times New Roman" w:cs="Times New Roman"/>
          <w:snapToGrid w:val="0"/>
          <w:sz w:val="24"/>
          <w:szCs w:val="24"/>
        </w:rPr>
        <w:t>rooms with 3,301 beds.</w:t>
      </w:r>
    </w:p>
    <w:p w:rsidR="00041D6B" w:rsidRPr="003E718E" w:rsidRDefault="00041D6B" w:rsidP="00041D6B">
      <w:pPr>
        <w:pStyle w:val="ListParagraph"/>
        <w:widowControl w:val="0"/>
        <w:numPr>
          <w:ilvl w:val="0"/>
          <w:numId w:val="1"/>
        </w:numPr>
        <w:bidi w:val="0"/>
        <w:ind w:left="426" w:right="-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718E">
        <w:rPr>
          <w:rFonts w:ascii="Times New Roman" w:hAnsi="Times New Roman" w:cs="Times New Roman"/>
          <w:snapToGrid w:val="0"/>
          <w:sz w:val="24"/>
          <w:szCs w:val="24"/>
        </w:rPr>
        <w:t xml:space="preserve">Jerusalem region: 20 hotels comprising </w:t>
      </w:r>
      <w:r w:rsidRPr="003E718E">
        <w:rPr>
          <w:rFonts w:ascii="Times New Roman" w:hAnsi="Times New Roman" w:cs="Times New Roman" w:hint="cs"/>
          <w:snapToGrid w:val="0"/>
          <w:sz w:val="24"/>
          <w:szCs w:val="24"/>
          <w:rtl/>
        </w:rPr>
        <w:t>1,</w:t>
      </w:r>
      <w:r w:rsidRPr="003E718E">
        <w:rPr>
          <w:rFonts w:ascii="Times New Roman" w:hAnsi="Times New Roman" w:cs="Times New Roman"/>
          <w:snapToGrid w:val="0"/>
          <w:sz w:val="24"/>
          <w:szCs w:val="24"/>
        </w:rPr>
        <w:t>259 rooms with 2,806 beds.</w:t>
      </w:r>
    </w:p>
    <w:p w:rsidR="00041D6B" w:rsidRPr="003E718E" w:rsidRDefault="00041D6B" w:rsidP="00041D6B">
      <w:pPr>
        <w:pStyle w:val="ListParagraph"/>
        <w:widowControl w:val="0"/>
        <w:numPr>
          <w:ilvl w:val="0"/>
          <w:numId w:val="1"/>
        </w:numPr>
        <w:bidi w:val="0"/>
        <w:ind w:left="426" w:right="-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718E">
        <w:rPr>
          <w:rFonts w:ascii="Times New Roman" w:hAnsi="Times New Roman" w:cs="Times New Roman"/>
          <w:snapToGrid w:val="0"/>
          <w:sz w:val="24"/>
          <w:szCs w:val="24"/>
        </w:rPr>
        <w:t xml:space="preserve">South of West Bank: </w:t>
      </w:r>
      <w:r w:rsidRPr="003E718E">
        <w:rPr>
          <w:rFonts w:ascii="Times New Roman" w:hAnsi="Times New Roman" w:cs="Times New Roman" w:hint="cs"/>
          <w:snapToGrid w:val="0"/>
          <w:sz w:val="24"/>
          <w:szCs w:val="24"/>
          <w:rtl/>
        </w:rPr>
        <w:t>3</w:t>
      </w:r>
      <w:r w:rsidRPr="003E718E">
        <w:rPr>
          <w:rFonts w:ascii="Times New Roman" w:hAnsi="Times New Roman" w:cs="Times New Roman"/>
          <w:snapToGrid w:val="0"/>
          <w:sz w:val="24"/>
          <w:szCs w:val="24"/>
        </w:rPr>
        <w:t xml:space="preserve">7 hotels comprising </w:t>
      </w:r>
      <w:r w:rsidRPr="003E718E">
        <w:rPr>
          <w:rFonts w:ascii="Times New Roman" w:hAnsi="Times New Roman" w:cs="Times New Roman" w:hint="cs"/>
          <w:snapToGrid w:val="0"/>
          <w:sz w:val="24"/>
          <w:szCs w:val="24"/>
          <w:rtl/>
        </w:rPr>
        <w:t>3,</w:t>
      </w:r>
      <w:r w:rsidRPr="003E718E">
        <w:rPr>
          <w:rFonts w:ascii="Times New Roman" w:hAnsi="Times New Roman" w:cs="Times New Roman"/>
          <w:snapToGrid w:val="0"/>
          <w:sz w:val="24"/>
          <w:szCs w:val="24"/>
        </w:rPr>
        <w:t>463 rooms with 7,588 beds.</w:t>
      </w:r>
    </w:p>
    <w:p w:rsidR="00041D6B" w:rsidRPr="003B3DFC" w:rsidRDefault="00041D6B" w:rsidP="00041D6B">
      <w:pPr>
        <w:pStyle w:val="Header"/>
        <w:tabs>
          <w:tab w:val="right" w:pos="4927"/>
          <w:tab w:val="right" w:pos="5919"/>
        </w:tabs>
        <w:bidi w:val="0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D7029" w:rsidRDefault="00041D6B">
      <w:pPr>
        <w:rPr>
          <w:rFonts w:hint="cs"/>
        </w:rPr>
      </w:pPr>
      <w:r>
        <w:rPr>
          <w:rFonts w:hint="cs"/>
          <w:rtl/>
        </w:rPr>
        <w:t xml:space="preserve"> </w:t>
      </w:r>
    </w:p>
    <w:sectPr w:rsidR="000D7029" w:rsidSect="00041D6B">
      <w:headerReference w:type="default" r:id="rId8"/>
      <w:pgSz w:w="11906" w:h="16838"/>
      <w:pgMar w:top="720" w:right="720" w:bottom="720" w:left="720" w:header="709" w:footer="709" w:gutter="0"/>
      <w:cols w:space="567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6B4" w:rsidRDefault="002226B4" w:rsidP="00041D6B">
      <w:pPr>
        <w:spacing w:after="0" w:line="240" w:lineRule="auto"/>
      </w:pPr>
      <w:r>
        <w:separator/>
      </w:r>
    </w:p>
  </w:endnote>
  <w:endnote w:type="continuationSeparator" w:id="0">
    <w:p w:rsidR="002226B4" w:rsidRDefault="002226B4" w:rsidP="0004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6B4" w:rsidRDefault="002226B4" w:rsidP="00041D6B">
      <w:pPr>
        <w:spacing w:after="0" w:line="240" w:lineRule="auto"/>
      </w:pPr>
      <w:r>
        <w:separator/>
      </w:r>
    </w:p>
  </w:footnote>
  <w:footnote w:type="continuationSeparator" w:id="0">
    <w:p w:rsidR="002226B4" w:rsidRDefault="002226B4" w:rsidP="0004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E9" w:rsidRDefault="002226B4" w:rsidP="00CC2EDF">
    <w:pPr>
      <w:pStyle w:val="Header"/>
      <w:rPr>
        <w:rtl/>
      </w:rPr>
    </w:pPr>
  </w:p>
  <w:p w:rsidR="00AA4FE9" w:rsidRDefault="002226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B7D1D"/>
    <w:multiLevelType w:val="hybridMultilevel"/>
    <w:tmpl w:val="2642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D6B"/>
    <w:rsid w:val="00041D6B"/>
    <w:rsid w:val="000D7029"/>
    <w:rsid w:val="002226B4"/>
    <w:rsid w:val="005E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6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41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041D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41D6B"/>
  </w:style>
  <w:style w:type="table" w:styleId="TableGrid">
    <w:name w:val="Table Grid"/>
    <w:basedOn w:val="TableNormal"/>
    <w:uiPriority w:val="59"/>
    <w:rsid w:val="00041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nhideWhenUsed/>
    <w:rsid w:val="00041D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41D6B"/>
  </w:style>
  <w:style w:type="paragraph" w:styleId="ListParagraph">
    <w:name w:val="List Paragraph"/>
    <w:basedOn w:val="Normal"/>
    <w:uiPriority w:val="34"/>
    <w:qFormat/>
    <w:rsid w:val="00041D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6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041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1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7781E-74B8-48C3-B7B7-0811F968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1</cp:revision>
  <dcterms:created xsi:type="dcterms:W3CDTF">2016-05-25T05:50:00Z</dcterms:created>
  <dcterms:modified xsi:type="dcterms:W3CDTF">2016-05-25T06:04:00Z</dcterms:modified>
</cp:coreProperties>
</file>