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24" w:rsidRDefault="00217624" w:rsidP="00217624">
      <w:pPr>
        <w:rPr>
          <w:rStyle w:val="longtext"/>
          <w:sz w:val="28"/>
          <w:szCs w:val="28"/>
          <w:shd w:val="clear" w:color="auto" w:fill="FFFFFF"/>
        </w:rPr>
      </w:pPr>
    </w:p>
    <w:p w:rsidR="00217624" w:rsidRPr="00217624" w:rsidRDefault="00217624" w:rsidP="00217624">
      <w:pPr>
        <w:pStyle w:val="Header"/>
        <w:jc w:val="center"/>
        <w:rPr>
          <w:rFonts w:asciiTheme="majorBidi" w:hAnsiTheme="majorBidi" w:cstheme="majorBidi"/>
          <w:b/>
          <w:bCs/>
        </w:rPr>
      </w:pPr>
      <w:r w:rsidRPr="00217624">
        <w:rPr>
          <w:rFonts w:asciiTheme="majorBidi" w:hAnsiTheme="majorBidi" w:cstheme="majorBidi"/>
          <w:b/>
          <w:bCs/>
          <w:sz w:val="28"/>
          <w:szCs w:val="28"/>
        </w:rPr>
        <w:t>Palestinian Central Bureau of Statistics (PCBS)</w:t>
      </w:r>
    </w:p>
    <w:p w:rsidR="00217624" w:rsidRDefault="00217624" w:rsidP="00217624">
      <w:pPr>
        <w:bidi w:val="0"/>
        <w:jc w:val="center"/>
        <w:rPr>
          <w:rFonts w:hint="cs"/>
          <w:b/>
          <w:bCs/>
          <w:sz w:val="28"/>
          <w:szCs w:val="28"/>
          <w:rtl/>
        </w:rPr>
      </w:pPr>
    </w:p>
    <w:p w:rsidR="00217624" w:rsidRDefault="00217624" w:rsidP="00217624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Preliminary Results of the Palestinian Registered* External Trade in Goods  of</w:t>
      </w:r>
    </w:p>
    <w:p w:rsidR="00217624" w:rsidRDefault="00217624" w:rsidP="00217624">
      <w:pPr>
        <w:bidi w:val="0"/>
        <w:jc w:val="center"/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September, 09/2015.</w:t>
      </w:r>
    </w:p>
    <w:p w:rsidR="00217624" w:rsidRDefault="00217624" w:rsidP="00217624">
      <w:pPr>
        <w:bidi w:val="0"/>
        <w:jc w:val="center"/>
        <w:rPr>
          <w:rFonts w:ascii="Calibri" w:hAnsi="Calibri" w:hint="cs"/>
          <w:b/>
          <w:bCs/>
          <w:sz w:val="28"/>
          <w:szCs w:val="28"/>
          <w:rtl/>
        </w:rPr>
      </w:pPr>
    </w:p>
    <w:p w:rsidR="00217624" w:rsidRPr="003B5140" w:rsidRDefault="00217624" w:rsidP="00217624">
      <w:pPr>
        <w:bidi w:val="0"/>
        <w:jc w:val="both"/>
        <w:rPr>
          <w:lang w:bidi="ar-JO"/>
        </w:rPr>
      </w:pPr>
      <w:r>
        <w:rPr>
          <w:rFonts w:hint="cs"/>
          <w:rtl/>
          <w:lang w:bidi="ar-JO"/>
        </w:rPr>
        <w:t xml:space="preserve"> </w:t>
      </w:r>
    </w:p>
    <w:p w:rsidR="00217624" w:rsidRPr="003B5140" w:rsidRDefault="00217624" w:rsidP="00217624">
      <w:pPr>
        <w:bidi w:val="0"/>
        <w:jc w:val="both"/>
        <w:rPr>
          <w:rStyle w:val="longtext"/>
          <w:b/>
          <w:bCs/>
          <w:shd w:val="clear" w:color="auto" w:fill="FFFFFF"/>
        </w:rPr>
      </w:pPr>
      <w:r w:rsidRPr="003B5140">
        <w:rPr>
          <w:rStyle w:val="longtext"/>
          <w:b/>
          <w:bCs/>
          <w:shd w:val="clear" w:color="auto" w:fill="FFFFFF"/>
        </w:rPr>
        <w:t>Exports:</w:t>
      </w:r>
    </w:p>
    <w:p w:rsidR="00217624" w:rsidRPr="003B5140" w:rsidRDefault="00217624" w:rsidP="00217624">
      <w:pPr>
        <w:bidi w:val="0"/>
        <w:jc w:val="both"/>
        <w:rPr>
          <w:rStyle w:val="longtext"/>
          <w:shd w:val="clear" w:color="auto" w:fill="FFFFFF"/>
        </w:rPr>
      </w:pPr>
      <w:r w:rsidRPr="003B5140">
        <w:rPr>
          <w:rStyle w:val="longtext"/>
          <w:shd w:val="clear" w:color="auto" w:fill="FFFFFF"/>
        </w:rPr>
        <w:t>Exports</w:t>
      </w:r>
      <w:r>
        <w:rPr>
          <w:rStyle w:val="longtext"/>
          <w:shd w:val="clear" w:color="auto" w:fill="FFFFFF"/>
        </w:rPr>
        <w:t xml:space="preserve"> </w:t>
      </w:r>
      <w:r>
        <w:rPr>
          <w:rStyle w:val="longtext"/>
          <w:shd w:val="clear" w:color="auto" w:fill="FFFFFF"/>
          <w:lang w:val="en-GB"/>
        </w:rPr>
        <w:t>decreased</w:t>
      </w:r>
      <w:r w:rsidRPr="003B5140">
        <w:rPr>
          <w:rStyle w:val="longtext"/>
          <w:shd w:val="clear" w:color="auto" w:fill="FFFFFF"/>
        </w:rPr>
        <w:t xml:space="preserve"> in</w:t>
      </w:r>
      <w:r>
        <w:rPr>
          <w:rStyle w:val="longtext"/>
          <w:color w:val="000000" w:themeColor="text1"/>
          <w:shd w:val="clear" w:color="auto" w:fill="FFFFFF"/>
        </w:rPr>
        <w:t xml:space="preserve"> September</w:t>
      </w:r>
      <w:r w:rsidRPr="003A1A47">
        <w:rPr>
          <w:rStyle w:val="longtext"/>
          <w:color w:val="000000" w:themeColor="text1"/>
          <w:shd w:val="clear" w:color="auto" w:fill="FFFFFF"/>
        </w:rPr>
        <w:t xml:space="preserve">, </w:t>
      </w:r>
      <w:r>
        <w:rPr>
          <w:rStyle w:val="longtext"/>
          <w:color w:val="000000" w:themeColor="text1"/>
          <w:shd w:val="clear" w:color="auto" w:fill="FFFFFF"/>
        </w:rPr>
        <w:t>2015</w:t>
      </w:r>
      <w:r w:rsidRPr="003B5140">
        <w:rPr>
          <w:rStyle w:val="longtext"/>
          <w:shd w:val="clear" w:color="auto" w:fill="FFFFFF"/>
        </w:rPr>
        <w:t xml:space="preserve"> by </w:t>
      </w:r>
      <w:r>
        <w:rPr>
          <w:rStyle w:val="longtext"/>
          <w:shd w:val="clear" w:color="auto" w:fill="FFFFFF"/>
        </w:rPr>
        <w:t>24.6</w:t>
      </w:r>
      <w:r w:rsidRPr="003B5140">
        <w:rPr>
          <w:rStyle w:val="longtext"/>
          <w:shd w:val="clear" w:color="auto" w:fill="FFFFFF"/>
        </w:rPr>
        <w:t>% compared to</w:t>
      </w:r>
      <w:r>
        <w:rPr>
          <w:rStyle w:val="longtext"/>
          <w:color w:val="000000" w:themeColor="text1"/>
          <w:shd w:val="clear" w:color="auto" w:fill="FFFFFF"/>
        </w:rPr>
        <w:t xml:space="preserve"> August</w:t>
      </w:r>
      <w:r w:rsidRPr="003A1A47">
        <w:rPr>
          <w:rStyle w:val="longtext"/>
          <w:color w:val="000000" w:themeColor="text1"/>
          <w:shd w:val="clear" w:color="auto" w:fill="FFFFFF"/>
          <w:lang w:bidi="ar-JO"/>
        </w:rPr>
        <w:t>,</w:t>
      </w:r>
      <w:r w:rsidRPr="003A1A47">
        <w:rPr>
          <w:rStyle w:val="longtext"/>
          <w:color w:val="000000" w:themeColor="text1"/>
          <w:shd w:val="clear" w:color="auto" w:fill="FFFFFF"/>
        </w:rPr>
        <w:t xml:space="preserve"> 201</w:t>
      </w:r>
      <w:r>
        <w:rPr>
          <w:rStyle w:val="longtext"/>
          <w:color w:val="000000" w:themeColor="text1"/>
          <w:shd w:val="clear" w:color="auto" w:fill="FFFFFF"/>
        </w:rPr>
        <w:t>5</w:t>
      </w:r>
      <w:r w:rsidRPr="003B5140">
        <w:rPr>
          <w:rStyle w:val="longtext"/>
          <w:shd w:val="clear" w:color="auto" w:fill="FFFFFF"/>
        </w:rPr>
        <w:t>.</w:t>
      </w:r>
      <w:r>
        <w:rPr>
          <w:rStyle w:val="longtext"/>
          <w:shd w:val="clear" w:color="auto" w:fill="FFFFFF"/>
        </w:rPr>
        <w:t xml:space="preserve"> It</w:t>
      </w:r>
      <w:r w:rsidRPr="003B5140">
        <w:rPr>
          <w:rStyle w:val="longtext"/>
          <w:shd w:val="clear" w:color="auto" w:fill="FFFFFF"/>
        </w:rPr>
        <w:t xml:space="preserve"> </w:t>
      </w:r>
      <w:r>
        <w:rPr>
          <w:rStyle w:val="longtext"/>
          <w:shd w:val="clear" w:color="auto" w:fill="FFFFFF"/>
        </w:rPr>
        <w:t>also decreased</w:t>
      </w:r>
      <w:r w:rsidRPr="003B5140">
        <w:rPr>
          <w:rStyle w:val="longtext"/>
          <w:shd w:val="clear" w:color="auto" w:fill="FFFFFF"/>
        </w:rPr>
        <w:t xml:space="preserve"> by </w:t>
      </w:r>
      <w:r>
        <w:rPr>
          <w:rStyle w:val="longtext"/>
          <w:shd w:val="clear" w:color="auto" w:fill="FFFFFF"/>
        </w:rPr>
        <w:t>16.2</w:t>
      </w:r>
      <w:r w:rsidRPr="003B5140">
        <w:rPr>
          <w:rStyle w:val="longtext"/>
          <w:shd w:val="clear" w:color="auto" w:fill="FFFFFF"/>
        </w:rPr>
        <w:t>% compared to</w:t>
      </w:r>
      <w:r>
        <w:rPr>
          <w:rStyle w:val="longtext"/>
          <w:shd w:val="clear" w:color="auto" w:fill="FFFFFF"/>
        </w:rPr>
        <w:t xml:space="preserve"> September</w:t>
      </w:r>
      <w:r w:rsidRPr="003A1A47">
        <w:rPr>
          <w:rStyle w:val="longtext"/>
          <w:color w:val="000000" w:themeColor="text1"/>
          <w:shd w:val="clear" w:color="auto" w:fill="FFFFFF"/>
        </w:rPr>
        <w:t xml:space="preserve">, </w:t>
      </w:r>
      <w:r>
        <w:rPr>
          <w:rStyle w:val="longtext"/>
          <w:color w:val="000000" w:themeColor="text1"/>
          <w:shd w:val="clear" w:color="auto" w:fill="FFFFFF"/>
        </w:rPr>
        <w:t>2014</w:t>
      </w:r>
      <w:r w:rsidRPr="003B5140">
        <w:rPr>
          <w:rStyle w:val="longtext"/>
          <w:shd w:val="clear" w:color="auto" w:fill="FFFFFF"/>
        </w:rPr>
        <w:t xml:space="preserve"> and reached USD </w:t>
      </w:r>
      <w:r>
        <w:rPr>
          <w:rStyle w:val="longtext"/>
          <w:shd w:val="clear" w:color="auto" w:fill="FFFFFF"/>
        </w:rPr>
        <w:t xml:space="preserve">63.4 </w:t>
      </w:r>
      <w:r w:rsidRPr="003B5140">
        <w:rPr>
          <w:rStyle w:val="longtext"/>
          <w:shd w:val="clear" w:color="auto" w:fill="FFFFFF"/>
        </w:rPr>
        <w:t>Million.</w:t>
      </w:r>
    </w:p>
    <w:p w:rsidR="00217624" w:rsidRPr="003B5140" w:rsidRDefault="00217624" w:rsidP="00217624">
      <w:pPr>
        <w:bidi w:val="0"/>
        <w:jc w:val="both"/>
        <w:rPr>
          <w:rStyle w:val="longtext"/>
          <w:shd w:val="clear" w:color="auto" w:fill="FFFFFF"/>
        </w:rPr>
      </w:pPr>
    </w:p>
    <w:p w:rsidR="00217624" w:rsidRPr="003A52DD" w:rsidRDefault="00217624" w:rsidP="00217624">
      <w:pPr>
        <w:bidi w:val="0"/>
        <w:jc w:val="both"/>
        <w:rPr>
          <w:rStyle w:val="longtext"/>
          <w:shd w:val="clear" w:color="auto" w:fill="FFFFFF"/>
        </w:rPr>
      </w:pPr>
      <w:r w:rsidRPr="003B5140">
        <w:rPr>
          <w:rStyle w:val="longtext"/>
          <w:shd w:val="clear" w:color="auto" w:fill="FFFFFF"/>
        </w:rPr>
        <w:t xml:space="preserve">Exports to Israel </w:t>
      </w:r>
      <w:r>
        <w:rPr>
          <w:rStyle w:val="longtext"/>
          <w:shd w:val="clear" w:color="auto" w:fill="FFFFFF"/>
        </w:rPr>
        <w:t>decreased in</w:t>
      </w:r>
      <w:r w:rsidRPr="003B5140">
        <w:rPr>
          <w:rStyle w:val="longtext"/>
          <w:shd w:val="clear" w:color="auto" w:fill="FFFFFF"/>
        </w:rPr>
        <w:t xml:space="preserve"> </w:t>
      </w:r>
      <w:r>
        <w:rPr>
          <w:rStyle w:val="longtext"/>
          <w:shd w:val="clear" w:color="auto" w:fill="FFFFFF"/>
        </w:rPr>
        <w:t>September</w:t>
      </w:r>
      <w:r w:rsidRPr="003A52DD">
        <w:rPr>
          <w:rStyle w:val="longtext"/>
          <w:shd w:val="clear" w:color="auto" w:fill="FFFFFF"/>
        </w:rPr>
        <w:t>, 2015</w:t>
      </w:r>
      <w:r w:rsidRPr="003B5140">
        <w:rPr>
          <w:rStyle w:val="longtext"/>
          <w:shd w:val="clear" w:color="auto" w:fill="FFFFFF"/>
        </w:rPr>
        <w:t xml:space="preserve"> </w:t>
      </w:r>
      <w:r>
        <w:rPr>
          <w:rStyle w:val="longtext"/>
          <w:shd w:val="clear" w:color="auto" w:fill="FFFFFF"/>
        </w:rPr>
        <w:t xml:space="preserve"> </w:t>
      </w:r>
      <w:r w:rsidRPr="003B5140">
        <w:rPr>
          <w:rStyle w:val="longtext"/>
          <w:shd w:val="clear" w:color="auto" w:fill="FFFFFF"/>
        </w:rPr>
        <w:t xml:space="preserve">by </w:t>
      </w:r>
      <w:r>
        <w:rPr>
          <w:rStyle w:val="longtext"/>
          <w:shd w:val="clear" w:color="auto" w:fill="FFFFFF"/>
        </w:rPr>
        <w:t>23.3</w:t>
      </w:r>
      <w:r w:rsidRPr="003A52DD">
        <w:rPr>
          <w:rStyle w:val="longtext"/>
          <w:shd w:val="clear" w:color="auto" w:fill="FFFFFF"/>
        </w:rPr>
        <w:t>%</w:t>
      </w:r>
      <w:r w:rsidRPr="003B5140">
        <w:rPr>
          <w:rStyle w:val="longtext"/>
          <w:shd w:val="clear" w:color="auto" w:fill="FFFFFF"/>
        </w:rPr>
        <w:t xml:space="preserve"> compared</w:t>
      </w:r>
      <w:r w:rsidRPr="003B5140">
        <w:rPr>
          <w:rStyle w:val="longtext"/>
          <w:rFonts w:hint="cs"/>
          <w:shd w:val="clear" w:color="auto" w:fill="FFFFFF"/>
          <w:rtl/>
        </w:rPr>
        <w:t xml:space="preserve"> </w:t>
      </w:r>
      <w:r w:rsidRPr="003A52DD">
        <w:rPr>
          <w:rStyle w:val="longtext"/>
          <w:shd w:val="clear" w:color="auto" w:fill="FFFFFF"/>
        </w:rPr>
        <w:t xml:space="preserve">to </w:t>
      </w:r>
      <w:r>
        <w:rPr>
          <w:rStyle w:val="longtext"/>
          <w:shd w:val="clear" w:color="auto" w:fill="FFFFFF"/>
        </w:rPr>
        <w:t>August</w:t>
      </w:r>
      <w:r w:rsidRPr="003A52DD">
        <w:rPr>
          <w:rStyle w:val="longtext"/>
          <w:shd w:val="clear" w:color="auto" w:fill="FFFFFF"/>
        </w:rPr>
        <w:t xml:space="preserve">, 2015 </w:t>
      </w:r>
      <w:r w:rsidRPr="003B5140">
        <w:rPr>
          <w:rStyle w:val="longtext"/>
          <w:shd w:val="clear" w:color="auto" w:fill="FFFFFF"/>
        </w:rPr>
        <w:t xml:space="preserve">and represented </w:t>
      </w:r>
      <w:r>
        <w:rPr>
          <w:rStyle w:val="longtext"/>
          <w:shd w:val="clear" w:color="auto" w:fill="FFFFFF"/>
        </w:rPr>
        <w:t>89.4</w:t>
      </w:r>
      <w:r w:rsidRPr="003B5140">
        <w:rPr>
          <w:rStyle w:val="longtext"/>
          <w:shd w:val="clear" w:color="auto" w:fill="FFFFFF"/>
        </w:rPr>
        <w:t xml:space="preserve">% of total exports </w:t>
      </w:r>
      <w:r w:rsidRPr="003A52DD">
        <w:rPr>
          <w:rStyle w:val="longtext"/>
          <w:shd w:val="clear" w:color="auto" w:fill="FFFFFF"/>
        </w:rPr>
        <w:t xml:space="preserve">in </w:t>
      </w:r>
      <w:r>
        <w:rPr>
          <w:rStyle w:val="longtext"/>
          <w:shd w:val="clear" w:color="auto" w:fill="FFFFFF"/>
        </w:rPr>
        <w:t>September</w:t>
      </w:r>
      <w:r w:rsidRPr="003A52DD">
        <w:rPr>
          <w:rStyle w:val="longtext"/>
          <w:shd w:val="clear" w:color="auto" w:fill="FFFFFF"/>
        </w:rPr>
        <w:t>, 2015.</w:t>
      </w:r>
    </w:p>
    <w:p w:rsidR="00217624" w:rsidRPr="003B5140" w:rsidRDefault="00217624" w:rsidP="00217624">
      <w:pPr>
        <w:bidi w:val="0"/>
        <w:jc w:val="both"/>
        <w:rPr>
          <w:rStyle w:val="longtext"/>
          <w:shd w:val="clear" w:color="auto" w:fill="FFFFFF"/>
        </w:rPr>
      </w:pPr>
    </w:p>
    <w:p w:rsidR="00217624" w:rsidRPr="00E87AD8" w:rsidRDefault="00217624" w:rsidP="00217624">
      <w:pPr>
        <w:bidi w:val="0"/>
        <w:jc w:val="both"/>
        <w:rPr>
          <w:color w:val="FF0000"/>
          <w:lang w:bidi="ar-JO"/>
        </w:rPr>
      </w:pPr>
      <w:r w:rsidRPr="003B5140">
        <w:rPr>
          <w:rStyle w:val="longtext"/>
          <w:shd w:val="clear" w:color="auto" w:fill="FFFFFF"/>
        </w:rPr>
        <w:t xml:space="preserve">On the other hand, exports to other countries </w:t>
      </w:r>
      <w:r>
        <w:rPr>
          <w:rStyle w:val="longtext"/>
          <w:shd w:val="clear" w:color="auto" w:fill="FFFFFF"/>
        </w:rPr>
        <w:t xml:space="preserve"> decreased </w:t>
      </w:r>
      <w:r w:rsidRPr="003B5140">
        <w:rPr>
          <w:rStyle w:val="longtext"/>
          <w:shd w:val="clear" w:color="auto" w:fill="FFFFFF"/>
        </w:rPr>
        <w:t xml:space="preserve">by </w:t>
      </w:r>
      <w:r>
        <w:rPr>
          <w:rStyle w:val="longtext"/>
          <w:shd w:val="clear" w:color="auto" w:fill="FFFFFF"/>
        </w:rPr>
        <w:t>34.1</w:t>
      </w:r>
      <w:r w:rsidRPr="003B5140">
        <w:rPr>
          <w:rStyle w:val="longtext"/>
          <w:shd w:val="clear" w:color="auto" w:fill="FFFFFF"/>
        </w:rPr>
        <w:t>% during the same period compared to</w:t>
      </w:r>
      <w:r w:rsidRPr="003B5140">
        <w:rPr>
          <w:rStyle w:val="longtext"/>
        </w:rPr>
        <w:t xml:space="preserve"> </w:t>
      </w:r>
      <w:r>
        <w:rPr>
          <w:rStyle w:val="longtext"/>
          <w:color w:val="000000" w:themeColor="text1"/>
          <w:shd w:val="clear" w:color="auto" w:fill="FFFFFF"/>
        </w:rPr>
        <w:t>August</w:t>
      </w:r>
      <w:r w:rsidRPr="003A1A47">
        <w:rPr>
          <w:rStyle w:val="longtext"/>
          <w:color w:val="000000" w:themeColor="text1"/>
          <w:shd w:val="clear" w:color="auto" w:fill="FFFFFF"/>
          <w:lang w:bidi="ar-JO"/>
        </w:rPr>
        <w:t>,</w:t>
      </w:r>
      <w:r w:rsidRPr="003A1A47">
        <w:rPr>
          <w:rStyle w:val="longtext"/>
          <w:color w:val="000000" w:themeColor="text1"/>
          <w:shd w:val="clear" w:color="auto" w:fill="FFFFFF"/>
        </w:rPr>
        <w:t xml:space="preserve"> 201</w:t>
      </w:r>
      <w:r>
        <w:rPr>
          <w:rStyle w:val="longtext"/>
          <w:color w:val="000000" w:themeColor="text1"/>
          <w:shd w:val="clear" w:color="auto" w:fill="FFFFFF"/>
        </w:rPr>
        <w:t>5</w:t>
      </w:r>
      <w:r w:rsidRPr="004175F7">
        <w:rPr>
          <w:rStyle w:val="longtext"/>
          <w:shd w:val="clear" w:color="auto" w:fill="FFFFFF"/>
        </w:rPr>
        <w:t>.</w:t>
      </w:r>
    </w:p>
    <w:p w:rsidR="00217624" w:rsidRPr="00E87AD8" w:rsidRDefault="00217624" w:rsidP="00217624">
      <w:pPr>
        <w:bidi w:val="0"/>
        <w:jc w:val="both"/>
        <w:rPr>
          <w:color w:val="FF0000"/>
          <w:lang w:bidi="ar-JO"/>
        </w:rPr>
      </w:pPr>
    </w:p>
    <w:p w:rsidR="00217624" w:rsidRPr="003B5140" w:rsidRDefault="00217624" w:rsidP="00217624">
      <w:pPr>
        <w:pStyle w:val="BodyText"/>
        <w:ind w:right="0"/>
        <w:jc w:val="both"/>
      </w:pPr>
      <w:r w:rsidRPr="003B5140">
        <w:t>Imports:</w:t>
      </w:r>
    </w:p>
    <w:p w:rsidR="00217624" w:rsidRPr="003B5140" w:rsidRDefault="00217624" w:rsidP="00217624">
      <w:pPr>
        <w:pStyle w:val="BodyText"/>
        <w:ind w:right="0"/>
        <w:jc w:val="both"/>
        <w:rPr>
          <w:rStyle w:val="longtext"/>
          <w:b w:val="0"/>
          <w:bCs w:val="0"/>
          <w:shd w:val="clear" w:color="auto" w:fill="FFFFFF"/>
        </w:rPr>
      </w:pPr>
      <w:r w:rsidRPr="003B5140">
        <w:rPr>
          <w:rStyle w:val="longtext"/>
          <w:b w:val="0"/>
          <w:bCs w:val="0"/>
          <w:shd w:val="clear" w:color="auto" w:fill="FFFFFF"/>
        </w:rPr>
        <w:t>Imports</w:t>
      </w:r>
      <w:r w:rsidRPr="005B0056">
        <w:rPr>
          <w:rStyle w:val="longtext"/>
          <w:shd w:val="clear" w:color="auto" w:fill="FFFFFF"/>
        </w:rPr>
        <w:t xml:space="preserve"> </w:t>
      </w:r>
      <w:r>
        <w:rPr>
          <w:rStyle w:val="longtext"/>
          <w:b w:val="0"/>
          <w:bCs w:val="0"/>
          <w:shd w:val="clear" w:color="auto" w:fill="FFFFFF"/>
        </w:rPr>
        <w:t>increased</w:t>
      </w:r>
      <w:r w:rsidRPr="005B0056">
        <w:rPr>
          <w:rStyle w:val="longtext"/>
          <w:shd w:val="clear" w:color="auto" w:fill="FFFFFF"/>
        </w:rPr>
        <w:t xml:space="preserve"> </w:t>
      </w:r>
      <w:r w:rsidRPr="005B0056">
        <w:rPr>
          <w:rStyle w:val="longtext"/>
          <w:b w:val="0"/>
          <w:bCs w:val="0"/>
          <w:shd w:val="clear" w:color="auto" w:fill="FFFFFF"/>
        </w:rPr>
        <w:t>in</w:t>
      </w:r>
      <w:r w:rsidRPr="005B0056">
        <w:rPr>
          <w:rStyle w:val="longtext"/>
          <w:shd w:val="clear" w:color="auto" w:fill="FFFFFF"/>
        </w:rPr>
        <w:t xml:space="preserve"> </w:t>
      </w:r>
      <w:r>
        <w:rPr>
          <w:rStyle w:val="longtext"/>
          <w:b w:val="0"/>
          <w:bCs w:val="0"/>
          <w:shd w:val="clear" w:color="auto" w:fill="FFFFFF"/>
        </w:rPr>
        <w:t>September</w:t>
      </w:r>
      <w:r w:rsidRPr="005B0056">
        <w:rPr>
          <w:rStyle w:val="longtext"/>
          <w:b w:val="0"/>
          <w:bCs w:val="0"/>
          <w:shd w:val="clear" w:color="auto" w:fill="FFFFFF"/>
        </w:rPr>
        <w:t xml:space="preserve"> 2015</w:t>
      </w:r>
      <w:r w:rsidRPr="003B5140">
        <w:rPr>
          <w:rStyle w:val="longtext"/>
          <w:b w:val="0"/>
          <w:bCs w:val="0"/>
          <w:shd w:val="clear" w:color="auto" w:fill="FFFFFF"/>
        </w:rPr>
        <w:t xml:space="preserve"> by </w:t>
      </w:r>
      <w:r>
        <w:rPr>
          <w:rStyle w:val="longtext"/>
          <w:b w:val="0"/>
          <w:bCs w:val="0"/>
          <w:shd w:val="clear" w:color="auto" w:fill="FFFFFF"/>
        </w:rPr>
        <w:t>5.0</w:t>
      </w:r>
      <w:r w:rsidRPr="003B5140">
        <w:rPr>
          <w:rStyle w:val="longtext"/>
          <w:b w:val="0"/>
          <w:bCs w:val="0"/>
          <w:shd w:val="clear" w:color="auto" w:fill="FFFFFF"/>
        </w:rPr>
        <w:t>% compared to</w:t>
      </w:r>
      <w:r w:rsidRPr="005B0056">
        <w:rPr>
          <w:rStyle w:val="longtext"/>
          <w:b w:val="0"/>
          <w:bCs w:val="0"/>
          <w:shd w:val="clear" w:color="auto" w:fill="FFFFFF"/>
        </w:rPr>
        <w:t xml:space="preserve"> </w:t>
      </w:r>
      <w:r>
        <w:rPr>
          <w:rStyle w:val="longtext"/>
          <w:b w:val="0"/>
          <w:bCs w:val="0"/>
          <w:shd w:val="clear" w:color="auto" w:fill="FFFFFF"/>
        </w:rPr>
        <w:t>August</w:t>
      </w:r>
      <w:r w:rsidRPr="005B0056">
        <w:rPr>
          <w:rStyle w:val="longtext"/>
          <w:b w:val="0"/>
          <w:bCs w:val="0"/>
          <w:shd w:val="clear" w:color="auto" w:fill="FFFFFF"/>
        </w:rPr>
        <w:t>, 2015</w:t>
      </w:r>
      <w:r w:rsidRPr="003B5140">
        <w:rPr>
          <w:rStyle w:val="longtext"/>
          <w:b w:val="0"/>
          <w:bCs w:val="0"/>
          <w:shd w:val="clear" w:color="auto" w:fill="FFFFFF"/>
        </w:rPr>
        <w:t xml:space="preserve">. </w:t>
      </w:r>
      <w:r w:rsidRPr="009E56B9">
        <w:rPr>
          <w:rStyle w:val="longtext"/>
          <w:b w:val="0"/>
          <w:bCs w:val="0"/>
          <w:shd w:val="clear" w:color="auto" w:fill="FFFFFF"/>
        </w:rPr>
        <w:t>It also</w:t>
      </w:r>
      <w:r>
        <w:rPr>
          <w:rStyle w:val="longtext"/>
          <w:b w:val="0"/>
          <w:bCs w:val="0"/>
          <w:shd w:val="clear" w:color="auto" w:fill="FFFFFF"/>
        </w:rPr>
        <w:t xml:space="preserve"> increased </w:t>
      </w:r>
      <w:r w:rsidRPr="003B5140">
        <w:rPr>
          <w:rStyle w:val="longtext"/>
          <w:b w:val="0"/>
          <w:bCs w:val="0"/>
          <w:shd w:val="clear" w:color="auto" w:fill="FFFFFF"/>
        </w:rPr>
        <w:t xml:space="preserve">by </w:t>
      </w:r>
      <w:r>
        <w:rPr>
          <w:rStyle w:val="longtext"/>
          <w:b w:val="0"/>
          <w:bCs w:val="0"/>
          <w:shd w:val="clear" w:color="auto" w:fill="FFFFFF"/>
        </w:rPr>
        <w:t>6.4</w:t>
      </w:r>
      <w:r w:rsidRPr="003B5140">
        <w:rPr>
          <w:rStyle w:val="longtext"/>
          <w:b w:val="0"/>
          <w:bCs w:val="0"/>
          <w:shd w:val="clear" w:color="auto" w:fill="FFFFFF"/>
        </w:rPr>
        <w:t xml:space="preserve">% compared to </w:t>
      </w:r>
      <w:r>
        <w:rPr>
          <w:rStyle w:val="longtext"/>
          <w:b w:val="0"/>
          <w:bCs w:val="0"/>
          <w:shd w:val="clear" w:color="auto" w:fill="FFFFFF"/>
        </w:rPr>
        <w:t>September</w:t>
      </w:r>
      <w:r w:rsidRPr="005B0056">
        <w:rPr>
          <w:rStyle w:val="longtext"/>
          <w:b w:val="0"/>
          <w:bCs w:val="0"/>
          <w:shd w:val="clear" w:color="auto" w:fill="FFFFFF"/>
        </w:rPr>
        <w:t>, 2014</w:t>
      </w:r>
      <w:r w:rsidRPr="003B5140">
        <w:rPr>
          <w:rStyle w:val="longtext"/>
          <w:b w:val="0"/>
          <w:bCs w:val="0"/>
          <w:shd w:val="clear" w:color="auto" w:fill="FFFFFF"/>
        </w:rPr>
        <w:t xml:space="preserve"> and reached USD </w:t>
      </w:r>
      <w:r>
        <w:rPr>
          <w:rStyle w:val="longtext"/>
          <w:b w:val="0"/>
          <w:bCs w:val="0"/>
          <w:shd w:val="clear" w:color="auto" w:fill="FFFFFF"/>
        </w:rPr>
        <w:t>450.3</w:t>
      </w:r>
      <w:r w:rsidRPr="003B5140">
        <w:rPr>
          <w:rStyle w:val="longtext"/>
          <w:b w:val="0"/>
          <w:bCs w:val="0"/>
          <w:shd w:val="clear" w:color="auto" w:fill="FFFFFF"/>
        </w:rPr>
        <w:t xml:space="preserve"> Million.</w:t>
      </w:r>
    </w:p>
    <w:p w:rsidR="00217624" w:rsidRPr="005B0056" w:rsidRDefault="00217624" w:rsidP="00217624">
      <w:pPr>
        <w:pStyle w:val="BodyText"/>
        <w:ind w:right="0"/>
        <w:jc w:val="both"/>
        <w:rPr>
          <w:rStyle w:val="longtext"/>
          <w:shd w:val="clear" w:color="auto" w:fill="FFFFFF"/>
        </w:rPr>
      </w:pPr>
      <w:r w:rsidRPr="005B0056">
        <w:rPr>
          <w:rStyle w:val="longtext"/>
          <w:shd w:val="clear" w:color="auto" w:fill="FFFFFF"/>
        </w:rPr>
        <w:t xml:space="preserve"> </w:t>
      </w:r>
    </w:p>
    <w:p w:rsidR="00217624" w:rsidRPr="003A1A47" w:rsidRDefault="00217624" w:rsidP="00217624">
      <w:pPr>
        <w:pStyle w:val="BodyText"/>
        <w:tabs>
          <w:tab w:val="right" w:pos="3544"/>
        </w:tabs>
        <w:ind w:right="0"/>
        <w:jc w:val="both"/>
        <w:rPr>
          <w:b w:val="0"/>
          <w:bCs w:val="0"/>
          <w:color w:val="000000" w:themeColor="text1"/>
        </w:rPr>
      </w:pPr>
      <w:r w:rsidRPr="003B5140">
        <w:rPr>
          <w:b w:val="0"/>
          <w:bCs w:val="0"/>
        </w:rPr>
        <w:t xml:space="preserve">Imports from Israel </w:t>
      </w:r>
      <w:r>
        <w:rPr>
          <w:rStyle w:val="longtext"/>
          <w:b w:val="0"/>
          <w:bCs w:val="0"/>
          <w:shd w:val="clear" w:color="auto" w:fill="FFFFFF"/>
        </w:rPr>
        <w:t>increased</w:t>
      </w:r>
      <w:r w:rsidRPr="003B5140">
        <w:rPr>
          <w:b w:val="0"/>
          <w:bCs w:val="0"/>
        </w:rPr>
        <w:t xml:space="preserve"> by </w:t>
      </w:r>
      <w:r>
        <w:rPr>
          <w:b w:val="0"/>
          <w:bCs w:val="0"/>
        </w:rPr>
        <w:t>28.8</w:t>
      </w:r>
      <w:r w:rsidRPr="003B5140">
        <w:rPr>
          <w:b w:val="0"/>
          <w:bCs w:val="0"/>
        </w:rPr>
        <w:t xml:space="preserve">% in </w:t>
      </w:r>
      <w:r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September </w:t>
      </w:r>
      <w:r>
        <w:rPr>
          <w:b w:val="0"/>
          <w:bCs w:val="0"/>
          <w:color w:val="000000" w:themeColor="text1"/>
        </w:rPr>
        <w:t>2015</w:t>
      </w:r>
      <w:r w:rsidRPr="003B5140">
        <w:rPr>
          <w:b w:val="0"/>
          <w:bCs w:val="0"/>
        </w:rPr>
        <w:t xml:space="preserve"> compared to </w:t>
      </w:r>
      <w:r>
        <w:rPr>
          <w:rStyle w:val="longtext"/>
          <w:b w:val="0"/>
          <w:bCs w:val="0"/>
          <w:shd w:val="clear" w:color="auto" w:fill="FFFFFF"/>
        </w:rPr>
        <w:t>August</w:t>
      </w:r>
      <w:r w:rsidRPr="003B5140">
        <w:rPr>
          <w:rStyle w:val="longtext"/>
          <w:b w:val="0"/>
          <w:bCs w:val="0"/>
          <w:shd w:val="clear" w:color="auto" w:fill="FFFFFF"/>
        </w:rPr>
        <w:t>,</w:t>
      </w:r>
      <w:r w:rsidRPr="003B5140">
        <w:rPr>
          <w:b w:val="0"/>
          <w:bCs w:val="0"/>
        </w:rPr>
        <w:t xml:space="preserve"> </w:t>
      </w:r>
      <w:r>
        <w:rPr>
          <w:b w:val="0"/>
          <w:bCs w:val="0"/>
        </w:rPr>
        <w:t>2015</w:t>
      </w:r>
      <w:r w:rsidRPr="003B5140">
        <w:rPr>
          <w:b w:val="0"/>
          <w:bCs w:val="0"/>
        </w:rPr>
        <w:t xml:space="preserve"> and represented </w:t>
      </w:r>
      <w:r>
        <w:rPr>
          <w:b w:val="0"/>
          <w:bCs w:val="0"/>
        </w:rPr>
        <w:t>65.0</w:t>
      </w:r>
      <w:r w:rsidRPr="003B5140">
        <w:rPr>
          <w:b w:val="0"/>
          <w:bCs w:val="0"/>
        </w:rPr>
        <w:t>% of total imports in</w:t>
      </w:r>
      <w:r>
        <w:rPr>
          <w:b w:val="0"/>
          <w:bCs w:val="0"/>
          <w:lang w:bidi="ar-JO"/>
        </w:rPr>
        <w:t xml:space="preserve"> </w:t>
      </w:r>
      <w:r>
        <w:rPr>
          <w:b w:val="0"/>
          <w:bCs w:val="0"/>
          <w:color w:val="000000" w:themeColor="text1"/>
          <w:lang w:bidi="ar-JO"/>
        </w:rPr>
        <w:t xml:space="preserve">September </w:t>
      </w:r>
      <w:r w:rsidRPr="003A1A47">
        <w:rPr>
          <w:b w:val="0"/>
          <w:bCs w:val="0"/>
          <w:color w:val="000000" w:themeColor="text1"/>
        </w:rPr>
        <w:t>201</w:t>
      </w:r>
      <w:r>
        <w:rPr>
          <w:b w:val="0"/>
          <w:bCs w:val="0"/>
          <w:color w:val="000000" w:themeColor="text1"/>
        </w:rPr>
        <w:t>5</w:t>
      </w:r>
      <w:r w:rsidRPr="003A1A47">
        <w:rPr>
          <w:b w:val="0"/>
          <w:bCs w:val="0"/>
          <w:color w:val="000000" w:themeColor="text1"/>
        </w:rPr>
        <w:t>.</w:t>
      </w:r>
    </w:p>
    <w:p w:rsidR="00217624" w:rsidRPr="003A1A47" w:rsidRDefault="00217624" w:rsidP="00217624">
      <w:pPr>
        <w:pStyle w:val="BodyText"/>
        <w:ind w:right="0"/>
        <w:jc w:val="both"/>
        <w:rPr>
          <w:b w:val="0"/>
          <w:bCs w:val="0"/>
          <w:color w:val="000000" w:themeColor="text1"/>
          <w:sz w:val="8"/>
          <w:szCs w:val="8"/>
        </w:rPr>
      </w:pPr>
    </w:p>
    <w:p w:rsidR="00217624" w:rsidRPr="003B5140" w:rsidRDefault="00217624" w:rsidP="00217624">
      <w:pPr>
        <w:pStyle w:val="BodyText"/>
        <w:tabs>
          <w:tab w:val="right" w:pos="3544"/>
        </w:tabs>
        <w:ind w:right="0"/>
        <w:jc w:val="both"/>
        <w:rPr>
          <w:b w:val="0"/>
          <w:bCs w:val="0"/>
        </w:rPr>
      </w:pPr>
    </w:p>
    <w:p w:rsidR="00217624" w:rsidRDefault="00217624" w:rsidP="00217624">
      <w:pPr>
        <w:pStyle w:val="BodyText"/>
        <w:tabs>
          <w:tab w:val="right" w:pos="3544"/>
        </w:tabs>
        <w:ind w:right="0"/>
        <w:jc w:val="both"/>
        <w:rPr>
          <w:b w:val="0"/>
          <w:bCs w:val="0"/>
          <w:color w:val="000000" w:themeColor="text1"/>
          <w:sz w:val="8"/>
          <w:szCs w:val="8"/>
          <w:rtl/>
        </w:rPr>
      </w:pPr>
      <w:r w:rsidRPr="003B5140">
        <w:rPr>
          <w:b w:val="0"/>
          <w:bCs w:val="0"/>
        </w:rPr>
        <w:t xml:space="preserve">On the other hand, imports from other countries </w:t>
      </w:r>
      <w:r>
        <w:rPr>
          <w:rStyle w:val="longtext"/>
          <w:b w:val="0"/>
          <w:bCs w:val="0"/>
          <w:shd w:val="clear" w:color="auto" w:fill="FFFFFF"/>
        </w:rPr>
        <w:t>decrease</w:t>
      </w:r>
      <w:r w:rsidRPr="003B5140">
        <w:rPr>
          <w:b w:val="0"/>
          <w:bCs w:val="0"/>
        </w:rPr>
        <w:t xml:space="preserve"> by </w:t>
      </w:r>
      <w:r>
        <w:rPr>
          <w:b w:val="0"/>
          <w:bCs w:val="0"/>
          <w:color w:val="000000" w:themeColor="text1"/>
        </w:rPr>
        <w:t>21.8</w:t>
      </w:r>
      <w:r w:rsidRPr="0081649C">
        <w:rPr>
          <w:b w:val="0"/>
          <w:bCs w:val="0"/>
          <w:color w:val="000000" w:themeColor="text1"/>
        </w:rPr>
        <w:t>%</w:t>
      </w:r>
      <w:r w:rsidRPr="003B5140">
        <w:rPr>
          <w:b w:val="0"/>
          <w:bCs w:val="0"/>
        </w:rPr>
        <w:t xml:space="preserve"> compared </w:t>
      </w:r>
      <w:r w:rsidRPr="003A1A47">
        <w:rPr>
          <w:b w:val="0"/>
          <w:bCs w:val="0"/>
          <w:color w:val="000000" w:themeColor="text1"/>
        </w:rPr>
        <w:t xml:space="preserve">to </w:t>
      </w:r>
      <w:r>
        <w:rPr>
          <w:b w:val="0"/>
          <w:bCs w:val="0"/>
          <w:color w:val="000000" w:themeColor="text1"/>
        </w:rPr>
        <w:t>August</w:t>
      </w:r>
      <w:r w:rsidRPr="003A1A47">
        <w:rPr>
          <w:rStyle w:val="longtext"/>
          <w:b w:val="0"/>
          <w:bCs w:val="0"/>
          <w:color w:val="000000" w:themeColor="text1"/>
          <w:shd w:val="clear" w:color="auto" w:fill="FFFFFF"/>
        </w:rPr>
        <w:t>,</w:t>
      </w:r>
      <w:r w:rsidRPr="003A1A47">
        <w:rPr>
          <w:b w:val="0"/>
          <w:bCs w:val="0"/>
          <w:color w:val="000000" w:themeColor="text1"/>
        </w:rPr>
        <w:t xml:space="preserve"> 201</w:t>
      </w:r>
      <w:r>
        <w:rPr>
          <w:b w:val="0"/>
          <w:bCs w:val="0"/>
          <w:color w:val="000000" w:themeColor="text1"/>
        </w:rPr>
        <w:t>5</w:t>
      </w:r>
      <w:r w:rsidRPr="003A1A47">
        <w:rPr>
          <w:b w:val="0"/>
          <w:bCs w:val="0"/>
          <w:color w:val="000000" w:themeColor="text1"/>
        </w:rPr>
        <w:t>.</w:t>
      </w:r>
    </w:p>
    <w:p w:rsidR="00217624" w:rsidRDefault="00217624" w:rsidP="00217624">
      <w:pPr>
        <w:bidi w:val="0"/>
        <w:spacing w:after="120"/>
        <w:ind w:right="284"/>
        <w:jc w:val="center"/>
        <w:rPr>
          <w:b/>
          <w:bCs/>
          <w:color w:val="000000" w:themeColor="text1"/>
          <w:lang w:eastAsia="en-US"/>
        </w:rPr>
      </w:pPr>
    </w:p>
    <w:p w:rsidR="00217624" w:rsidRPr="001A6C5B" w:rsidRDefault="00217624" w:rsidP="00217624">
      <w:pPr>
        <w:bidi w:val="0"/>
        <w:spacing w:after="120"/>
        <w:ind w:right="284"/>
        <w:jc w:val="center"/>
        <w:rPr>
          <w:b/>
          <w:bCs/>
          <w:color w:val="000000" w:themeColor="text1"/>
          <w:lang w:eastAsia="en-US"/>
        </w:rPr>
      </w:pPr>
      <w:r w:rsidRPr="00730FC4">
        <w:rPr>
          <w:b/>
          <w:bCs/>
          <w:noProof/>
          <w:color w:val="000000" w:themeColor="text1"/>
          <w:lang w:eastAsia="en-US"/>
        </w:rPr>
        <w:drawing>
          <wp:inline distT="0" distB="0" distL="0" distR="0">
            <wp:extent cx="3117215" cy="1819275"/>
            <wp:effectExtent l="19050" t="0" r="2603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17624" w:rsidRDefault="00217624" w:rsidP="00217624">
      <w:pPr>
        <w:bidi w:val="0"/>
        <w:spacing w:after="120"/>
        <w:ind w:right="284"/>
        <w:jc w:val="center"/>
        <w:rPr>
          <w:b/>
          <w:bCs/>
          <w:color w:val="000000" w:themeColor="text1"/>
          <w:lang w:eastAsia="en-US"/>
        </w:rPr>
      </w:pPr>
    </w:p>
    <w:p w:rsidR="00217624" w:rsidRDefault="00217624" w:rsidP="00217624">
      <w:pPr>
        <w:bidi w:val="0"/>
        <w:spacing w:after="120"/>
        <w:ind w:right="284"/>
        <w:jc w:val="center"/>
        <w:rPr>
          <w:b/>
          <w:bCs/>
          <w:color w:val="000000" w:themeColor="text1"/>
          <w:lang w:eastAsia="en-US"/>
        </w:rPr>
      </w:pPr>
    </w:p>
    <w:p w:rsidR="00217624" w:rsidRPr="00C957DA" w:rsidRDefault="00217624" w:rsidP="00217624">
      <w:pPr>
        <w:bidi w:val="0"/>
        <w:spacing w:after="120"/>
        <w:ind w:right="284"/>
        <w:jc w:val="center"/>
        <w:rPr>
          <w:b/>
          <w:bCs/>
          <w:color w:val="000000" w:themeColor="text1"/>
          <w:lang w:eastAsia="en-US"/>
        </w:rPr>
      </w:pPr>
      <w:r w:rsidRPr="00C957DA">
        <w:rPr>
          <w:b/>
          <w:bCs/>
          <w:noProof/>
          <w:color w:val="000000" w:themeColor="text1"/>
          <w:lang w:eastAsia="en-US"/>
        </w:rPr>
        <w:lastRenderedPageBreak/>
        <w:drawing>
          <wp:inline distT="0" distB="0" distL="0" distR="0">
            <wp:extent cx="3057525" cy="2762250"/>
            <wp:effectExtent l="1905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17624" w:rsidRDefault="00217624" w:rsidP="00217624">
      <w:pPr>
        <w:bidi w:val="0"/>
        <w:jc w:val="both"/>
        <w:rPr>
          <w:b/>
          <w:bCs/>
          <w:color w:val="000000" w:themeColor="text1"/>
          <w:lang w:eastAsia="en-US"/>
        </w:rPr>
      </w:pPr>
    </w:p>
    <w:p w:rsidR="00217624" w:rsidRDefault="00217624" w:rsidP="00217624">
      <w:pPr>
        <w:bidi w:val="0"/>
        <w:jc w:val="both"/>
        <w:rPr>
          <w:b/>
          <w:bCs/>
          <w:color w:val="000000" w:themeColor="text1"/>
          <w:lang w:eastAsia="en-US"/>
        </w:rPr>
      </w:pPr>
    </w:p>
    <w:p w:rsidR="00217624" w:rsidRPr="001A6C5B" w:rsidRDefault="00217624" w:rsidP="00217624">
      <w:pPr>
        <w:bidi w:val="0"/>
        <w:jc w:val="both"/>
        <w:rPr>
          <w:b/>
          <w:bCs/>
          <w:color w:val="000000" w:themeColor="text1"/>
          <w:lang w:eastAsia="en-US"/>
        </w:rPr>
      </w:pPr>
      <w:r w:rsidRPr="001A6C5B">
        <w:rPr>
          <w:b/>
          <w:bCs/>
          <w:color w:val="000000" w:themeColor="text1"/>
          <w:lang w:eastAsia="en-US"/>
        </w:rPr>
        <w:t>Net Trade Balance on Registered Goods:</w:t>
      </w:r>
    </w:p>
    <w:p w:rsidR="00217624" w:rsidRPr="001A6C5B" w:rsidRDefault="00217624" w:rsidP="00217624">
      <w:pPr>
        <w:bidi w:val="0"/>
        <w:jc w:val="both"/>
        <w:rPr>
          <w:color w:val="000000" w:themeColor="text1"/>
        </w:rPr>
      </w:pPr>
      <w:r w:rsidRPr="001A6C5B">
        <w:rPr>
          <w:color w:val="000000" w:themeColor="text1"/>
        </w:rPr>
        <w:t xml:space="preserve">The trade balance which represents the </w:t>
      </w:r>
      <w:r>
        <w:rPr>
          <w:color w:val="000000" w:themeColor="text1"/>
        </w:rPr>
        <w:t xml:space="preserve">difference </w:t>
      </w:r>
      <w:r w:rsidRPr="001A6C5B">
        <w:rPr>
          <w:color w:val="000000" w:themeColor="text1"/>
        </w:rPr>
        <w:t xml:space="preserve">between exports and imports showed </w:t>
      </w:r>
      <w:r>
        <w:rPr>
          <w:color w:val="000000" w:themeColor="text1"/>
        </w:rPr>
        <w:t xml:space="preserve">an increase </w:t>
      </w:r>
      <w:r w:rsidRPr="001A6C5B">
        <w:rPr>
          <w:color w:val="000000" w:themeColor="text1"/>
        </w:rPr>
        <w:t xml:space="preserve">in trade deficit by </w:t>
      </w:r>
      <w:r>
        <w:rPr>
          <w:color w:val="000000" w:themeColor="text1"/>
        </w:rPr>
        <w:t>12.3</w:t>
      </w:r>
      <w:r w:rsidRPr="001A6C5B">
        <w:rPr>
          <w:color w:val="000000" w:themeColor="text1"/>
        </w:rPr>
        <w:t xml:space="preserve">% </w:t>
      </w:r>
      <w:r>
        <w:rPr>
          <w:color w:val="000000" w:themeColor="text1"/>
        </w:rPr>
        <w:t xml:space="preserve">in September 2015 </w:t>
      </w:r>
      <w:r w:rsidRPr="001A6C5B">
        <w:rPr>
          <w:color w:val="000000" w:themeColor="text1"/>
        </w:rPr>
        <w:t>compared to</w:t>
      </w:r>
      <w:r w:rsidRPr="001A6C5B">
        <w:rPr>
          <w:rStyle w:val="longtext"/>
          <w:b/>
          <w:bCs/>
          <w:color w:val="000000" w:themeColor="text1"/>
        </w:rPr>
        <w:t xml:space="preserve"> </w:t>
      </w:r>
      <w:r>
        <w:rPr>
          <w:rStyle w:val="longtext"/>
          <w:color w:val="000000" w:themeColor="text1"/>
          <w:shd w:val="clear" w:color="auto" w:fill="FFFFFF"/>
        </w:rPr>
        <w:t>August</w:t>
      </w:r>
      <w:r w:rsidRPr="003A1A47">
        <w:rPr>
          <w:color w:val="000000" w:themeColor="text1"/>
        </w:rPr>
        <w:t>,</w:t>
      </w:r>
      <w:r>
        <w:rPr>
          <w:color w:val="000000" w:themeColor="text1"/>
        </w:rPr>
        <w:t xml:space="preserve"> 2015</w:t>
      </w:r>
      <w:r w:rsidRPr="001A6C5B">
        <w:rPr>
          <w:color w:val="000000" w:themeColor="text1"/>
        </w:rPr>
        <w:t xml:space="preserve">. </w:t>
      </w:r>
      <w:r w:rsidRPr="009E56B9">
        <w:rPr>
          <w:rStyle w:val="longtext"/>
          <w:shd w:val="clear" w:color="auto" w:fill="FFFFFF"/>
        </w:rPr>
        <w:t>It also</w:t>
      </w:r>
      <w:r>
        <w:rPr>
          <w:rStyle w:val="longtext"/>
          <w:b/>
          <w:bCs/>
          <w:shd w:val="clear" w:color="auto" w:fill="FFFFFF"/>
        </w:rPr>
        <w:t xml:space="preserve"> </w:t>
      </w:r>
      <w:r>
        <w:rPr>
          <w:color w:val="000000" w:themeColor="text1"/>
        </w:rPr>
        <w:t xml:space="preserve">increased </w:t>
      </w:r>
      <w:r w:rsidRPr="001A6C5B">
        <w:rPr>
          <w:color w:val="000000" w:themeColor="text1"/>
        </w:rPr>
        <w:t xml:space="preserve">by </w:t>
      </w:r>
      <w:r>
        <w:rPr>
          <w:color w:val="000000" w:themeColor="text1"/>
        </w:rPr>
        <w:t>11.4%</w:t>
      </w:r>
      <w:r w:rsidRPr="001A6C5B">
        <w:rPr>
          <w:color w:val="000000" w:themeColor="text1"/>
        </w:rPr>
        <w:t xml:space="preserve"> compared </w:t>
      </w:r>
      <w:r>
        <w:rPr>
          <w:color w:val="000000" w:themeColor="text1"/>
        </w:rPr>
        <w:t>to September</w:t>
      </w:r>
      <w:r w:rsidRPr="003A1A47">
        <w:rPr>
          <w:color w:val="000000" w:themeColor="text1"/>
        </w:rPr>
        <w:t xml:space="preserve"> </w:t>
      </w:r>
      <w:r>
        <w:rPr>
          <w:color w:val="000000" w:themeColor="text1"/>
        </w:rPr>
        <w:t>2014</w:t>
      </w:r>
      <w:r w:rsidRPr="001A6C5B">
        <w:rPr>
          <w:color w:val="000000" w:themeColor="text1"/>
        </w:rPr>
        <w:t xml:space="preserve"> and reached USD </w:t>
      </w:r>
      <w:bookmarkStart w:id="0" w:name="_GoBack"/>
      <w:bookmarkEnd w:id="0"/>
      <w:r>
        <w:rPr>
          <w:color w:val="000000" w:themeColor="text1"/>
          <w:lang w:val="en-AU"/>
        </w:rPr>
        <w:t>386.9</w:t>
      </w:r>
      <w:r w:rsidRPr="001A6C5B">
        <w:rPr>
          <w:color w:val="000000" w:themeColor="text1"/>
          <w:lang w:val="en-AU"/>
        </w:rPr>
        <w:t xml:space="preserve"> </w:t>
      </w:r>
      <w:r w:rsidRPr="001A6C5B">
        <w:rPr>
          <w:color w:val="000000" w:themeColor="text1"/>
        </w:rPr>
        <w:t>Million.</w:t>
      </w:r>
    </w:p>
    <w:p w:rsidR="00217624" w:rsidRPr="001A6C5B" w:rsidRDefault="00217624" w:rsidP="00217624">
      <w:pPr>
        <w:bidi w:val="0"/>
        <w:ind w:left="-6" w:right="282"/>
        <w:jc w:val="lowKashida"/>
        <w:rPr>
          <w:color w:val="000000" w:themeColor="text1"/>
        </w:rPr>
      </w:pPr>
    </w:p>
    <w:p w:rsidR="00217624" w:rsidRDefault="00217624" w:rsidP="00217624">
      <w:pPr>
        <w:bidi w:val="0"/>
        <w:jc w:val="lowKashida"/>
        <w:rPr>
          <w:b/>
          <w:bCs/>
          <w:sz w:val="20"/>
          <w:szCs w:val="20"/>
        </w:rPr>
      </w:pPr>
    </w:p>
    <w:p w:rsidR="00217624" w:rsidRDefault="00217624" w:rsidP="00217624">
      <w:pPr>
        <w:pStyle w:val="Footer"/>
        <w:bidi w:val="0"/>
        <w:rPr>
          <w:b/>
          <w:bCs/>
          <w:sz w:val="20"/>
          <w:szCs w:val="20"/>
          <w:rtl/>
          <w:lang w:val="en-AU"/>
        </w:rPr>
      </w:pPr>
      <w:r>
        <w:rPr>
          <w:b/>
          <w:bCs/>
          <w:sz w:val="20"/>
          <w:szCs w:val="20"/>
        </w:rPr>
        <w:t>*: Includes actual data received from official sources</w:t>
      </w:r>
    </w:p>
    <w:p w:rsidR="00E80490" w:rsidRPr="00217624" w:rsidRDefault="00217624">
      <w:pPr>
        <w:rPr>
          <w:rFonts w:hint="cs"/>
        </w:rPr>
      </w:pPr>
      <w:r>
        <w:rPr>
          <w:rFonts w:hint="cs"/>
          <w:rtl/>
        </w:rPr>
        <w:t xml:space="preserve">  </w:t>
      </w:r>
    </w:p>
    <w:sectPr w:rsidR="00E80490" w:rsidRPr="00217624" w:rsidSect="00217624">
      <w:headerReference w:type="default" r:id="rId8"/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C6C" w:rsidRDefault="008F6C6C" w:rsidP="00217624">
      <w:r>
        <w:separator/>
      </w:r>
    </w:p>
  </w:endnote>
  <w:endnote w:type="continuationSeparator" w:id="0">
    <w:p w:rsidR="008F6C6C" w:rsidRDefault="008F6C6C" w:rsidP="00217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C6C" w:rsidRDefault="008F6C6C" w:rsidP="00217624">
      <w:r>
        <w:separator/>
      </w:r>
    </w:p>
  </w:footnote>
  <w:footnote w:type="continuationSeparator" w:id="0">
    <w:p w:rsidR="008F6C6C" w:rsidRDefault="008F6C6C" w:rsidP="00217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66" w:rsidRDefault="008F6C6C" w:rsidP="0006016C">
    <w:pPr>
      <w:pStyle w:val="Header"/>
    </w:pPr>
  </w:p>
  <w:p w:rsidR="00485666" w:rsidRPr="0006016C" w:rsidRDefault="008F6C6C">
    <w:pPr>
      <w:pStyle w:val="Header"/>
      <w:rPr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624"/>
    <w:rsid w:val="00217624"/>
    <w:rsid w:val="005E7849"/>
    <w:rsid w:val="008F6C6C"/>
    <w:rsid w:val="00E8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6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6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2176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1762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ongtext">
    <w:name w:val="long_text"/>
    <w:basedOn w:val="DefaultParagraphFont"/>
    <w:rsid w:val="00217624"/>
  </w:style>
  <w:style w:type="paragraph" w:styleId="BodyText">
    <w:name w:val="Body Text"/>
    <w:basedOn w:val="Normal"/>
    <w:link w:val="BodyTextChar"/>
    <w:semiHidden/>
    <w:rsid w:val="00217624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21762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2176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62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5\Monthly\&#1588;&#1607;&#1585;%209\news%20releases\E%20-%20Cop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5\Monthly\&#1588;&#1607;&#1585;%209\news%20releases\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900"/>
            </a:pPr>
            <a:r>
              <a:rPr lang="en-US" sz="900">
                <a:latin typeface="Arial" pitchFamily="34" charset="0"/>
                <a:cs typeface="Arial" pitchFamily="34" charset="0"/>
              </a:rPr>
              <a:t>Imports</a:t>
            </a:r>
            <a:r>
              <a:rPr lang="en-US" sz="900"/>
              <a:t> from</a:t>
            </a:r>
            <a:r>
              <a:rPr lang="en-US" sz="900" baseline="0"/>
              <a:t> Israel for January- September, 2015</a:t>
            </a:r>
            <a:endParaRPr lang="en-US" sz="900"/>
          </a:p>
        </c:rich>
      </c:tx>
      <c:layout>
        <c:manualLayout>
          <c:xMode val="edge"/>
          <c:yMode val="edge"/>
          <c:x val="0.15500085813779302"/>
          <c:y val="0"/>
        </c:manualLayout>
      </c:layout>
    </c:title>
    <c:plotArea>
      <c:layout>
        <c:manualLayout>
          <c:layoutTarget val="inner"/>
          <c:xMode val="edge"/>
          <c:yMode val="edge"/>
          <c:x val="0.16940666588605541"/>
          <c:y val="0.12681919995602656"/>
          <c:w val="0.78577768937978332"/>
          <c:h val="0.69730579489082201"/>
        </c:manualLayout>
      </c:layout>
      <c:lineChart>
        <c:grouping val="standard"/>
        <c:ser>
          <c:idx val="0"/>
          <c:order val="0"/>
          <c:tx>
            <c:strRef>
              <c:f>E!$B$1</c:f>
              <c:strCache>
                <c:ptCount val="1"/>
                <c:pt idx="0">
                  <c:v>Imports</c:v>
                </c:pt>
              </c:strCache>
            </c:strRef>
          </c:tx>
          <c:cat>
            <c:strRef>
              <c:f>E!$A$2:$A$10</c:f>
              <c:strCache>
                <c:ptCount val="9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</c:strCache>
            </c:strRef>
          </c:cat>
          <c:val>
            <c:numRef>
              <c:f>E!$B$2:$B$10</c:f>
              <c:numCache>
                <c:formatCode>0.0</c:formatCode>
                <c:ptCount val="9"/>
                <c:pt idx="0">
                  <c:v>212.61877904331195</c:v>
                </c:pt>
                <c:pt idx="1">
                  <c:v>213.64895541707011</c:v>
                </c:pt>
                <c:pt idx="2">
                  <c:v>240.52120602017121</c:v>
                </c:pt>
                <c:pt idx="3">
                  <c:v>231.42000000000004</c:v>
                </c:pt>
                <c:pt idx="4">
                  <c:v>236.85120000000012</c:v>
                </c:pt>
                <c:pt idx="5">
                  <c:v>246.86400000000003</c:v>
                </c:pt>
                <c:pt idx="6">
                  <c:v>221.92927053448679</c:v>
                </c:pt>
                <c:pt idx="7">
                  <c:v>227.31345966408162</c:v>
                </c:pt>
                <c:pt idx="8">
                  <c:v>292.77463021761969</c:v>
                </c:pt>
              </c:numCache>
            </c:numRef>
          </c:val>
        </c:ser>
        <c:marker val="1"/>
        <c:axId val="116860416"/>
        <c:axId val="147528320"/>
      </c:lineChart>
      <c:catAx>
        <c:axId val="116860416"/>
        <c:scaling>
          <c:orientation val="minMax"/>
        </c:scaling>
        <c:axPos val="b"/>
        <c:majorGridlines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47528320"/>
        <c:crosses val="autoZero"/>
        <c:auto val="1"/>
        <c:lblAlgn val="ctr"/>
        <c:lblOffset val="100"/>
      </c:catAx>
      <c:valAx>
        <c:axId val="147528320"/>
        <c:scaling>
          <c:orientation val="minMax"/>
          <c:max val="5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900" b="0">
                    <a:latin typeface="Arial" pitchFamily="34" charset="0"/>
                    <a:cs typeface="Arial" pitchFamily="34" charset="0"/>
                  </a:defRPr>
                </a:pPr>
                <a:r>
                  <a:rPr lang="en-US" sz="900" b="0">
                    <a:latin typeface="Arial" pitchFamily="34" charset="0"/>
                    <a:cs typeface="Arial" pitchFamily="34" charset="0"/>
                  </a:rPr>
                  <a:t>Value</a:t>
                </a:r>
                <a:r>
                  <a:rPr lang="en-US" sz="900" b="0" baseline="0">
                    <a:latin typeface="Arial" pitchFamily="34" charset="0"/>
                    <a:cs typeface="Arial" pitchFamily="34" charset="0"/>
                  </a:rPr>
                  <a:t> in Million USD</a:t>
                </a:r>
                <a:endParaRPr lang="en-GB" sz="900" b="0">
                  <a:latin typeface="Arial" pitchFamily="34" charset="0"/>
                  <a:cs typeface="Arial" pitchFamily="34" charset="0"/>
                </a:endParaRPr>
              </a:p>
            </c:rich>
          </c:tx>
        </c:title>
        <c:numFmt formatCode="General" sourceLinked="0"/>
        <c:tickLblPos val="nextTo"/>
        <c:crossAx val="116860416"/>
        <c:crosses val="autoZero"/>
        <c:crossBetween val="between"/>
        <c:majorUnit val="100"/>
        <c:minorUnit val="20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b="1">
                <a:latin typeface="Calibari"/>
                <a:cs typeface="Arial" panose="020B0604020202020204" pitchFamily="34" charset="0"/>
              </a:defRPr>
            </a:pPr>
            <a:r>
              <a:rPr lang="en-US" sz="800" b="1" baseline="0">
                <a:latin typeface="Calibari"/>
                <a:cs typeface="Arial" panose="020B0604020202020204" pitchFamily="34" charset="0"/>
              </a:rPr>
              <a:t>Imports and Exports of </a:t>
            </a:r>
            <a:r>
              <a:rPr lang="en-GB" sz="800" b="1" baseline="0">
                <a:latin typeface="Calibari"/>
                <a:cs typeface="Arial" panose="020B0604020202020204" pitchFamily="34" charset="0"/>
              </a:rPr>
              <a:t>September 1999-2015 </a:t>
            </a:r>
          </a:p>
        </c:rich>
      </c:tx>
      <c:layout>
        <c:manualLayout>
          <c:xMode val="edge"/>
          <c:yMode val="edge"/>
          <c:x val="0.17671024766763996"/>
          <c:y val="2.5579217370556025E-2"/>
        </c:manualLayout>
      </c:layout>
    </c:title>
    <c:plotArea>
      <c:layout>
        <c:manualLayout>
          <c:layoutTarget val="inner"/>
          <c:xMode val="edge"/>
          <c:yMode val="edge"/>
          <c:x val="0.17906443937498501"/>
          <c:y val="0.12346577367484267"/>
          <c:w val="0.74437559791007568"/>
          <c:h val="0.69480103780130975"/>
        </c:manualLayout>
      </c:layout>
      <c:lineChart>
        <c:grouping val="standard"/>
        <c:ser>
          <c:idx val="0"/>
          <c:order val="0"/>
          <c:tx>
            <c:strRef>
              <c:f>E!$B$1</c:f>
              <c:strCache>
                <c:ptCount val="1"/>
                <c:pt idx="0">
                  <c:v>Imports</c:v>
                </c:pt>
              </c:strCache>
            </c:strRef>
          </c:tx>
          <c:cat>
            <c:numRef>
              <c:f>E!$A$2:$A$18</c:f>
              <c:numCache>
                <c:formatCode>[$-409]mmmm\-yy;@</c:formatCode>
                <c:ptCount val="17"/>
                <c:pt idx="0">
                  <c:v>36404</c:v>
                </c:pt>
                <c:pt idx="1">
                  <c:v>36770</c:v>
                </c:pt>
                <c:pt idx="2">
                  <c:v>37135</c:v>
                </c:pt>
                <c:pt idx="3">
                  <c:v>37500</c:v>
                </c:pt>
                <c:pt idx="4">
                  <c:v>37865</c:v>
                </c:pt>
                <c:pt idx="5">
                  <c:v>38231</c:v>
                </c:pt>
                <c:pt idx="6">
                  <c:v>38596</c:v>
                </c:pt>
                <c:pt idx="7">
                  <c:v>38961</c:v>
                </c:pt>
                <c:pt idx="8">
                  <c:v>39326</c:v>
                </c:pt>
                <c:pt idx="9">
                  <c:v>39692</c:v>
                </c:pt>
                <c:pt idx="10">
                  <c:v>40057</c:v>
                </c:pt>
                <c:pt idx="11">
                  <c:v>40422</c:v>
                </c:pt>
                <c:pt idx="12">
                  <c:v>40787</c:v>
                </c:pt>
                <c:pt idx="13">
                  <c:v>41153</c:v>
                </c:pt>
                <c:pt idx="14">
                  <c:v>41518</c:v>
                </c:pt>
                <c:pt idx="15">
                  <c:v>41883</c:v>
                </c:pt>
                <c:pt idx="16">
                  <c:v>42248</c:v>
                </c:pt>
              </c:numCache>
            </c:numRef>
          </c:cat>
          <c:val>
            <c:numRef>
              <c:f>E!$B$2:$B$18</c:f>
              <c:numCache>
                <c:formatCode>#,##0.0</c:formatCode>
                <c:ptCount val="17"/>
                <c:pt idx="0">
                  <c:v>255.2</c:v>
                </c:pt>
                <c:pt idx="1">
                  <c:v>208.9</c:v>
                </c:pt>
                <c:pt idx="2">
                  <c:v>149</c:v>
                </c:pt>
                <c:pt idx="3">
                  <c:v>127.4</c:v>
                </c:pt>
                <c:pt idx="4">
                  <c:v>164.3</c:v>
                </c:pt>
                <c:pt idx="5">
                  <c:v>200.9</c:v>
                </c:pt>
                <c:pt idx="6">
                  <c:v>224</c:v>
                </c:pt>
                <c:pt idx="7">
                  <c:v>216.2</c:v>
                </c:pt>
                <c:pt idx="8">
                  <c:v>237.7</c:v>
                </c:pt>
                <c:pt idx="9">
                  <c:v>316</c:v>
                </c:pt>
                <c:pt idx="10">
                  <c:v>261.10000000000002</c:v>
                </c:pt>
                <c:pt idx="11">
                  <c:v>293.7</c:v>
                </c:pt>
                <c:pt idx="12">
                  <c:v>372.9</c:v>
                </c:pt>
                <c:pt idx="13">
                  <c:v>354.6</c:v>
                </c:pt>
                <c:pt idx="14">
                  <c:v>358.2</c:v>
                </c:pt>
                <c:pt idx="15">
                  <c:v>423.1</c:v>
                </c:pt>
                <c:pt idx="16">
                  <c:v>450.3</c:v>
                </c:pt>
              </c:numCache>
            </c:numRef>
          </c:val>
        </c:ser>
        <c:ser>
          <c:idx val="1"/>
          <c:order val="1"/>
          <c:tx>
            <c:strRef>
              <c:f>E!$C$1</c:f>
              <c:strCache>
                <c:ptCount val="1"/>
                <c:pt idx="0">
                  <c:v>Exports</c:v>
                </c:pt>
              </c:strCache>
            </c:strRef>
          </c:tx>
          <c:marker>
            <c:symbol val="triangle"/>
            <c:size val="7"/>
          </c:marker>
          <c:cat>
            <c:numRef>
              <c:f>E!$A$2:$A$18</c:f>
              <c:numCache>
                <c:formatCode>[$-409]mmmm\-yy;@</c:formatCode>
                <c:ptCount val="17"/>
                <c:pt idx="0">
                  <c:v>36404</c:v>
                </c:pt>
                <c:pt idx="1">
                  <c:v>36770</c:v>
                </c:pt>
                <c:pt idx="2">
                  <c:v>37135</c:v>
                </c:pt>
                <c:pt idx="3">
                  <c:v>37500</c:v>
                </c:pt>
                <c:pt idx="4">
                  <c:v>37865</c:v>
                </c:pt>
                <c:pt idx="5">
                  <c:v>38231</c:v>
                </c:pt>
                <c:pt idx="6">
                  <c:v>38596</c:v>
                </c:pt>
                <c:pt idx="7">
                  <c:v>38961</c:v>
                </c:pt>
                <c:pt idx="8">
                  <c:v>39326</c:v>
                </c:pt>
                <c:pt idx="9">
                  <c:v>39692</c:v>
                </c:pt>
                <c:pt idx="10">
                  <c:v>40057</c:v>
                </c:pt>
                <c:pt idx="11">
                  <c:v>40422</c:v>
                </c:pt>
                <c:pt idx="12">
                  <c:v>40787</c:v>
                </c:pt>
                <c:pt idx="13">
                  <c:v>41153</c:v>
                </c:pt>
                <c:pt idx="14">
                  <c:v>41518</c:v>
                </c:pt>
                <c:pt idx="15">
                  <c:v>41883</c:v>
                </c:pt>
                <c:pt idx="16">
                  <c:v>42248</c:v>
                </c:pt>
              </c:numCache>
            </c:numRef>
          </c:cat>
          <c:val>
            <c:numRef>
              <c:f>E!$C$2:$C$18</c:f>
              <c:numCache>
                <c:formatCode>#,##0.0</c:formatCode>
                <c:ptCount val="17"/>
                <c:pt idx="0">
                  <c:v>31.8</c:v>
                </c:pt>
                <c:pt idx="1">
                  <c:v>28.8</c:v>
                </c:pt>
                <c:pt idx="2">
                  <c:v>22.5</c:v>
                </c:pt>
                <c:pt idx="3">
                  <c:v>19.5</c:v>
                </c:pt>
                <c:pt idx="4">
                  <c:v>23.8</c:v>
                </c:pt>
                <c:pt idx="5">
                  <c:v>22.4</c:v>
                </c:pt>
                <c:pt idx="6">
                  <c:v>27.3</c:v>
                </c:pt>
                <c:pt idx="7">
                  <c:v>24.9</c:v>
                </c:pt>
                <c:pt idx="8">
                  <c:v>33.800000000000004</c:v>
                </c:pt>
                <c:pt idx="9">
                  <c:v>47.1</c:v>
                </c:pt>
                <c:pt idx="10">
                  <c:v>38.9</c:v>
                </c:pt>
                <c:pt idx="11">
                  <c:v>43.3</c:v>
                </c:pt>
                <c:pt idx="12">
                  <c:v>65.3</c:v>
                </c:pt>
                <c:pt idx="13">
                  <c:v>65.3</c:v>
                </c:pt>
                <c:pt idx="14">
                  <c:v>66.7</c:v>
                </c:pt>
                <c:pt idx="15">
                  <c:v>75.7</c:v>
                </c:pt>
                <c:pt idx="16">
                  <c:v>63.4</c:v>
                </c:pt>
              </c:numCache>
            </c:numRef>
          </c:val>
        </c:ser>
        <c:marker val="1"/>
        <c:axId val="148967808"/>
        <c:axId val="148969344"/>
      </c:lineChart>
      <c:dateAx>
        <c:axId val="148967808"/>
        <c:scaling>
          <c:orientation val="minMax"/>
          <c:max val="42248"/>
          <c:min val="36404"/>
        </c:scaling>
        <c:axPos val="b"/>
        <c:majorGridlines/>
        <c:numFmt formatCode="[$-409]mmm\-yy;@" sourceLinked="0"/>
        <c:majorTickMark val="none"/>
        <c:tickLblPos val="nextTo"/>
        <c:txPr>
          <a:bodyPr/>
          <a:lstStyle/>
          <a:p>
            <a:pPr>
              <a:defRPr sz="800" b="0" i="0" baseline="0">
                <a:cs typeface="+mn-cs"/>
              </a:defRPr>
            </a:pPr>
            <a:endParaRPr lang="ar-SA"/>
          </a:p>
        </c:txPr>
        <c:crossAx val="148969344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148969344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cs typeface="+mn-cs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9.1121185609374569E-3"/>
              <c:y val="0.28402944914904993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b="0"/>
            </a:pPr>
            <a:endParaRPr lang="ar-SA"/>
          </a:p>
        </c:txPr>
        <c:crossAx val="148967808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8515274348102926"/>
          <c:y val="0.93761257783953489"/>
          <c:w val="0.49514993438320232"/>
          <c:h val="6.0375058144844916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/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1</cp:revision>
  <dcterms:created xsi:type="dcterms:W3CDTF">2015-11-23T06:50:00Z</dcterms:created>
  <dcterms:modified xsi:type="dcterms:W3CDTF">2015-11-23T06:53:00Z</dcterms:modified>
</cp:coreProperties>
</file>