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8"/>
      </w:tblGrid>
      <w:tr w:rsidR="005A0BA3" w:rsidTr="005A0BA3">
        <w:tc>
          <w:tcPr>
            <w:tcW w:w="5103" w:type="dxa"/>
          </w:tcPr>
          <w:p w:rsidR="005A0BA3" w:rsidRDefault="005A0BA3" w:rsidP="005A0B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681E1E70" wp14:editId="6682A11A">
                  <wp:extent cx="1235078" cy="84772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658" cy="848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  <w:p w:rsidR="005A0BA3" w:rsidRDefault="005A0BA3" w:rsidP="008C01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8" w:type="dxa"/>
          </w:tcPr>
          <w:p w:rsidR="005A0BA3" w:rsidRDefault="005A0BA3" w:rsidP="005A0BA3">
            <w:pPr>
              <w:ind w:left="288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649">
              <w:rPr>
                <w:noProof/>
                <w:sz w:val="27"/>
                <w:szCs w:val="27"/>
                <w:lang w:val="en-US" w:eastAsia="en-US"/>
              </w:rPr>
              <w:drawing>
                <wp:inline distT="0" distB="0" distL="0" distR="0">
                  <wp:extent cx="704850" cy="923925"/>
                  <wp:effectExtent l="0" t="0" r="0" b="9525"/>
                  <wp:docPr id="3" name="Picture 3" descr="PL cmy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 cmy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77B" w:rsidRPr="0026177B" w:rsidRDefault="0026177B" w:rsidP="008C01D6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004003" w:rsidRPr="006E5047" w:rsidRDefault="00004003" w:rsidP="0026177B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86052F" w:rsidRPr="006E5047" w:rsidRDefault="0086052F" w:rsidP="0086052F">
      <w:pPr>
        <w:jc w:val="both"/>
        <w:rPr>
          <w:rFonts w:asciiTheme="minorBidi" w:hAnsiTheme="minorBidi" w:cstheme="minorBidi"/>
          <w:b/>
          <w:sz w:val="32"/>
          <w:szCs w:val="32"/>
        </w:rPr>
      </w:pPr>
      <w:r w:rsidRPr="006E5047">
        <w:rPr>
          <w:rFonts w:asciiTheme="minorBidi" w:hAnsiTheme="minorBidi" w:cstheme="minorBidi"/>
          <w:b/>
          <w:sz w:val="32"/>
          <w:szCs w:val="32"/>
        </w:rPr>
        <w:t>The EU supports the Palestinian Expenditure and Consumption Survey</w:t>
      </w:r>
    </w:p>
    <w:p w:rsidR="006E5047" w:rsidRPr="006E5047" w:rsidRDefault="006E5047" w:rsidP="0086052F">
      <w:pPr>
        <w:jc w:val="both"/>
        <w:rPr>
          <w:rFonts w:asciiTheme="majorBidi" w:hAnsiTheme="majorBidi" w:cstheme="majorBidi"/>
          <w:b/>
          <w:sz w:val="30"/>
          <w:szCs w:val="30"/>
        </w:rPr>
      </w:pPr>
    </w:p>
    <w:p w:rsidR="0086052F" w:rsidRPr="006E5047" w:rsidRDefault="0086052F" w:rsidP="0086052F">
      <w:pPr>
        <w:jc w:val="both"/>
        <w:rPr>
          <w:rFonts w:asciiTheme="majorBidi" w:hAnsiTheme="majorBidi" w:cstheme="majorBidi"/>
          <w:sz w:val="26"/>
          <w:szCs w:val="26"/>
        </w:rPr>
      </w:pPr>
    </w:p>
    <w:p w:rsidR="006E5047" w:rsidRPr="006E5047" w:rsidRDefault="006E5047" w:rsidP="00413FD2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6E504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Ramallah </w:t>
      </w:r>
      <w:r w:rsidRPr="006E5047">
        <w:rPr>
          <w:rFonts w:asciiTheme="majorBidi" w:hAnsiTheme="majorBidi" w:cstheme="majorBidi"/>
          <w:color w:val="000000"/>
          <w:sz w:val="26"/>
          <w:szCs w:val="26"/>
        </w:rPr>
        <w:t>-</w:t>
      </w:r>
      <w:r w:rsidRPr="006E504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413FD2">
        <w:rPr>
          <w:rFonts w:asciiTheme="majorBidi" w:hAnsiTheme="majorBidi" w:cstheme="majorBidi"/>
          <w:b/>
          <w:bCs/>
          <w:color w:val="000000"/>
          <w:sz w:val="26"/>
          <w:szCs w:val="26"/>
        </w:rPr>
        <w:t>23</w:t>
      </w:r>
      <w:r w:rsidRPr="006E5047">
        <w:rPr>
          <w:rFonts w:asciiTheme="majorBidi" w:hAnsiTheme="majorBidi" w:cstheme="majorBidi"/>
          <w:b/>
          <w:bCs/>
          <w:color w:val="000000"/>
          <w:sz w:val="26"/>
          <w:szCs w:val="26"/>
        </w:rPr>
        <w:t>/</w:t>
      </w:r>
      <w:r w:rsidR="00413FD2">
        <w:rPr>
          <w:rFonts w:asciiTheme="majorBidi" w:hAnsiTheme="majorBidi" w:cstheme="majorBidi"/>
          <w:b/>
          <w:bCs/>
          <w:color w:val="000000"/>
          <w:sz w:val="26"/>
          <w:szCs w:val="26"/>
        </w:rPr>
        <w:t>05</w:t>
      </w:r>
      <w:bookmarkStart w:id="0" w:name="_GoBack"/>
      <w:bookmarkEnd w:id="0"/>
      <w:r w:rsidRPr="006E5047">
        <w:rPr>
          <w:rFonts w:asciiTheme="majorBidi" w:hAnsiTheme="majorBidi" w:cstheme="majorBidi"/>
          <w:b/>
          <w:bCs/>
          <w:color w:val="000000"/>
          <w:sz w:val="26"/>
          <w:szCs w:val="26"/>
        </w:rPr>
        <w:t>/2023</w:t>
      </w:r>
      <w:r w:rsidRPr="006E5047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6E5047" w:rsidRPr="006E5047" w:rsidRDefault="006E5047" w:rsidP="006E5047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</w:p>
    <w:p w:rsidR="00905554" w:rsidRPr="006E5047" w:rsidRDefault="00905554" w:rsidP="006E5047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6E5047">
        <w:rPr>
          <w:rFonts w:asciiTheme="majorBidi" w:hAnsiTheme="majorBidi" w:cstheme="majorBidi"/>
          <w:b/>
          <w:sz w:val="28"/>
          <w:szCs w:val="28"/>
        </w:rPr>
        <w:t xml:space="preserve">The EU </w:t>
      </w:r>
      <w:r w:rsidR="00105C7B" w:rsidRPr="006E5047">
        <w:rPr>
          <w:rFonts w:asciiTheme="majorBidi" w:hAnsiTheme="majorBidi" w:cstheme="majorBidi"/>
          <w:b/>
          <w:sz w:val="28"/>
          <w:szCs w:val="28"/>
        </w:rPr>
        <w:t>is pro</w:t>
      </w:r>
      <w:r w:rsidR="003A473F" w:rsidRPr="006E5047">
        <w:rPr>
          <w:rFonts w:asciiTheme="majorBidi" w:hAnsiTheme="majorBidi" w:cstheme="majorBidi"/>
          <w:b/>
          <w:sz w:val="28"/>
          <w:szCs w:val="28"/>
        </w:rPr>
        <w:t>viding 350,000 Euros to support</w:t>
      </w:r>
      <w:r w:rsidRPr="006E5047">
        <w:rPr>
          <w:rFonts w:asciiTheme="majorBidi" w:hAnsiTheme="majorBidi" w:cstheme="majorBidi"/>
          <w:b/>
          <w:sz w:val="28"/>
          <w:szCs w:val="28"/>
        </w:rPr>
        <w:t xml:space="preserve"> the Palestinian Central Bureau of Statistics (PCBS) </w:t>
      </w:r>
      <w:r w:rsidR="00105C7B" w:rsidRPr="006E5047">
        <w:rPr>
          <w:rFonts w:asciiTheme="majorBidi" w:hAnsiTheme="majorBidi" w:cstheme="majorBidi"/>
          <w:b/>
          <w:sz w:val="28"/>
          <w:szCs w:val="28"/>
        </w:rPr>
        <w:t xml:space="preserve">in conducting the </w:t>
      </w:r>
      <w:r w:rsidRPr="006E5047">
        <w:rPr>
          <w:rFonts w:asciiTheme="majorBidi" w:hAnsiTheme="majorBidi" w:cstheme="majorBidi"/>
          <w:b/>
          <w:sz w:val="28"/>
          <w:szCs w:val="28"/>
        </w:rPr>
        <w:t xml:space="preserve">Palestinian Expenditure and Consumption Survey (PECS). This </w:t>
      </w:r>
      <w:r w:rsidR="00105C7B" w:rsidRPr="006E5047">
        <w:rPr>
          <w:rFonts w:asciiTheme="majorBidi" w:hAnsiTheme="majorBidi" w:cstheme="majorBidi"/>
          <w:b/>
          <w:sz w:val="28"/>
          <w:szCs w:val="28"/>
        </w:rPr>
        <w:t xml:space="preserve">survey is a crucial tool that provides </w:t>
      </w:r>
      <w:r w:rsidR="00002ECC" w:rsidRPr="006E5047">
        <w:rPr>
          <w:rFonts w:asciiTheme="majorBidi" w:hAnsiTheme="majorBidi" w:cstheme="majorBidi"/>
          <w:b/>
          <w:sz w:val="28"/>
          <w:szCs w:val="28"/>
        </w:rPr>
        <w:t>key</w:t>
      </w:r>
      <w:r w:rsidR="00105C7B" w:rsidRPr="006E5047">
        <w:rPr>
          <w:rFonts w:asciiTheme="majorBidi" w:hAnsiTheme="majorBidi" w:cstheme="majorBidi"/>
          <w:b/>
          <w:sz w:val="28"/>
          <w:szCs w:val="28"/>
        </w:rPr>
        <w:t xml:space="preserve"> socio-economic and poverty statistics regarding the Palestinian population. </w:t>
      </w:r>
    </w:p>
    <w:p w:rsidR="00905554" w:rsidRPr="006E5047" w:rsidRDefault="00905554" w:rsidP="00905554">
      <w:pPr>
        <w:rPr>
          <w:rFonts w:asciiTheme="majorBidi" w:hAnsiTheme="majorBidi" w:cstheme="majorBidi"/>
          <w:bCs/>
          <w:sz w:val="26"/>
          <w:szCs w:val="26"/>
        </w:rPr>
      </w:pPr>
    </w:p>
    <w:p w:rsidR="00002ECC" w:rsidRPr="006E5047" w:rsidRDefault="0086052F" w:rsidP="008A14AB">
      <w:pPr>
        <w:jc w:val="both"/>
        <w:rPr>
          <w:rFonts w:asciiTheme="majorBidi" w:hAnsiTheme="majorBidi" w:cstheme="majorBidi"/>
          <w:sz w:val="26"/>
          <w:szCs w:val="26"/>
        </w:rPr>
      </w:pPr>
      <w:r w:rsidRPr="006E5047">
        <w:rPr>
          <w:rFonts w:asciiTheme="majorBidi" w:hAnsiTheme="majorBidi" w:cstheme="majorBidi"/>
          <w:bCs/>
          <w:sz w:val="26"/>
          <w:szCs w:val="26"/>
        </w:rPr>
        <w:t xml:space="preserve">Ola Awad, President of PCBS, and Ibrahim </w:t>
      </w:r>
      <w:proofErr w:type="spellStart"/>
      <w:r w:rsidRPr="006E5047">
        <w:rPr>
          <w:rFonts w:asciiTheme="majorBidi" w:hAnsiTheme="majorBidi" w:cstheme="majorBidi"/>
          <w:bCs/>
          <w:sz w:val="26"/>
          <w:szCs w:val="26"/>
        </w:rPr>
        <w:t>Laafia</w:t>
      </w:r>
      <w:proofErr w:type="spellEnd"/>
      <w:r w:rsidRPr="006E5047">
        <w:rPr>
          <w:rFonts w:asciiTheme="majorBidi" w:hAnsiTheme="majorBidi" w:cstheme="majorBidi"/>
          <w:bCs/>
          <w:sz w:val="26"/>
          <w:szCs w:val="26"/>
        </w:rPr>
        <w:t xml:space="preserve">, </w:t>
      </w:r>
      <w:r w:rsidR="00105C7B" w:rsidRPr="006E5047">
        <w:rPr>
          <w:rFonts w:asciiTheme="majorBidi" w:hAnsiTheme="majorBidi" w:cstheme="majorBidi"/>
          <w:bCs/>
          <w:sz w:val="26"/>
          <w:szCs w:val="26"/>
        </w:rPr>
        <w:t xml:space="preserve">the EU </w:t>
      </w:r>
      <w:r w:rsidRPr="006E5047">
        <w:rPr>
          <w:rFonts w:asciiTheme="majorBidi" w:hAnsiTheme="majorBidi" w:cstheme="majorBidi"/>
          <w:bCs/>
          <w:sz w:val="26"/>
          <w:szCs w:val="26"/>
        </w:rPr>
        <w:t>Head of Cooperation</w:t>
      </w:r>
      <w:r w:rsidR="00105C7B" w:rsidRPr="006E5047">
        <w:rPr>
          <w:rFonts w:asciiTheme="majorBidi" w:hAnsiTheme="majorBidi" w:cstheme="majorBidi"/>
          <w:bCs/>
          <w:sz w:val="26"/>
          <w:szCs w:val="26"/>
        </w:rPr>
        <w:t xml:space="preserve">, signed the </w:t>
      </w:r>
      <w:r w:rsidRPr="006E5047">
        <w:rPr>
          <w:rFonts w:asciiTheme="majorBidi" w:hAnsiTheme="majorBidi" w:cstheme="majorBidi"/>
          <w:bCs/>
          <w:sz w:val="26"/>
          <w:szCs w:val="26"/>
        </w:rPr>
        <w:t xml:space="preserve">new grant </w:t>
      </w:r>
      <w:r w:rsidR="00105C7B" w:rsidRPr="006E5047">
        <w:rPr>
          <w:rFonts w:asciiTheme="majorBidi" w:hAnsiTheme="majorBidi" w:cstheme="majorBidi"/>
          <w:bCs/>
          <w:sz w:val="26"/>
          <w:szCs w:val="26"/>
        </w:rPr>
        <w:t xml:space="preserve">agreement </w:t>
      </w:r>
      <w:r w:rsidR="00002ECC" w:rsidRPr="006E5047">
        <w:rPr>
          <w:rFonts w:asciiTheme="majorBidi" w:hAnsiTheme="majorBidi" w:cstheme="majorBidi"/>
          <w:bCs/>
          <w:sz w:val="26"/>
          <w:szCs w:val="26"/>
        </w:rPr>
        <w:t xml:space="preserve">that will </w:t>
      </w:r>
      <w:r w:rsidR="00905554" w:rsidRPr="006E5047">
        <w:rPr>
          <w:rFonts w:asciiTheme="majorBidi" w:hAnsiTheme="majorBidi" w:cstheme="majorBidi"/>
          <w:sz w:val="26"/>
          <w:szCs w:val="26"/>
        </w:rPr>
        <w:t xml:space="preserve">support </w:t>
      </w:r>
      <w:r w:rsidR="00002ECC" w:rsidRPr="006E5047">
        <w:rPr>
          <w:rFonts w:asciiTheme="majorBidi" w:hAnsiTheme="majorBidi" w:cstheme="majorBidi"/>
          <w:sz w:val="26"/>
          <w:szCs w:val="26"/>
        </w:rPr>
        <w:t xml:space="preserve">a number of </w:t>
      </w:r>
      <w:r w:rsidR="00905554" w:rsidRPr="006E5047">
        <w:rPr>
          <w:rFonts w:asciiTheme="majorBidi" w:hAnsiTheme="majorBidi" w:cstheme="majorBidi"/>
          <w:sz w:val="26"/>
          <w:szCs w:val="26"/>
        </w:rPr>
        <w:t>select</w:t>
      </w:r>
      <w:r w:rsidR="00002ECC" w:rsidRPr="006E5047">
        <w:rPr>
          <w:rFonts w:asciiTheme="majorBidi" w:hAnsiTheme="majorBidi" w:cstheme="majorBidi"/>
          <w:sz w:val="26"/>
          <w:szCs w:val="26"/>
        </w:rPr>
        <w:t>ed</w:t>
      </w:r>
      <w:r w:rsidR="00905554" w:rsidRPr="006E5047">
        <w:rPr>
          <w:rFonts w:asciiTheme="majorBidi" w:hAnsiTheme="majorBidi" w:cstheme="majorBidi"/>
          <w:sz w:val="26"/>
          <w:szCs w:val="26"/>
        </w:rPr>
        <w:t xml:space="preserve"> activities </w:t>
      </w:r>
      <w:r w:rsidR="00002ECC" w:rsidRPr="006E5047">
        <w:rPr>
          <w:rFonts w:asciiTheme="majorBidi" w:hAnsiTheme="majorBidi" w:cstheme="majorBidi"/>
          <w:sz w:val="26"/>
          <w:szCs w:val="26"/>
        </w:rPr>
        <w:t>in</w:t>
      </w:r>
      <w:r w:rsidR="00905554" w:rsidRPr="006E5047">
        <w:rPr>
          <w:rFonts w:asciiTheme="majorBidi" w:hAnsiTheme="majorBidi" w:cstheme="majorBidi"/>
          <w:sz w:val="26"/>
          <w:szCs w:val="26"/>
        </w:rPr>
        <w:t xml:space="preserve"> the Palestinian Expenditure and Consumption Survey (PECS). </w:t>
      </w:r>
      <w:r w:rsidR="00002ECC" w:rsidRPr="006E5047">
        <w:rPr>
          <w:rFonts w:asciiTheme="majorBidi" w:hAnsiTheme="majorBidi" w:cstheme="majorBidi"/>
          <w:sz w:val="26"/>
          <w:szCs w:val="26"/>
        </w:rPr>
        <w:t>The last version of this bi</w:t>
      </w:r>
      <w:r w:rsidR="003A473F" w:rsidRPr="006E5047">
        <w:rPr>
          <w:rFonts w:asciiTheme="majorBidi" w:hAnsiTheme="majorBidi" w:cstheme="majorBidi"/>
          <w:sz w:val="26"/>
          <w:szCs w:val="26"/>
        </w:rPr>
        <w:t>e</w:t>
      </w:r>
      <w:r w:rsidR="00002ECC" w:rsidRPr="006E5047">
        <w:rPr>
          <w:rFonts w:asciiTheme="majorBidi" w:hAnsiTheme="majorBidi" w:cstheme="majorBidi"/>
          <w:sz w:val="26"/>
          <w:szCs w:val="26"/>
        </w:rPr>
        <w:t>nn</w:t>
      </w:r>
      <w:r w:rsidR="003A473F" w:rsidRPr="006E5047">
        <w:rPr>
          <w:rFonts w:asciiTheme="majorBidi" w:hAnsiTheme="majorBidi" w:cstheme="majorBidi"/>
          <w:sz w:val="26"/>
          <w:szCs w:val="26"/>
        </w:rPr>
        <w:t>i</w:t>
      </w:r>
      <w:r w:rsidR="00002ECC" w:rsidRPr="006E5047">
        <w:rPr>
          <w:rFonts w:asciiTheme="majorBidi" w:hAnsiTheme="majorBidi" w:cstheme="majorBidi"/>
          <w:sz w:val="26"/>
          <w:szCs w:val="26"/>
        </w:rPr>
        <w:t>al survey was done in 2017. Due to the COVID-19 pandemic and the severe fiscal crisis facing the Palestinian Authority,</w:t>
      </w:r>
      <w:r w:rsidR="008A14AB" w:rsidRPr="006E5047">
        <w:rPr>
          <w:rFonts w:asciiTheme="majorBidi" w:hAnsiTheme="majorBidi" w:cstheme="majorBidi"/>
          <w:sz w:val="26"/>
          <w:szCs w:val="26"/>
        </w:rPr>
        <w:t xml:space="preserve"> the PCBS was unable to conduct a new survey since then.</w:t>
      </w:r>
    </w:p>
    <w:p w:rsidR="00002ECC" w:rsidRPr="006E5047" w:rsidRDefault="00002ECC" w:rsidP="00002ECC">
      <w:pPr>
        <w:jc w:val="both"/>
        <w:rPr>
          <w:rFonts w:asciiTheme="majorBidi" w:hAnsiTheme="majorBidi" w:cstheme="majorBidi"/>
          <w:sz w:val="26"/>
          <w:szCs w:val="26"/>
        </w:rPr>
      </w:pPr>
    </w:p>
    <w:p w:rsidR="0086052F" w:rsidRPr="006E5047" w:rsidRDefault="0086052F" w:rsidP="00396A8F">
      <w:pPr>
        <w:jc w:val="both"/>
        <w:rPr>
          <w:rFonts w:asciiTheme="majorBidi" w:hAnsiTheme="majorBidi" w:cstheme="majorBidi"/>
          <w:sz w:val="26"/>
          <w:szCs w:val="26"/>
        </w:rPr>
      </w:pPr>
      <w:r w:rsidRPr="006E5047">
        <w:rPr>
          <w:rFonts w:asciiTheme="majorBidi" w:hAnsiTheme="majorBidi" w:cstheme="majorBidi"/>
          <w:sz w:val="26"/>
          <w:szCs w:val="26"/>
        </w:rPr>
        <w:t>This year,</w:t>
      </w:r>
      <w:r w:rsidR="00396A8F" w:rsidRPr="006E5047">
        <w:rPr>
          <w:rFonts w:asciiTheme="majorBidi" w:hAnsiTheme="majorBidi" w:cstheme="majorBidi"/>
          <w:sz w:val="26"/>
          <w:szCs w:val="26"/>
        </w:rPr>
        <w:t xml:space="preserve"> the Palestinian Authority and international donors joined efforts to allocate the </w:t>
      </w:r>
      <w:r w:rsidRPr="006E5047">
        <w:rPr>
          <w:rFonts w:asciiTheme="majorBidi" w:hAnsiTheme="majorBidi" w:cstheme="majorBidi"/>
          <w:sz w:val="26"/>
          <w:szCs w:val="26"/>
        </w:rPr>
        <w:t>€1.1 million</w:t>
      </w:r>
      <w:r w:rsidR="00396A8F" w:rsidRPr="006E5047">
        <w:rPr>
          <w:rFonts w:asciiTheme="majorBidi" w:hAnsiTheme="majorBidi" w:cstheme="majorBidi"/>
          <w:sz w:val="26"/>
          <w:szCs w:val="26"/>
        </w:rPr>
        <w:t xml:space="preserve"> budget required for conducting this survey.</w:t>
      </w:r>
      <w:r w:rsidRPr="006E5047">
        <w:rPr>
          <w:rFonts w:asciiTheme="majorBidi" w:hAnsiTheme="majorBidi" w:cstheme="majorBidi"/>
          <w:sz w:val="26"/>
          <w:szCs w:val="26"/>
        </w:rPr>
        <w:t xml:space="preserve"> </w:t>
      </w:r>
      <w:r w:rsidR="00396A8F" w:rsidRPr="006E5047">
        <w:rPr>
          <w:rFonts w:asciiTheme="majorBidi" w:hAnsiTheme="majorBidi" w:cstheme="majorBidi"/>
          <w:sz w:val="26"/>
          <w:szCs w:val="26"/>
        </w:rPr>
        <w:t>The Palestinian government will cover around 40</w:t>
      </w:r>
      <w:r w:rsidRPr="006E5047">
        <w:rPr>
          <w:rFonts w:asciiTheme="majorBidi" w:hAnsiTheme="majorBidi" w:cstheme="majorBidi"/>
          <w:sz w:val="26"/>
          <w:szCs w:val="26"/>
        </w:rPr>
        <w:t xml:space="preserve">% </w:t>
      </w:r>
      <w:r w:rsidR="00396A8F" w:rsidRPr="006E5047">
        <w:rPr>
          <w:rFonts w:asciiTheme="majorBidi" w:hAnsiTheme="majorBidi" w:cstheme="majorBidi"/>
          <w:sz w:val="26"/>
          <w:szCs w:val="26"/>
        </w:rPr>
        <w:t xml:space="preserve">while the international donors including the EU, </w:t>
      </w:r>
      <w:r w:rsidRPr="006E5047">
        <w:rPr>
          <w:rFonts w:asciiTheme="majorBidi" w:hAnsiTheme="majorBidi" w:cstheme="majorBidi"/>
          <w:sz w:val="26"/>
          <w:szCs w:val="26"/>
        </w:rPr>
        <w:t xml:space="preserve">UNICEF, World Food Programme, </w:t>
      </w:r>
      <w:r w:rsidR="00396A8F" w:rsidRPr="006E5047">
        <w:rPr>
          <w:rFonts w:asciiTheme="majorBidi" w:hAnsiTheme="majorBidi" w:cstheme="majorBidi"/>
          <w:sz w:val="26"/>
          <w:szCs w:val="26"/>
        </w:rPr>
        <w:t xml:space="preserve">and the </w:t>
      </w:r>
      <w:r w:rsidRPr="006E5047">
        <w:rPr>
          <w:rFonts w:asciiTheme="majorBidi" w:hAnsiTheme="majorBidi" w:cstheme="majorBidi"/>
          <w:sz w:val="26"/>
          <w:szCs w:val="26"/>
        </w:rPr>
        <w:t>World Bank</w:t>
      </w:r>
      <w:r w:rsidR="00396A8F" w:rsidRPr="006E5047">
        <w:rPr>
          <w:rFonts w:asciiTheme="majorBidi" w:hAnsiTheme="majorBidi" w:cstheme="majorBidi"/>
          <w:sz w:val="26"/>
          <w:szCs w:val="26"/>
        </w:rPr>
        <w:t xml:space="preserve"> will cover the rest</w:t>
      </w:r>
      <w:r w:rsidRPr="006E5047">
        <w:rPr>
          <w:rFonts w:asciiTheme="majorBidi" w:hAnsiTheme="majorBidi" w:cstheme="majorBidi"/>
          <w:sz w:val="26"/>
          <w:szCs w:val="26"/>
        </w:rPr>
        <w:t>. The EU grant will cover costs related to the field survey, data analysis and dissemination of findings.</w:t>
      </w:r>
    </w:p>
    <w:p w:rsidR="00396A8F" w:rsidRPr="006E5047" w:rsidRDefault="00396A8F" w:rsidP="00396A8F">
      <w:pPr>
        <w:jc w:val="both"/>
        <w:rPr>
          <w:rFonts w:asciiTheme="majorBidi" w:hAnsiTheme="majorBidi" w:cstheme="majorBidi"/>
          <w:sz w:val="26"/>
          <w:szCs w:val="26"/>
        </w:rPr>
      </w:pPr>
    </w:p>
    <w:p w:rsidR="0086052F" w:rsidRPr="006E5047" w:rsidRDefault="00396A8F" w:rsidP="00C5468D">
      <w:pPr>
        <w:jc w:val="both"/>
        <w:rPr>
          <w:rFonts w:asciiTheme="majorBidi" w:hAnsiTheme="majorBidi" w:cstheme="majorBidi"/>
          <w:sz w:val="26"/>
          <w:szCs w:val="26"/>
        </w:rPr>
      </w:pPr>
      <w:r w:rsidRPr="006E5047">
        <w:rPr>
          <w:rFonts w:asciiTheme="majorBidi" w:hAnsiTheme="majorBidi" w:cstheme="majorBidi"/>
          <w:sz w:val="26"/>
          <w:szCs w:val="26"/>
        </w:rPr>
        <w:t xml:space="preserve">During the signing ceremony, the </w:t>
      </w:r>
      <w:r w:rsidRPr="006E5047">
        <w:rPr>
          <w:rFonts w:asciiTheme="majorBidi" w:hAnsiTheme="majorBidi" w:cstheme="majorBidi"/>
          <w:b/>
          <w:bCs/>
          <w:sz w:val="26"/>
          <w:szCs w:val="26"/>
        </w:rPr>
        <w:t xml:space="preserve">President of the PCBS </w:t>
      </w:r>
      <w:r w:rsidR="0086052F" w:rsidRPr="006E5047">
        <w:rPr>
          <w:rFonts w:asciiTheme="majorBidi" w:hAnsiTheme="majorBidi" w:cstheme="majorBidi"/>
          <w:b/>
          <w:bCs/>
          <w:sz w:val="26"/>
          <w:szCs w:val="26"/>
        </w:rPr>
        <w:t>Ola Awad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expressed her appreciation to the E</w:t>
      </w:r>
      <w:r w:rsidRPr="006E5047">
        <w:rPr>
          <w:rFonts w:asciiTheme="majorBidi" w:hAnsiTheme="majorBidi" w:cstheme="majorBidi"/>
          <w:sz w:val="26"/>
          <w:szCs w:val="26"/>
        </w:rPr>
        <w:t xml:space="preserve">U’s longstanding </w:t>
      </w:r>
      <w:r w:rsidR="0086052F" w:rsidRPr="006E5047">
        <w:rPr>
          <w:rFonts w:asciiTheme="majorBidi" w:hAnsiTheme="majorBidi" w:cstheme="majorBidi"/>
          <w:sz w:val="26"/>
          <w:szCs w:val="26"/>
        </w:rPr>
        <w:t>support to the</w:t>
      </w:r>
      <w:r w:rsidRPr="006E5047">
        <w:rPr>
          <w:rFonts w:asciiTheme="majorBidi" w:hAnsiTheme="majorBidi" w:cstheme="majorBidi"/>
          <w:sz w:val="26"/>
          <w:szCs w:val="26"/>
        </w:rPr>
        <w:t xml:space="preserve"> </w:t>
      </w:r>
      <w:r w:rsidRPr="006E5047">
        <w:rPr>
          <w:rFonts w:asciiTheme="majorBidi" w:hAnsiTheme="majorBidi" w:cstheme="majorBidi"/>
          <w:bCs/>
          <w:sz w:val="26"/>
          <w:szCs w:val="26"/>
        </w:rPr>
        <w:t xml:space="preserve">Palestinian Central Bureau of Statistics. ‘’This is a true partnership </w:t>
      </w:r>
      <w:r w:rsidR="00C5468D" w:rsidRPr="006E5047">
        <w:rPr>
          <w:rFonts w:asciiTheme="majorBidi" w:hAnsiTheme="majorBidi" w:cstheme="majorBidi"/>
          <w:bCs/>
          <w:sz w:val="26"/>
          <w:szCs w:val="26"/>
        </w:rPr>
        <w:t xml:space="preserve">that demonstrates the Palestinian European cooperation. It has helped us in building the capacity of </w:t>
      </w:r>
      <w:r w:rsidR="00C5468D" w:rsidRPr="006E5047">
        <w:rPr>
          <w:rFonts w:asciiTheme="majorBidi" w:hAnsiTheme="majorBidi" w:cstheme="majorBidi"/>
          <w:sz w:val="26"/>
          <w:szCs w:val="26"/>
        </w:rPr>
        <w:t xml:space="preserve">the 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PCBS and </w:t>
      </w:r>
      <w:r w:rsidR="00C5468D" w:rsidRPr="006E5047">
        <w:rPr>
          <w:rFonts w:asciiTheme="majorBidi" w:hAnsiTheme="majorBidi" w:cstheme="majorBidi"/>
          <w:sz w:val="26"/>
          <w:szCs w:val="26"/>
        </w:rPr>
        <w:t xml:space="preserve">the </w:t>
      </w:r>
      <w:r w:rsidR="0086052F" w:rsidRPr="006E5047">
        <w:rPr>
          <w:rFonts w:asciiTheme="majorBidi" w:hAnsiTheme="majorBidi" w:cstheme="majorBidi"/>
          <w:sz w:val="26"/>
          <w:szCs w:val="26"/>
        </w:rPr>
        <w:t>provision of updated regular official statistics in various economic and soc</w:t>
      </w:r>
      <w:r w:rsidR="00C5468D" w:rsidRPr="006E5047">
        <w:rPr>
          <w:rFonts w:asciiTheme="majorBidi" w:hAnsiTheme="majorBidi" w:cstheme="majorBidi"/>
          <w:sz w:val="26"/>
          <w:szCs w:val="26"/>
        </w:rPr>
        <w:t>ial areas,’’ she added.</w:t>
      </w:r>
    </w:p>
    <w:p w:rsidR="00C5468D" w:rsidRPr="006E5047" w:rsidRDefault="00C5468D" w:rsidP="00C5468D">
      <w:pPr>
        <w:jc w:val="both"/>
        <w:rPr>
          <w:rFonts w:asciiTheme="majorBidi" w:hAnsiTheme="majorBidi" w:cstheme="majorBidi"/>
          <w:sz w:val="26"/>
          <w:szCs w:val="26"/>
        </w:rPr>
      </w:pPr>
    </w:p>
    <w:p w:rsidR="00CC7A79" w:rsidRPr="006E5047" w:rsidRDefault="00C5468D" w:rsidP="006E5047">
      <w:pPr>
        <w:jc w:val="both"/>
        <w:rPr>
          <w:rStyle w:val="t13"/>
          <w:rFonts w:asciiTheme="majorBidi" w:hAnsiTheme="majorBidi" w:cstheme="majorBidi"/>
          <w:sz w:val="26"/>
          <w:szCs w:val="26"/>
        </w:rPr>
      </w:pPr>
      <w:r w:rsidRPr="006E5047">
        <w:rPr>
          <w:rFonts w:asciiTheme="majorBidi" w:hAnsiTheme="majorBidi" w:cstheme="majorBidi"/>
          <w:sz w:val="26"/>
          <w:szCs w:val="26"/>
        </w:rPr>
        <w:t xml:space="preserve">From his side, the </w:t>
      </w:r>
      <w:r w:rsidRPr="006E5047">
        <w:rPr>
          <w:rFonts w:asciiTheme="majorBidi" w:hAnsiTheme="majorBidi" w:cstheme="majorBidi"/>
          <w:b/>
          <w:bCs/>
          <w:sz w:val="26"/>
          <w:szCs w:val="26"/>
        </w:rPr>
        <w:t xml:space="preserve">EU Head of Cooperation </w:t>
      </w:r>
      <w:r w:rsidR="0086052F" w:rsidRPr="006E5047">
        <w:rPr>
          <w:rFonts w:asciiTheme="majorBidi" w:hAnsiTheme="majorBidi" w:cstheme="majorBidi"/>
          <w:b/>
          <w:bCs/>
          <w:sz w:val="26"/>
          <w:szCs w:val="26"/>
        </w:rPr>
        <w:t xml:space="preserve">Ibrahim </w:t>
      </w:r>
      <w:proofErr w:type="spellStart"/>
      <w:r w:rsidR="0086052F" w:rsidRPr="006E5047">
        <w:rPr>
          <w:rFonts w:asciiTheme="majorBidi" w:hAnsiTheme="majorBidi" w:cstheme="majorBidi"/>
          <w:b/>
          <w:bCs/>
          <w:sz w:val="26"/>
          <w:szCs w:val="26"/>
        </w:rPr>
        <w:t>Laafia</w:t>
      </w:r>
      <w:proofErr w:type="spellEnd"/>
      <w:r w:rsidRPr="006E5047">
        <w:rPr>
          <w:rFonts w:asciiTheme="majorBidi" w:hAnsiTheme="majorBidi" w:cstheme="majorBidi"/>
          <w:sz w:val="26"/>
          <w:szCs w:val="26"/>
        </w:rPr>
        <w:t xml:space="preserve"> said: ‘’S</w:t>
      </w:r>
      <w:r w:rsidR="0086052F" w:rsidRPr="006E5047">
        <w:rPr>
          <w:rFonts w:asciiTheme="majorBidi" w:hAnsiTheme="majorBidi" w:cstheme="majorBidi"/>
          <w:sz w:val="26"/>
          <w:szCs w:val="26"/>
        </w:rPr>
        <w:t>tatistics</w:t>
      </w:r>
      <w:r w:rsidRPr="006E5047">
        <w:rPr>
          <w:rFonts w:asciiTheme="majorBidi" w:hAnsiTheme="majorBidi" w:cstheme="majorBidi"/>
          <w:sz w:val="26"/>
          <w:szCs w:val="26"/>
        </w:rPr>
        <w:t xml:space="preserve"> are a </w:t>
      </w:r>
      <w:r w:rsidR="00343B0B" w:rsidRPr="006E5047">
        <w:rPr>
          <w:rFonts w:asciiTheme="majorBidi" w:hAnsiTheme="majorBidi" w:cstheme="majorBidi"/>
          <w:sz w:val="26"/>
          <w:szCs w:val="26"/>
        </w:rPr>
        <w:t>critical</w:t>
      </w:r>
      <w:r w:rsidRPr="006E5047">
        <w:rPr>
          <w:rFonts w:asciiTheme="majorBidi" w:hAnsiTheme="majorBidi" w:cstheme="majorBidi"/>
          <w:sz w:val="26"/>
          <w:szCs w:val="26"/>
        </w:rPr>
        <w:t xml:space="preserve"> tool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for national policy development, planning, budgeting and monitoring. For development cooperation partners, socio-economic and poverty data </w:t>
      </w:r>
      <w:r w:rsidR="00343B0B" w:rsidRPr="006E5047">
        <w:rPr>
          <w:rFonts w:asciiTheme="majorBidi" w:hAnsiTheme="majorBidi" w:cstheme="majorBidi"/>
          <w:sz w:val="26"/>
          <w:szCs w:val="26"/>
        </w:rPr>
        <w:t>are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essential to ensure that their support to the duty-bearer is ‘leaving no one behind’, as well as to have well-informed policy decisions and properly implement social protections interventions. </w:t>
      </w:r>
      <w:r w:rsidR="00343B0B" w:rsidRPr="006E5047">
        <w:rPr>
          <w:rFonts w:asciiTheme="majorBidi" w:hAnsiTheme="majorBidi" w:cstheme="majorBidi"/>
          <w:sz w:val="26"/>
          <w:szCs w:val="26"/>
        </w:rPr>
        <w:t>Following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the COVID-19 pandemic, the </w:t>
      </w:r>
      <w:r w:rsidR="00343B0B" w:rsidRPr="006E5047">
        <w:rPr>
          <w:rFonts w:asciiTheme="majorBidi" w:hAnsiTheme="majorBidi" w:cstheme="majorBidi"/>
          <w:sz w:val="26"/>
          <w:szCs w:val="26"/>
        </w:rPr>
        <w:t>recent rounds of violence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in Gaza and the </w:t>
      </w:r>
      <w:r w:rsidR="00343B0B" w:rsidRPr="006E5047">
        <w:rPr>
          <w:rFonts w:asciiTheme="majorBidi" w:hAnsiTheme="majorBidi" w:cstheme="majorBidi"/>
          <w:sz w:val="26"/>
          <w:szCs w:val="26"/>
        </w:rPr>
        <w:t xml:space="preserve">ongoing </w:t>
      </w:r>
      <w:r w:rsidR="0086052F" w:rsidRPr="006E5047">
        <w:rPr>
          <w:rFonts w:asciiTheme="majorBidi" w:hAnsiTheme="majorBidi" w:cstheme="majorBidi"/>
          <w:sz w:val="26"/>
          <w:szCs w:val="26"/>
        </w:rPr>
        <w:t>fiscal crisis</w:t>
      </w:r>
      <w:r w:rsidR="00343B0B" w:rsidRPr="006E5047">
        <w:rPr>
          <w:rFonts w:asciiTheme="majorBidi" w:hAnsiTheme="majorBidi" w:cstheme="majorBidi"/>
          <w:sz w:val="26"/>
          <w:szCs w:val="26"/>
        </w:rPr>
        <w:t xml:space="preserve">, these statistics are </w:t>
      </w:r>
      <w:r w:rsidR="00B115F0" w:rsidRPr="006E5047">
        <w:rPr>
          <w:rFonts w:asciiTheme="majorBidi" w:hAnsiTheme="majorBidi" w:cstheme="majorBidi"/>
          <w:sz w:val="26"/>
          <w:szCs w:val="26"/>
        </w:rPr>
        <w:t>crucial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</w:t>
      </w:r>
      <w:r w:rsidR="00B115F0" w:rsidRPr="006E5047">
        <w:rPr>
          <w:rFonts w:asciiTheme="majorBidi" w:hAnsiTheme="majorBidi" w:cstheme="majorBidi"/>
          <w:sz w:val="26"/>
          <w:szCs w:val="26"/>
        </w:rPr>
        <w:t>for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Palestine </w:t>
      </w:r>
      <w:r w:rsidR="00B115F0" w:rsidRPr="006E5047">
        <w:rPr>
          <w:rFonts w:asciiTheme="majorBidi" w:hAnsiTheme="majorBidi" w:cstheme="majorBidi"/>
          <w:sz w:val="26"/>
          <w:szCs w:val="26"/>
        </w:rPr>
        <w:t>to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adjust its sustainable development goals targets for 2030.</w:t>
      </w:r>
      <w:r w:rsidR="00B115F0" w:rsidRPr="006E5047">
        <w:rPr>
          <w:rFonts w:asciiTheme="majorBidi" w:hAnsiTheme="majorBidi" w:cstheme="majorBidi"/>
          <w:sz w:val="26"/>
          <w:szCs w:val="26"/>
        </w:rPr>
        <w:t xml:space="preserve"> In this context, we will continue our engagement and support to the </w:t>
      </w:r>
      <w:r w:rsidR="0086052F" w:rsidRPr="006E5047">
        <w:rPr>
          <w:rFonts w:asciiTheme="majorBidi" w:hAnsiTheme="majorBidi" w:cstheme="majorBidi"/>
          <w:sz w:val="26"/>
          <w:szCs w:val="26"/>
        </w:rPr>
        <w:t>PCBS as a fundamental institution of the future independent</w:t>
      </w:r>
      <w:r w:rsidR="00B115F0" w:rsidRPr="006E5047">
        <w:rPr>
          <w:rFonts w:asciiTheme="majorBidi" w:hAnsiTheme="majorBidi" w:cstheme="majorBidi"/>
          <w:sz w:val="26"/>
          <w:szCs w:val="26"/>
        </w:rPr>
        <w:t xml:space="preserve"> Palestinian State.’’</w:t>
      </w:r>
      <w:r w:rsidR="0086052F" w:rsidRPr="006E5047">
        <w:rPr>
          <w:rFonts w:asciiTheme="majorBidi" w:hAnsiTheme="majorBidi" w:cstheme="majorBidi"/>
          <w:sz w:val="26"/>
          <w:szCs w:val="26"/>
        </w:rPr>
        <w:t xml:space="preserve">  </w:t>
      </w:r>
    </w:p>
    <w:sectPr w:rsidR="00CC7A79" w:rsidRPr="006E5047" w:rsidSect="006E5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D0" w:rsidRDefault="00D211D0">
      <w:r>
        <w:separator/>
      </w:r>
    </w:p>
  </w:endnote>
  <w:endnote w:type="continuationSeparator" w:id="0">
    <w:p w:rsidR="00D211D0" w:rsidRDefault="00D2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3F" w:rsidRDefault="003A4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3F" w:rsidRDefault="003A4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E" w:rsidRPr="003A473F" w:rsidRDefault="0063391E" w:rsidP="003A4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D0" w:rsidRDefault="00D211D0">
      <w:r>
        <w:separator/>
      </w:r>
    </w:p>
  </w:footnote>
  <w:footnote w:type="continuationSeparator" w:id="0">
    <w:p w:rsidR="00D211D0" w:rsidRDefault="00D2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3F" w:rsidRDefault="003A4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3F" w:rsidRDefault="003A4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AA" w:rsidRDefault="008653AA" w:rsidP="0063391E">
    <w:pPr>
      <w:pStyle w:val="Header"/>
      <w:tabs>
        <w:tab w:val="clear" w:pos="4153"/>
        <w:tab w:val="clear" w:pos="8306"/>
        <w:tab w:val="left" w:pos="2175"/>
      </w:tabs>
      <w:rPr>
        <w:rFonts w:ascii="Helvetica" w:hAnsi="Helvetica" w:cs="Helvetica"/>
        <w:sz w:val="20"/>
        <w:szCs w:val="20"/>
      </w:rPr>
    </w:pPr>
  </w:p>
  <w:p w:rsidR="0063391E" w:rsidRPr="0063391E" w:rsidRDefault="0063391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FF3"/>
    <w:multiLevelType w:val="hybridMultilevel"/>
    <w:tmpl w:val="A4946AA2"/>
    <w:lvl w:ilvl="0" w:tplc="3998F9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64E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4684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4807A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FA5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162F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7408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80E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2D3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35D016B"/>
    <w:multiLevelType w:val="hybridMultilevel"/>
    <w:tmpl w:val="7E08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2511"/>
    <w:multiLevelType w:val="hybridMultilevel"/>
    <w:tmpl w:val="5586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ODEL LETTER HOD ISRAEL"/>
  </w:docVars>
  <w:rsids>
    <w:rsidRoot w:val="00203E8E"/>
    <w:rsid w:val="00002ECC"/>
    <w:rsid w:val="00004003"/>
    <w:rsid w:val="00005025"/>
    <w:rsid w:val="00027C81"/>
    <w:rsid w:val="00036BD2"/>
    <w:rsid w:val="000419CF"/>
    <w:rsid w:val="0004315D"/>
    <w:rsid w:val="00064A1F"/>
    <w:rsid w:val="000C71CC"/>
    <w:rsid w:val="000E0894"/>
    <w:rsid w:val="000F09B4"/>
    <w:rsid w:val="00104E0C"/>
    <w:rsid w:val="00105C7B"/>
    <w:rsid w:val="00106E24"/>
    <w:rsid w:val="00111071"/>
    <w:rsid w:val="00156067"/>
    <w:rsid w:val="001631CA"/>
    <w:rsid w:val="00170474"/>
    <w:rsid w:val="00175922"/>
    <w:rsid w:val="00183BD5"/>
    <w:rsid w:val="00197C22"/>
    <w:rsid w:val="001A319A"/>
    <w:rsid w:val="001D2EC5"/>
    <w:rsid w:val="001F24C3"/>
    <w:rsid w:val="00203E8E"/>
    <w:rsid w:val="00206CEC"/>
    <w:rsid w:val="0021714F"/>
    <w:rsid w:val="00220160"/>
    <w:rsid w:val="00221510"/>
    <w:rsid w:val="00235099"/>
    <w:rsid w:val="002474CD"/>
    <w:rsid w:val="00253880"/>
    <w:rsid w:val="00257009"/>
    <w:rsid w:val="0026177B"/>
    <w:rsid w:val="00264CB0"/>
    <w:rsid w:val="002677CC"/>
    <w:rsid w:val="00282608"/>
    <w:rsid w:val="00286C64"/>
    <w:rsid w:val="00291B4F"/>
    <w:rsid w:val="00295C09"/>
    <w:rsid w:val="0029600C"/>
    <w:rsid w:val="002A60DE"/>
    <w:rsid w:val="002C6D81"/>
    <w:rsid w:val="002E57BE"/>
    <w:rsid w:val="002E5DF5"/>
    <w:rsid w:val="002F1628"/>
    <w:rsid w:val="00302972"/>
    <w:rsid w:val="00306CEF"/>
    <w:rsid w:val="00307134"/>
    <w:rsid w:val="003229BC"/>
    <w:rsid w:val="00331EFD"/>
    <w:rsid w:val="00341606"/>
    <w:rsid w:val="00343B0B"/>
    <w:rsid w:val="003624B8"/>
    <w:rsid w:val="0036347B"/>
    <w:rsid w:val="0037534B"/>
    <w:rsid w:val="0038030E"/>
    <w:rsid w:val="00396A8F"/>
    <w:rsid w:val="003A473F"/>
    <w:rsid w:val="003B7D09"/>
    <w:rsid w:val="003C2CA5"/>
    <w:rsid w:val="003D6F99"/>
    <w:rsid w:val="003E12B8"/>
    <w:rsid w:val="003F07C0"/>
    <w:rsid w:val="00402CF7"/>
    <w:rsid w:val="004108A5"/>
    <w:rsid w:val="00413FD2"/>
    <w:rsid w:val="00416EF4"/>
    <w:rsid w:val="004205C4"/>
    <w:rsid w:val="00421909"/>
    <w:rsid w:val="0046208F"/>
    <w:rsid w:val="00462389"/>
    <w:rsid w:val="00470546"/>
    <w:rsid w:val="004722BA"/>
    <w:rsid w:val="00472871"/>
    <w:rsid w:val="004753A4"/>
    <w:rsid w:val="004A27E5"/>
    <w:rsid w:val="004A4B8C"/>
    <w:rsid w:val="004C1517"/>
    <w:rsid w:val="004C66DB"/>
    <w:rsid w:val="004C6F03"/>
    <w:rsid w:val="004D0F74"/>
    <w:rsid w:val="004E1DBC"/>
    <w:rsid w:val="004E7056"/>
    <w:rsid w:val="004F16AC"/>
    <w:rsid w:val="0050781D"/>
    <w:rsid w:val="0051105A"/>
    <w:rsid w:val="005764EB"/>
    <w:rsid w:val="00590754"/>
    <w:rsid w:val="00596AD8"/>
    <w:rsid w:val="005A0BA3"/>
    <w:rsid w:val="005A413F"/>
    <w:rsid w:val="005A7CE3"/>
    <w:rsid w:val="005B1430"/>
    <w:rsid w:val="005E158A"/>
    <w:rsid w:val="005E2F43"/>
    <w:rsid w:val="005F745F"/>
    <w:rsid w:val="005F7A1E"/>
    <w:rsid w:val="006239CE"/>
    <w:rsid w:val="006272BC"/>
    <w:rsid w:val="0063391E"/>
    <w:rsid w:val="006546AA"/>
    <w:rsid w:val="0065713C"/>
    <w:rsid w:val="006600C6"/>
    <w:rsid w:val="00665AEA"/>
    <w:rsid w:val="00665BD6"/>
    <w:rsid w:val="006664A3"/>
    <w:rsid w:val="00673A91"/>
    <w:rsid w:val="00676F39"/>
    <w:rsid w:val="006B4FD9"/>
    <w:rsid w:val="006B614F"/>
    <w:rsid w:val="006B7580"/>
    <w:rsid w:val="006C13A7"/>
    <w:rsid w:val="006C510A"/>
    <w:rsid w:val="006E2002"/>
    <w:rsid w:val="006E5047"/>
    <w:rsid w:val="006F2895"/>
    <w:rsid w:val="006F4446"/>
    <w:rsid w:val="006F4A79"/>
    <w:rsid w:val="007024F5"/>
    <w:rsid w:val="007067A4"/>
    <w:rsid w:val="007248C1"/>
    <w:rsid w:val="00730723"/>
    <w:rsid w:val="00754EB4"/>
    <w:rsid w:val="007823CB"/>
    <w:rsid w:val="0078389F"/>
    <w:rsid w:val="00783F46"/>
    <w:rsid w:val="00784839"/>
    <w:rsid w:val="0079060C"/>
    <w:rsid w:val="0079754F"/>
    <w:rsid w:val="007A593F"/>
    <w:rsid w:val="007A6745"/>
    <w:rsid w:val="007B26E4"/>
    <w:rsid w:val="007B5F79"/>
    <w:rsid w:val="007B7EBF"/>
    <w:rsid w:val="007D54C0"/>
    <w:rsid w:val="007D7386"/>
    <w:rsid w:val="007E2F3C"/>
    <w:rsid w:val="007E2FE2"/>
    <w:rsid w:val="007E5D26"/>
    <w:rsid w:val="007E62AE"/>
    <w:rsid w:val="007F2131"/>
    <w:rsid w:val="008017AC"/>
    <w:rsid w:val="00806F22"/>
    <w:rsid w:val="00825B41"/>
    <w:rsid w:val="008262EB"/>
    <w:rsid w:val="00833DC6"/>
    <w:rsid w:val="00835843"/>
    <w:rsid w:val="00851903"/>
    <w:rsid w:val="0085516D"/>
    <w:rsid w:val="0086052F"/>
    <w:rsid w:val="008640DA"/>
    <w:rsid w:val="008653AA"/>
    <w:rsid w:val="0086675B"/>
    <w:rsid w:val="00880577"/>
    <w:rsid w:val="00891265"/>
    <w:rsid w:val="00892E31"/>
    <w:rsid w:val="008A14AB"/>
    <w:rsid w:val="008A45AE"/>
    <w:rsid w:val="008B0D32"/>
    <w:rsid w:val="008B2742"/>
    <w:rsid w:val="008C01D6"/>
    <w:rsid w:val="008C2D66"/>
    <w:rsid w:val="008C7CB1"/>
    <w:rsid w:val="008D2349"/>
    <w:rsid w:val="008E4152"/>
    <w:rsid w:val="008F1F8C"/>
    <w:rsid w:val="008F4AAF"/>
    <w:rsid w:val="00905554"/>
    <w:rsid w:val="00940AF0"/>
    <w:rsid w:val="0094241E"/>
    <w:rsid w:val="00946F19"/>
    <w:rsid w:val="00947855"/>
    <w:rsid w:val="00947892"/>
    <w:rsid w:val="00947B93"/>
    <w:rsid w:val="0096068B"/>
    <w:rsid w:val="0098616A"/>
    <w:rsid w:val="009A558A"/>
    <w:rsid w:val="009D7472"/>
    <w:rsid w:val="009D7F1A"/>
    <w:rsid w:val="00A013A7"/>
    <w:rsid w:val="00A01EE6"/>
    <w:rsid w:val="00A14413"/>
    <w:rsid w:val="00A252E7"/>
    <w:rsid w:val="00A34FF9"/>
    <w:rsid w:val="00A507DB"/>
    <w:rsid w:val="00A52B82"/>
    <w:rsid w:val="00A626DE"/>
    <w:rsid w:val="00A75CB3"/>
    <w:rsid w:val="00A803EA"/>
    <w:rsid w:val="00A82DC9"/>
    <w:rsid w:val="00A84BB1"/>
    <w:rsid w:val="00A86342"/>
    <w:rsid w:val="00A87A86"/>
    <w:rsid w:val="00A93F51"/>
    <w:rsid w:val="00A959E7"/>
    <w:rsid w:val="00AB16A8"/>
    <w:rsid w:val="00AB2908"/>
    <w:rsid w:val="00AC4F0E"/>
    <w:rsid w:val="00AF5DF9"/>
    <w:rsid w:val="00B115F0"/>
    <w:rsid w:val="00B17719"/>
    <w:rsid w:val="00B20F13"/>
    <w:rsid w:val="00B326DE"/>
    <w:rsid w:val="00B62606"/>
    <w:rsid w:val="00B7380C"/>
    <w:rsid w:val="00B75B4E"/>
    <w:rsid w:val="00B91504"/>
    <w:rsid w:val="00B938D9"/>
    <w:rsid w:val="00B95DE2"/>
    <w:rsid w:val="00B97192"/>
    <w:rsid w:val="00B97584"/>
    <w:rsid w:val="00BB3A3A"/>
    <w:rsid w:val="00BB777C"/>
    <w:rsid w:val="00BD0163"/>
    <w:rsid w:val="00BE59A4"/>
    <w:rsid w:val="00C00681"/>
    <w:rsid w:val="00C1250B"/>
    <w:rsid w:val="00C2166E"/>
    <w:rsid w:val="00C33150"/>
    <w:rsid w:val="00C50205"/>
    <w:rsid w:val="00C5468D"/>
    <w:rsid w:val="00C558F3"/>
    <w:rsid w:val="00C6186A"/>
    <w:rsid w:val="00C64907"/>
    <w:rsid w:val="00C802C9"/>
    <w:rsid w:val="00C87941"/>
    <w:rsid w:val="00CA2390"/>
    <w:rsid w:val="00CB6A02"/>
    <w:rsid w:val="00CC4469"/>
    <w:rsid w:val="00CC7A79"/>
    <w:rsid w:val="00CF3470"/>
    <w:rsid w:val="00CF4C50"/>
    <w:rsid w:val="00CF51A3"/>
    <w:rsid w:val="00CF606D"/>
    <w:rsid w:val="00D00857"/>
    <w:rsid w:val="00D211D0"/>
    <w:rsid w:val="00D3150F"/>
    <w:rsid w:val="00D74EF7"/>
    <w:rsid w:val="00D80FA3"/>
    <w:rsid w:val="00DB1387"/>
    <w:rsid w:val="00DB3094"/>
    <w:rsid w:val="00DB76FB"/>
    <w:rsid w:val="00DC1018"/>
    <w:rsid w:val="00DC2C99"/>
    <w:rsid w:val="00DC3190"/>
    <w:rsid w:val="00DF6130"/>
    <w:rsid w:val="00E11428"/>
    <w:rsid w:val="00E15AC8"/>
    <w:rsid w:val="00E26051"/>
    <w:rsid w:val="00E26B20"/>
    <w:rsid w:val="00E2765C"/>
    <w:rsid w:val="00E37B07"/>
    <w:rsid w:val="00E62F4A"/>
    <w:rsid w:val="00E7388D"/>
    <w:rsid w:val="00E91352"/>
    <w:rsid w:val="00E97DA3"/>
    <w:rsid w:val="00EE65EC"/>
    <w:rsid w:val="00F0380A"/>
    <w:rsid w:val="00F07FB1"/>
    <w:rsid w:val="00F2228B"/>
    <w:rsid w:val="00F454D4"/>
    <w:rsid w:val="00F546BB"/>
    <w:rsid w:val="00F67FC5"/>
    <w:rsid w:val="00F70688"/>
    <w:rsid w:val="00F76BBF"/>
    <w:rsid w:val="00F83A49"/>
    <w:rsid w:val="00F93752"/>
    <w:rsid w:val="00F95918"/>
    <w:rsid w:val="00FA393E"/>
    <w:rsid w:val="00FB3330"/>
    <w:rsid w:val="00FD583B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12FB78EF"/>
  <w15:chartTrackingRefBased/>
  <w15:docId w15:val="{17FB8344-227C-4612-A448-F30F5228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E4152"/>
    <w:pPr>
      <w:keepNext/>
      <w:tabs>
        <w:tab w:val="left" w:pos="5670"/>
      </w:tabs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9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391E"/>
    <w:pPr>
      <w:tabs>
        <w:tab w:val="center" w:pos="4153"/>
        <w:tab w:val="right" w:pos="8306"/>
      </w:tabs>
    </w:pPr>
  </w:style>
  <w:style w:type="paragraph" w:customStyle="1" w:styleId="ZDGName">
    <w:name w:val="Z_DGName"/>
    <w:basedOn w:val="Normal"/>
    <w:rsid w:val="0063391E"/>
    <w:pPr>
      <w:jc w:val="both"/>
    </w:pPr>
    <w:rPr>
      <w:rFonts w:ascii="Arial" w:hAnsi="Arial"/>
      <w:sz w:val="16"/>
      <w:szCs w:val="20"/>
      <w:lang w:eastAsia="en-US"/>
    </w:rPr>
  </w:style>
  <w:style w:type="paragraph" w:styleId="BodyTextIndent">
    <w:name w:val="Body Text Indent"/>
    <w:basedOn w:val="Normal"/>
    <w:rsid w:val="008E4152"/>
    <w:pPr>
      <w:ind w:left="1080" w:hanging="1080"/>
    </w:pPr>
    <w:rPr>
      <w:b/>
      <w:bCs/>
    </w:rPr>
  </w:style>
  <w:style w:type="paragraph" w:styleId="BodyTextIndent2">
    <w:name w:val="Body Text Indent 2"/>
    <w:basedOn w:val="Normal"/>
    <w:rsid w:val="008E4152"/>
    <w:pPr>
      <w:ind w:left="720" w:hanging="720"/>
    </w:pPr>
  </w:style>
  <w:style w:type="character" w:styleId="Hyperlink">
    <w:name w:val="Hyperlink"/>
    <w:uiPriority w:val="99"/>
    <w:rsid w:val="00470546"/>
    <w:rPr>
      <w:color w:val="0000FF"/>
      <w:u w:val="single"/>
    </w:rPr>
  </w:style>
  <w:style w:type="character" w:customStyle="1" w:styleId="t13">
    <w:name w:val="t13"/>
    <w:basedOn w:val="DefaultParagraphFont"/>
    <w:rsid w:val="00470546"/>
  </w:style>
  <w:style w:type="character" w:styleId="Emphasis">
    <w:name w:val="Emphasis"/>
    <w:uiPriority w:val="20"/>
    <w:qFormat/>
    <w:rsid w:val="00470546"/>
    <w:rPr>
      <w:b/>
      <w:bCs/>
      <w:i w:val="0"/>
      <w:iCs w:val="0"/>
    </w:rPr>
  </w:style>
  <w:style w:type="character" w:styleId="FollowedHyperlink">
    <w:name w:val="FollowedHyperlink"/>
    <w:rsid w:val="00470546"/>
    <w:rPr>
      <w:color w:val="800080"/>
      <w:u w:val="single"/>
    </w:rPr>
  </w:style>
  <w:style w:type="paragraph" w:styleId="NormalWeb">
    <w:name w:val="Normal (Web)"/>
    <w:basedOn w:val="Normal"/>
    <w:uiPriority w:val="99"/>
    <w:rsid w:val="0079754F"/>
    <w:pPr>
      <w:spacing w:before="100" w:beforeAutospacing="1" w:after="100" w:afterAutospacing="1"/>
    </w:pPr>
  </w:style>
  <w:style w:type="character" w:customStyle="1" w:styleId="jp-writer">
    <w:name w:val="jp-writer"/>
    <w:basedOn w:val="DefaultParagraphFont"/>
    <w:rsid w:val="00B62606"/>
  </w:style>
  <w:style w:type="character" w:customStyle="1" w:styleId="jp-date">
    <w:name w:val="jp-date"/>
    <w:basedOn w:val="DefaultParagraphFont"/>
    <w:rsid w:val="00B62606"/>
  </w:style>
  <w:style w:type="character" w:customStyle="1" w:styleId="text16g">
    <w:name w:val="text16g"/>
    <w:basedOn w:val="DefaultParagraphFont"/>
    <w:rsid w:val="00B62606"/>
  </w:style>
  <w:style w:type="character" w:customStyle="1" w:styleId="text14">
    <w:name w:val="text14"/>
    <w:basedOn w:val="DefaultParagraphFont"/>
    <w:rsid w:val="00B62606"/>
  </w:style>
  <w:style w:type="paragraph" w:styleId="PlainText">
    <w:name w:val="Plain Text"/>
    <w:basedOn w:val="Normal"/>
    <w:link w:val="PlainTextChar"/>
    <w:uiPriority w:val="99"/>
    <w:unhideWhenUsed/>
    <w:rsid w:val="00A507DB"/>
    <w:rPr>
      <w:rFonts w:ascii="Calibri" w:eastAsia="Calibri" w:hAnsi="Calibri" w:cs="Arial"/>
      <w:sz w:val="22"/>
      <w:szCs w:val="21"/>
      <w:lang w:val="en-US" w:eastAsia="en-US" w:bidi="he-IL"/>
    </w:rPr>
  </w:style>
  <w:style w:type="character" w:customStyle="1" w:styleId="PlainTextChar">
    <w:name w:val="Plain Text Char"/>
    <w:link w:val="PlainText"/>
    <w:uiPriority w:val="99"/>
    <w:rsid w:val="00A507DB"/>
    <w:rPr>
      <w:rFonts w:ascii="Calibri" w:eastAsia="Calibri" w:hAnsi="Calibri" w:cs="Arial"/>
      <w:sz w:val="22"/>
      <w:szCs w:val="21"/>
      <w:lang w:val="en-US" w:eastAsia="en-US"/>
    </w:rPr>
  </w:style>
  <w:style w:type="paragraph" w:styleId="BalloonText">
    <w:name w:val="Balloon Text"/>
    <w:basedOn w:val="Normal"/>
    <w:link w:val="BalloonTextChar"/>
    <w:rsid w:val="00657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71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419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19CF"/>
  </w:style>
  <w:style w:type="character" w:styleId="FootnoteReference">
    <w:name w:val="footnote reference"/>
    <w:rsid w:val="000419CF"/>
    <w:rPr>
      <w:vertAlign w:val="superscript"/>
    </w:rPr>
  </w:style>
  <w:style w:type="paragraph" w:customStyle="1" w:styleId="Default">
    <w:name w:val="Default"/>
    <w:basedOn w:val="Normal"/>
    <w:uiPriority w:val="99"/>
    <w:semiHidden/>
    <w:rsid w:val="00892E31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character" w:styleId="Strong">
    <w:name w:val="Strong"/>
    <w:uiPriority w:val="22"/>
    <w:qFormat/>
    <w:rsid w:val="00892E31"/>
    <w:rPr>
      <w:b/>
      <w:bCs/>
    </w:rPr>
  </w:style>
  <w:style w:type="paragraph" w:styleId="ListParagraph">
    <w:name w:val="List Paragraph"/>
    <w:basedOn w:val="Normal"/>
    <w:uiPriority w:val="34"/>
    <w:qFormat/>
    <w:rsid w:val="00DC3190"/>
    <w:pPr>
      <w:ind w:left="720"/>
      <w:contextualSpacing/>
    </w:pPr>
  </w:style>
  <w:style w:type="table" w:styleId="TableGrid">
    <w:name w:val="Table Grid"/>
    <w:basedOn w:val="TableNormal"/>
    <w:rsid w:val="005A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hrite\Local%20Settings\Temporary%20Internet%20Files\OLK26\Model%20letter%20HOD%20Isra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2DD-F4C1-4D40-A57A-9B943E79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letter HOD Israel.dot</Template>
  <TotalTime>14</TotalTime>
  <Pages>1</Pages>
  <Words>366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Ambassador, Head of Delegation</vt:lpstr>
    </vt:vector>
  </TitlesOfParts>
  <Company>European Commission</Company>
  <LinksUpToDate>false</LinksUpToDate>
  <CharactersWithSpaces>2581</CharactersWithSpaces>
  <SharedDoc>false</SharedDoc>
  <HLinks>
    <vt:vector size="12" baseType="variant"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http://eeas.europa.eu/palestine</vt:lpwstr>
      </vt:variant>
      <vt:variant>
        <vt:lpwstr/>
      </vt:variant>
      <vt:variant>
        <vt:i4>7405643</vt:i4>
      </vt:variant>
      <vt:variant>
        <vt:i4>-1</vt:i4>
      </vt:variant>
      <vt:variant>
        <vt:i4>1026</vt:i4>
      </vt:variant>
      <vt:variant>
        <vt:i4>1</vt:i4>
      </vt:variant>
      <vt:variant>
        <vt:lpwstr>cid:image005.jpg@01C8AF5D.C171A910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Ambassador, Head of Delegation</dc:title>
  <dc:subject/>
  <dc:creator>vihrite</dc:creator>
  <cp:keywords/>
  <cp:lastModifiedBy>LOAY SHEHADEH</cp:lastModifiedBy>
  <cp:revision>5</cp:revision>
  <cp:lastPrinted>2016-01-20T08:07:00Z</cp:lastPrinted>
  <dcterms:created xsi:type="dcterms:W3CDTF">2023-05-22T05:25:00Z</dcterms:created>
  <dcterms:modified xsi:type="dcterms:W3CDTF">2023-05-22T06:46:00Z</dcterms:modified>
</cp:coreProperties>
</file>