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BF" w:rsidRPr="00EF6EBF" w:rsidRDefault="00EF6EBF" w:rsidP="00EF6EBF">
      <w:pPr>
        <w:bidi w:val="0"/>
        <w:jc w:val="center"/>
        <w:rPr>
          <w:b/>
          <w:bCs/>
          <w:sz w:val="4"/>
          <w:szCs w:val="4"/>
        </w:rPr>
      </w:pPr>
    </w:p>
    <w:p w:rsidR="00EF6EBF" w:rsidRDefault="00EF6EBF" w:rsidP="00EF6EBF">
      <w:pPr>
        <w:bidi w:val="0"/>
        <w:jc w:val="center"/>
        <w:rPr>
          <w:b/>
          <w:bCs/>
          <w:sz w:val="32"/>
          <w:szCs w:val="32"/>
        </w:rPr>
      </w:pPr>
      <w:r>
        <w:rPr>
          <w:b/>
          <w:bCs/>
          <w:sz w:val="32"/>
          <w:szCs w:val="32"/>
        </w:rPr>
        <w:t>Palestinian Central Bureau of Statistics (PCBS)</w:t>
      </w:r>
    </w:p>
    <w:p w:rsidR="00EF6EBF" w:rsidRPr="00EF6EBF" w:rsidRDefault="00EF6EBF" w:rsidP="00EF6EBF">
      <w:pPr>
        <w:bidi w:val="0"/>
        <w:jc w:val="center"/>
        <w:rPr>
          <w:sz w:val="16"/>
          <w:szCs w:val="16"/>
          <w:lang w:eastAsia="en-GB"/>
        </w:rPr>
      </w:pPr>
    </w:p>
    <w:p w:rsidR="00911DD9" w:rsidRDefault="00EF6EBF" w:rsidP="00911DD9">
      <w:pPr>
        <w:bidi w:val="0"/>
        <w:jc w:val="center"/>
        <w:rPr>
          <w:b/>
          <w:bCs/>
          <w:sz w:val="30"/>
          <w:szCs w:val="30"/>
          <w:lang w:eastAsia="en-GB"/>
        </w:rPr>
      </w:pPr>
      <w:r>
        <w:rPr>
          <w:b/>
          <w:bCs/>
          <w:sz w:val="30"/>
          <w:szCs w:val="30"/>
          <w:lang w:eastAsia="en-GB"/>
        </w:rPr>
        <w:t>Press release on the oc</w:t>
      </w:r>
      <w:r w:rsidR="00911DD9">
        <w:rPr>
          <w:b/>
          <w:bCs/>
          <w:sz w:val="30"/>
          <w:szCs w:val="30"/>
          <w:lang w:eastAsia="en-GB"/>
        </w:rPr>
        <w:t>casion of the International Day o</w:t>
      </w:r>
      <w:r>
        <w:rPr>
          <w:b/>
          <w:bCs/>
          <w:sz w:val="30"/>
          <w:szCs w:val="30"/>
          <w:lang w:eastAsia="en-GB"/>
        </w:rPr>
        <w:t xml:space="preserve">f </w:t>
      </w:r>
    </w:p>
    <w:p w:rsidR="00EF6EBF" w:rsidRDefault="00EF6EBF" w:rsidP="00911DD9">
      <w:pPr>
        <w:bidi w:val="0"/>
        <w:jc w:val="center"/>
        <w:rPr>
          <w:b/>
          <w:bCs/>
          <w:sz w:val="30"/>
          <w:szCs w:val="30"/>
          <w:lang w:eastAsia="en-GB"/>
        </w:rPr>
      </w:pPr>
      <w:r>
        <w:rPr>
          <w:b/>
          <w:bCs/>
          <w:sz w:val="30"/>
          <w:szCs w:val="30"/>
          <w:lang w:eastAsia="en-GB"/>
        </w:rPr>
        <w:t>Persons with Disabilities, 03/12/202</w:t>
      </w:r>
      <w:r>
        <w:rPr>
          <w:rFonts w:hint="cs"/>
          <w:b/>
          <w:bCs/>
          <w:sz w:val="30"/>
          <w:szCs w:val="30"/>
          <w:rtl/>
          <w:lang w:eastAsia="en-GB"/>
        </w:rPr>
        <w:t>3</w:t>
      </w:r>
    </w:p>
    <w:p w:rsidR="00EF6EBF" w:rsidRDefault="00EF6EBF" w:rsidP="00EF6EBF">
      <w:pPr>
        <w:pStyle w:val="Header"/>
        <w:bidi w:val="0"/>
        <w:jc w:val="both"/>
        <w:rPr>
          <w:b/>
          <w:bCs/>
          <w:sz w:val="28"/>
          <w:szCs w:val="28"/>
        </w:rPr>
      </w:pPr>
    </w:p>
    <w:p w:rsidR="00911DD9" w:rsidRDefault="00911DD9" w:rsidP="00EF6EBF">
      <w:pPr>
        <w:pStyle w:val="Header"/>
        <w:bidi w:val="0"/>
        <w:jc w:val="both"/>
        <w:rPr>
          <w:b/>
          <w:bCs/>
          <w:sz w:val="28"/>
          <w:szCs w:val="28"/>
        </w:rPr>
      </w:pPr>
    </w:p>
    <w:p w:rsidR="001E1D7B" w:rsidRPr="00EF6EBF" w:rsidRDefault="001E1D7B" w:rsidP="00911DD9">
      <w:pPr>
        <w:pStyle w:val="Header"/>
        <w:bidi w:val="0"/>
        <w:jc w:val="both"/>
        <w:rPr>
          <w:b/>
          <w:bCs/>
          <w:sz w:val="28"/>
          <w:szCs w:val="28"/>
        </w:rPr>
      </w:pPr>
      <w:r w:rsidRPr="00EF6EBF">
        <w:rPr>
          <w:b/>
          <w:bCs/>
          <w:sz w:val="28"/>
          <w:szCs w:val="28"/>
        </w:rPr>
        <w:t xml:space="preserve">About 115 thousand </w:t>
      </w:r>
      <w:r w:rsidR="002727E9" w:rsidRPr="00EF6EBF">
        <w:rPr>
          <w:b/>
          <w:bCs/>
          <w:sz w:val="28"/>
          <w:szCs w:val="28"/>
        </w:rPr>
        <w:t xml:space="preserve">persons </w:t>
      </w:r>
      <w:r w:rsidRPr="00EF6EBF">
        <w:rPr>
          <w:b/>
          <w:bCs/>
          <w:sz w:val="28"/>
          <w:szCs w:val="28"/>
        </w:rPr>
        <w:t>with disabilities in Palestine before the Israeli aggres</w:t>
      </w:r>
      <w:r w:rsidR="00D2556C" w:rsidRPr="00EF6EBF">
        <w:rPr>
          <w:b/>
          <w:bCs/>
          <w:sz w:val="28"/>
          <w:szCs w:val="28"/>
        </w:rPr>
        <w:t>sion on Gaza Strip (October 7, 2023)</w:t>
      </w:r>
    </w:p>
    <w:p w:rsidR="001E1D7B" w:rsidRPr="00EF6EBF" w:rsidRDefault="001E1D7B" w:rsidP="00AD5444">
      <w:pPr>
        <w:pStyle w:val="Header"/>
        <w:bidi w:val="0"/>
        <w:spacing w:line="276" w:lineRule="auto"/>
        <w:jc w:val="both"/>
        <w:rPr>
          <w:sz w:val="26"/>
          <w:szCs w:val="26"/>
        </w:rPr>
      </w:pPr>
      <w:r w:rsidRPr="00EF6EBF">
        <w:rPr>
          <w:sz w:val="26"/>
          <w:szCs w:val="26"/>
        </w:rPr>
        <w:t xml:space="preserve">The number of </w:t>
      </w:r>
      <w:r w:rsidR="00746EE8" w:rsidRPr="00EF6EBF">
        <w:rPr>
          <w:sz w:val="26"/>
          <w:szCs w:val="26"/>
        </w:rPr>
        <w:t>p</w:t>
      </w:r>
      <w:r w:rsidR="002727E9" w:rsidRPr="00EF6EBF">
        <w:rPr>
          <w:sz w:val="26"/>
          <w:szCs w:val="26"/>
        </w:rPr>
        <w:t>ersons</w:t>
      </w:r>
      <w:r w:rsidRPr="00EF6EBF">
        <w:rPr>
          <w:sz w:val="26"/>
          <w:szCs w:val="26"/>
        </w:rPr>
        <w:t xml:space="preserve"> with disabilities in Palestine is estimated at </w:t>
      </w:r>
      <w:r w:rsidR="002739DA" w:rsidRPr="00EF6EBF">
        <w:rPr>
          <w:sz w:val="26"/>
          <w:szCs w:val="26"/>
        </w:rPr>
        <w:t>about</w:t>
      </w:r>
      <w:r w:rsidRPr="00EF6EBF">
        <w:rPr>
          <w:sz w:val="26"/>
          <w:szCs w:val="26"/>
        </w:rPr>
        <w:t xml:space="preserve"> 115 thousand </w:t>
      </w:r>
      <w:r w:rsidR="002727E9" w:rsidRPr="00EF6EBF">
        <w:rPr>
          <w:sz w:val="26"/>
          <w:szCs w:val="26"/>
        </w:rPr>
        <w:t>persons</w:t>
      </w:r>
      <w:r w:rsidRPr="00EF6EBF">
        <w:rPr>
          <w:sz w:val="26"/>
          <w:szCs w:val="26"/>
        </w:rPr>
        <w:t xml:space="preserve">, constituting 2.1% of the population, with approximately 59 thousand </w:t>
      </w:r>
      <w:r w:rsidR="002727E9" w:rsidRPr="00EF6EBF">
        <w:rPr>
          <w:sz w:val="26"/>
          <w:szCs w:val="26"/>
        </w:rPr>
        <w:t>persons</w:t>
      </w:r>
      <w:r w:rsidRPr="00EF6EBF">
        <w:rPr>
          <w:sz w:val="26"/>
          <w:szCs w:val="26"/>
        </w:rPr>
        <w:t xml:space="preserve"> in </w:t>
      </w:r>
      <w:r w:rsidR="0025584E" w:rsidRPr="00EF6EBF">
        <w:rPr>
          <w:sz w:val="26"/>
          <w:szCs w:val="26"/>
        </w:rPr>
        <w:t xml:space="preserve">the </w:t>
      </w:r>
      <w:r w:rsidRPr="00EF6EBF">
        <w:rPr>
          <w:sz w:val="26"/>
          <w:szCs w:val="26"/>
        </w:rPr>
        <w:t>West Bank, constituting 1.8%</w:t>
      </w:r>
      <w:r w:rsidR="00D2556C" w:rsidRPr="00EF6EBF">
        <w:rPr>
          <w:sz w:val="26"/>
          <w:szCs w:val="26"/>
        </w:rPr>
        <w:t xml:space="preserve"> of</w:t>
      </w:r>
      <w:r w:rsidR="00D2556C" w:rsidRPr="00EF6EBF">
        <w:rPr>
          <w:sz w:val="26"/>
          <w:szCs w:val="26"/>
          <w:lang w:eastAsia="ar-SA"/>
        </w:rPr>
        <w:t xml:space="preserve"> </w:t>
      </w:r>
      <w:r w:rsidR="0025584E" w:rsidRPr="00EF6EBF">
        <w:rPr>
          <w:sz w:val="26"/>
          <w:szCs w:val="26"/>
          <w:lang w:eastAsia="ar-SA"/>
        </w:rPr>
        <w:t xml:space="preserve">the </w:t>
      </w:r>
      <w:r w:rsidR="00D2556C" w:rsidRPr="00EF6EBF">
        <w:rPr>
          <w:sz w:val="26"/>
          <w:szCs w:val="26"/>
        </w:rPr>
        <w:t>West Bank population,</w:t>
      </w:r>
      <w:r w:rsidRPr="00EF6EBF">
        <w:rPr>
          <w:sz w:val="26"/>
          <w:szCs w:val="26"/>
        </w:rPr>
        <w:t xml:space="preserve"> and approximately 58 thousand </w:t>
      </w:r>
      <w:r w:rsidR="002727E9" w:rsidRPr="00EF6EBF">
        <w:rPr>
          <w:sz w:val="26"/>
          <w:szCs w:val="26"/>
        </w:rPr>
        <w:t>persons</w:t>
      </w:r>
      <w:r w:rsidRPr="00EF6EBF">
        <w:rPr>
          <w:sz w:val="26"/>
          <w:szCs w:val="26"/>
        </w:rPr>
        <w:t xml:space="preserve"> in </w:t>
      </w:r>
      <w:r w:rsidR="002739DA" w:rsidRPr="00EF6EBF">
        <w:rPr>
          <w:sz w:val="26"/>
          <w:szCs w:val="26"/>
        </w:rPr>
        <w:t xml:space="preserve">Gaza Strip, </w:t>
      </w:r>
      <w:r w:rsidRPr="00EF6EBF">
        <w:rPr>
          <w:sz w:val="26"/>
          <w:szCs w:val="26"/>
        </w:rPr>
        <w:t>constituting 2.6%</w:t>
      </w:r>
      <w:r w:rsidR="00D2556C" w:rsidRPr="00EF6EBF">
        <w:rPr>
          <w:sz w:val="26"/>
          <w:szCs w:val="26"/>
        </w:rPr>
        <w:t xml:space="preserve"> of Gaza Strip population</w:t>
      </w:r>
      <w:r w:rsidRPr="00EF6EBF">
        <w:rPr>
          <w:sz w:val="26"/>
          <w:szCs w:val="26"/>
        </w:rPr>
        <w:t xml:space="preserve">. </w:t>
      </w:r>
      <w:r w:rsidR="003D62CD" w:rsidRPr="00EF6EBF">
        <w:rPr>
          <w:sz w:val="26"/>
          <w:szCs w:val="26"/>
        </w:rPr>
        <w:t xml:space="preserve">While, the disability rate reached </w:t>
      </w:r>
      <w:r w:rsidR="002739DA" w:rsidRPr="00EF6EBF">
        <w:rPr>
          <w:sz w:val="26"/>
          <w:szCs w:val="26"/>
        </w:rPr>
        <w:t xml:space="preserve">3% </w:t>
      </w:r>
      <w:r w:rsidRPr="00EF6EBF">
        <w:rPr>
          <w:sz w:val="26"/>
          <w:szCs w:val="26"/>
        </w:rPr>
        <w:t xml:space="preserve">among adults (18 years and </w:t>
      </w:r>
      <w:r w:rsidR="002739DA" w:rsidRPr="00EF6EBF">
        <w:rPr>
          <w:sz w:val="26"/>
          <w:szCs w:val="26"/>
        </w:rPr>
        <w:t>above</w:t>
      </w:r>
      <w:r w:rsidRPr="00EF6EBF">
        <w:rPr>
          <w:sz w:val="26"/>
          <w:szCs w:val="26"/>
        </w:rPr>
        <w:t>)</w:t>
      </w:r>
      <w:r w:rsidR="002739DA" w:rsidRPr="00EF6EBF">
        <w:rPr>
          <w:sz w:val="26"/>
          <w:szCs w:val="26"/>
        </w:rPr>
        <w:t>,</w:t>
      </w:r>
      <w:r w:rsidRPr="00EF6EBF">
        <w:rPr>
          <w:sz w:val="26"/>
          <w:szCs w:val="26"/>
        </w:rPr>
        <w:t xml:space="preserve"> 2.6% in </w:t>
      </w:r>
      <w:r w:rsidR="00311A34" w:rsidRPr="00EF6EBF">
        <w:rPr>
          <w:sz w:val="26"/>
          <w:szCs w:val="26"/>
        </w:rPr>
        <w:t xml:space="preserve">the </w:t>
      </w:r>
      <w:r w:rsidRPr="00EF6EBF">
        <w:rPr>
          <w:sz w:val="26"/>
          <w:szCs w:val="26"/>
        </w:rPr>
        <w:t xml:space="preserve">West Bank and 3.9% in Gaza Strip. The </w:t>
      </w:r>
      <w:r w:rsidR="002739DA" w:rsidRPr="00EF6EBF">
        <w:rPr>
          <w:sz w:val="26"/>
          <w:szCs w:val="26"/>
        </w:rPr>
        <w:t xml:space="preserve">percentage </w:t>
      </w:r>
      <w:r w:rsidRPr="00EF6EBF">
        <w:rPr>
          <w:sz w:val="26"/>
          <w:szCs w:val="26"/>
        </w:rPr>
        <w:t xml:space="preserve">of disability varies greatly </w:t>
      </w:r>
      <w:r w:rsidR="003D62CD" w:rsidRPr="00EF6EBF">
        <w:rPr>
          <w:sz w:val="26"/>
          <w:szCs w:val="26"/>
        </w:rPr>
        <w:t>between</w:t>
      </w:r>
      <w:r w:rsidRPr="00EF6EBF">
        <w:rPr>
          <w:sz w:val="26"/>
          <w:szCs w:val="26"/>
        </w:rPr>
        <w:t xml:space="preserve"> governorate</w:t>
      </w:r>
      <w:r w:rsidR="003D62CD" w:rsidRPr="00EF6EBF">
        <w:rPr>
          <w:sz w:val="26"/>
          <w:szCs w:val="26"/>
        </w:rPr>
        <w:t>s</w:t>
      </w:r>
      <w:r w:rsidRPr="00EF6EBF">
        <w:rPr>
          <w:sz w:val="26"/>
          <w:szCs w:val="26"/>
        </w:rPr>
        <w:t xml:space="preserve">, as North Gaza Governorate recorded the highest </w:t>
      </w:r>
      <w:r w:rsidR="002739DA" w:rsidRPr="00EF6EBF">
        <w:rPr>
          <w:sz w:val="26"/>
          <w:szCs w:val="26"/>
        </w:rPr>
        <w:t xml:space="preserve">percentage </w:t>
      </w:r>
      <w:r w:rsidRPr="00EF6EBF">
        <w:rPr>
          <w:sz w:val="26"/>
          <w:szCs w:val="26"/>
        </w:rPr>
        <w:t xml:space="preserve">of disability, </w:t>
      </w:r>
      <w:r w:rsidR="008B5D75" w:rsidRPr="00EF6EBF">
        <w:rPr>
          <w:sz w:val="26"/>
          <w:szCs w:val="26"/>
        </w:rPr>
        <w:t>reaching nearly</w:t>
      </w:r>
      <w:r w:rsidRPr="00EF6EBF">
        <w:rPr>
          <w:sz w:val="26"/>
          <w:szCs w:val="26"/>
        </w:rPr>
        <w:t xml:space="preserve"> 5%, followed by </w:t>
      </w:r>
      <w:proofErr w:type="spellStart"/>
      <w:r w:rsidR="00311A34" w:rsidRPr="00EF6EBF">
        <w:rPr>
          <w:sz w:val="26"/>
          <w:szCs w:val="26"/>
        </w:rPr>
        <w:t>Dier</w:t>
      </w:r>
      <w:proofErr w:type="spellEnd"/>
      <w:r w:rsidR="00311A34" w:rsidRPr="00EF6EBF">
        <w:rPr>
          <w:sz w:val="26"/>
          <w:szCs w:val="26"/>
        </w:rPr>
        <w:t xml:space="preserve"> Al</w:t>
      </w:r>
      <w:r w:rsidRPr="00EF6EBF">
        <w:rPr>
          <w:sz w:val="26"/>
          <w:szCs w:val="26"/>
        </w:rPr>
        <w:t>-</w:t>
      </w:r>
      <w:proofErr w:type="spellStart"/>
      <w:r w:rsidRPr="00EF6EBF">
        <w:rPr>
          <w:sz w:val="26"/>
          <w:szCs w:val="26"/>
        </w:rPr>
        <w:t>Balah</w:t>
      </w:r>
      <w:proofErr w:type="spellEnd"/>
      <w:r w:rsidRPr="00EF6EBF">
        <w:rPr>
          <w:sz w:val="26"/>
          <w:szCs w:val="26"/>
        </w:rPr>
        <w:t xml:space="preserve"> Governorate (4.1%).</w:t>
      </w:r>
      <w:r w:rsidR="00311A34" w:rsidRPr="00EF6EBF">
        <w:rPr>
          <w:sz w:val="26"/>
          <w:szCs w:val="26"/>
        </w:rPr>
        <w:t xml:space="preserve"> </w:t>
      </w:r>
      <w:r w:rsidRPr="00EF6EBF">
        <w:rPr>
          <w:sz w:val="26"/>
          <w:szCs w:val="26"/>
        </w:rPr>
        <w:t xml:space="preserve">On the other hand, the lowest </w:t>
      </w:r>
      <w:r w:rsidR="002739DA" w:rsidRPr="00EF6EBF">
        <w:rPr>
          <w:sz w:val="26"/>
          <w:szCs w:val="26"/>
        </w:rPr>
        <w:t xml:space="preserve">percentage </w:t>
      </w:r>
      <w:r w:rsidRPr="00EF6EBF">
        <w:rPr>
          <w:sz w:val="26"/>
          <w:szCs w:val="26"/>
        </w:rPr>
        <w:t xml:space="preserve">was recorded in </w:t>
      </w:r>
      <w:r w:rsidR="002739DA" w:rsidRPr="00EF6EBF">
        <w:rPr>
          <w:sz w:val="26"/>
          <w:szCs w:val="26"/>
        </w:rPr>
        <w:t>Ramallah &amp;</w:t>
      </w:r>
      <w:r w:rsidRPr="00EF6EBF">
        <w:rPr>
          <w:sz w:val="26"/>
          <w:szCs w:val="26"/>
        </w:rPr>
        <w:t xml:space="preserve"> Al-Bireh, </w:t>
      </w:r>
      <w:r w:rsidR="002739DA" w:rsidRPr="00EF6EBF">
        <w:rPr>
          <w:sz w:val="26"/>
          <w:szCs w:val="26"/>
        </w:rPr>
        <w:t>and Jericho &amp;</w:t>
      </w:r>
      <w:r w:rsidRPr="00EF6EBF">
        <w:rPr>
          <w:sz w:val="26"/>
          <w:szCs w:val="26"/>
        </w:rPr>
        <w:t xml:space="preserve"> Al-Aghwar Governorates, at about 2% for each.</w:t>
      </w:r>
    </w:p>
    <w:p w:rsidR="0060255B" w:rsidRPr="00EF6EBF" w:rsidRDefault="0060255B" w:rsidP="00AD5444">
      <w:pPr>
        <w:pStyle w:val="Header"/>
        <w:bidi w:val="0"/>
        <w:spacing w:line="276" w:lineRule="auto"/>
        <w:rPr>
          <w:sz w:val="16"/>
          <w:szCs w:val="16"/>
        </w:rPr>
      </w:pPr>
    </w:p>
    <w:p w:rsidR="00016FE3" w:rsidRPr="00EF6EBF" w:rsidRDefault="00016FE3" w:rsidP="00EF6EBF">
      <w:pPr>
        <w:pStyle w:val="Header"/>
        <w:bidi w:val="0"/>
        <w:jc w:val="both"/>
        <w:rPr>
          <w:b/>
          <w:bCs/>
          <w:sz w:val="28"/>
          <w:szCs w:val="28"/>
        </w:rPr>
      </w:pPr>
      <w:r w:rsidRPr="00EF6EBF">
        <w:rPr>
          <w:b/>
          <w:bCs/>
          <w:sz w:val="28"/>
          <w:szCs w:val="28"/>
        </w:rPr>
        <w:t xml:space="preserve">The number of </w:t>
      </w:r>
      <w:r w:rsidR="002727E9" w:rsidRPr="00EF6EBF">
        <w:rPr>
          <w:b/>
          <w:bCs/>
          <w:sz w:val="28"/>
          <w:szCs w:val="28"/>
        </w:rPr>
        <w:t>persons</w:t>
      </w:r>
      <w:r w:rsidRPr="00EF6EBF">
        <w:rPr>
          <w:b/>
          <w:bCs/>
          <w:sz w:val="28"/>
          <w:szCs w:val="28"/>
        </w:rPr>
        <w:t xml:space="preserve"> with disabilities has doubled</w:t>
      </w:r>
      <w:r w:rsidR="008814BC" w:rsidRPr="00EF6EBF">
        <w:rPr>
          <w:b/>
          <w:bCs/>
          <w:sz w:val="28"/>
          <w:szCs w:val="28"/>
        </w:rPr>
        <w:t xml:space="preserve"> in Gaza Strip</w:t>
      </w:r>
    </w:p>
    <w:p w:rsidR="0060255B" w:rsidRPr="00EF6EBF" w:rsidRDefault="00173F04" w:rsidP="00AD5444">
      <w:pPr>
        <w:pStyle w:val="Header"/>
        <w:bidi w:val="0"/>
        <w:spacing w:line="276" w:lineRule="auto"/>
        <w:jc w:val="both"/>
        <w:rPr>
          <w:sz w:val="26"/>
          <w:szCs w:val="26"/>
        </w:rPr>
      </w:pPr>
      <w:r w:rsidRPr="00EF6EBF">
        <w:rPr>
          <w:sz w:val="26"/>
          <w:szCs w:val="26"/>
        </w:rPr>
        <w:t xml:space="preserve">Reducing disability rates is an important goal in the field of public health and healthcare. From 2007 to 2017, the number of </w:t>
      </w:r>
      <w:r w:rsidR="002727E9" w:rsidRPr="00EF6EBF">
        <w:rPr>
          <w:sz w:val="26"/>
          <w:szCs w:val="26"/>
        </w:rPr>
        <w:t>persons</w:t>
      </w:r>
      <w:r w:rsidRPr="00EF6EBF">
        <w:rPr>
          <w:sz w:val="26"/>
          <w:szCs w:val="26"/>
        </w:rPr>
        <w:t xml:space="preserve"> with disabilities in Gaza Strip doubled fr</w:t>
      </w:r>
      <w:r w:rsidR="00770E79" w:rsidRPr="00EF6EBF">
        <w:rPr>
          <w:sz w:val="26"/>
          <w:szCs w:val="26"/>
        </w:rPr>
        <w:t xml:space="preserve">om 24,608 to 48,140 </w:t>
      </w:r>
      <w:r w:rsidR="002727E9" w:rsidRPr="00EF6EBF">
        <w:rPr>
          <w:sz w:val="26"/>
          <w:szCs w:val="26"/>
        </w:rPr>
        <w:t>persons</w:t>
      </w:r>
      <w:r w:rsidRPr="00EF6EBF">
        <w:rPr>
          <w:sz w:val="26"/>
          <w:szCs w:val="26"/>
        </w:rPr>
        <w:t xml:space="preserve">. According to the annual health report in Gaza Strip for the year 2022, the number of registered </w:t>
      </w:r>
      <w:r w:rsidR="002727E9" w:rsidRPr="00EF6EBF">
        <w:rPr>
          <w:sz w:val="26"/>
          <w:szCs w:val="26"/>
        </w:rPr>
        <w:t>persons</w:t>
      </w:r>
      <w:r w:rsidRPr="00EF6EBF">
        <w:rPr>
          <w:sz w:val="26"/>
          <w:szCs w:val="26"/>
        </w:rPr>
        <w:t xml:space="preserve"> with disabilities reached 55,538 </w:t>
      </w:r>
      <w:r w:rsidR="002727E9" w:rsidRPr="00EF6EBF">
        <w:rPr>
          <w:sz w:val="26"/>
          <w:szCs w:val="26"/>
        </w:rPr>
        <w:t>persons</w:t>
      </w:r>
      <w:r w:rsidRPr="00EF6EBF">
        <w:rPr>
          <w:sz w:val="26"/>
          <w:szCs w:val="26"/>
        </w:rPr>
        <w:t xml:space="preserve">, of which </w:t>
      </w:r>
      <w:r w:rsidR="00D96D9A" w:rsidRPr="00EF6EBF">
        <w:rPr>
          <w:sz w:val="26"/>
          <w:szCs w:val="26"/>
        </w:rPr>
        <w:t>walking</w:t>
      </w:r>
      <w:r w:rsidRPr="00EF6EBF">
        <w:rPr>
          <w:sz w:val="26"/>
          <w:szCs w:val="26"/>
        </w:rPr>
        <w:t xml:space="preserve"> disabilities constitute 47%. The Israeli measures and the war </w:t>
      </w:r>
      <w:r w:rsidR="00565118" w:rsidRPr="00EF6EBF">
        <w:rPr>
          <w:sz w:val="26"/>
          <w:szCs w:val="26"/>
        </w:rPr>
        <w:t xml:space="preserve">on </w:t>
      </w:r>
      <w:r w:rsidRPr="00EF6EBF">
        <w:rPr>
          <w:sz w:val="26"/>
          <w:szCs w:val="26"/>
        </w:rPr>
        <w:t xml:space="preserve">Gaza Strip caused </w:t>
      </w:r>
      <w:r w:rsidR="00D96D9A" w:rsidRPr="00EF6EBF">
        <w:rPr>
          <w:sz w:val="26"/>
          <w:szCs w:val="26"/>
        </w:rPr>
        <w:t>walking</w:t>
      </w:r>
      <w:r w:rsidRPr="00EF6EBF">
        <w:rPr>
          <w:sz w:val="26"/>
          <w:szCs w:val="26"/>
        </w:rPr>
        <w:t xml:space="preserve"> disabilities for about 2,000 adults, representing 9% of adults with </w:t>
      </w:r>
      <w:r w:rsidR="00D96D9A" w:rsidRPr="00EF6EBF">
        <w:rPr>
          <w:sz w:val="26"/>
          <w:szCs w:val="26"/>
        </w:rPr>
        <w:t>walking</w:t>
      </w:r>
      <w:r w:rsidRPr="00EF6EBF">
        <w:rPr>
          <w:sz w:val="26"/>
          <w:szCs w:val="26"/>
        </w:rPr>
        <w:t xml:space="preserve"> disabilities and about 3% of children under the age of eighteen with disabilities. It is worth noting that the reasons related to Israeli measures and wars caused at least one disability for about 6% of </w:t>
      </w:r>
      <w:r w:rsidR="00770384" w:rsidRPr="00EF6EBF">
        <w:rPr>
          <w:sz w:val="26"/>
          <w:szCs w:val="26"/>
        </w:rPr>
        <w:t xml:space="preserve">the </w:t>
      </w:r>
      <w:r w:rsidR="002727E9" w:rsidRPr="00EF6EBF">
        <w:rPr>
          <w:sz w:val="26"/>
          <w:szCs w:val="26"/>
        </w:rPr>
        <w:t>persons</w:t>
      </w:r>
      <w:r w:rsidRPr="00EF6EBF">
        <w:rPr>
          <w:sz w:val="26"/>
          <w:szCs w:val="26"/>
        </w:rPr>
        <w:t xml:space="preserve"> aged 18 years and </w:t>
      </w:r>
      <w:r w:rsidR="002D150D" w:rsidRPr="00EF6EBF">
        <w:rPr>
          <w:sz w:val="26"/>
          <w:szCs w:val="26"/>
        </w:rPr>
        <w:t>above</w:t>
      </w:r>
      <w:r w:rsidRPr="00EF6EBF">
        <w:rPr>
          <w:sz w:val="26"/>
          <w:szCs w:val="26"/>
        </w:rPr>
        <w:t xml:space="preserve">, 8% in Gaza Strip compared to 4% in </w:t>
      </w:r>
      <w:r w:rsidR="00770384" w:rsidRPr="00EF6EBF">
        <w:rPr>
          <w:sz w:val="26"/>
          <w:szCs w:val="26"/>
        </w:rPr>
        <w:t xml:space="preserve">the </w:t>
      </w:r>
      <w:r w:rsidRPr="00EF6EBF">
        <w:rPr>
          <w:sz w:val="26"/>
          <w:szCs w:val="26"/>
        </w:rPr>
        <w:t>West Bank.</w:t>
      </w:r>
    </w:p>
    <w:p w:rsidR="00173F04" w:rsidRPr="00EF6EBF" w:rsidRDefault="00173F04" w:rsidP="00EF6EBF">
      <w:pPr>
        <w:pStyle w:val="Header"/>
        <w:bidi w:val="0"/>
        <w:jc w:val="both"/>
        <w:rPr>
          <w:sz w:val="16"/>
          <w:szCs w:val="16"/>
        </w:rPr>
      </w:pPr>
    </w:p>
    <w:p w:rsidR="002727E9" w:rsidRPr="00EF6EBF" w:rsidRDefault="00CB3A00" w:rsidP="00AD5444">
      <w:pPr>
        <w:pStyle w:val="Header"/>
        <w:bidi w:val="0"/>
        <w:spacing w:line="276" w:lineRule="auto"/>
        <w:jc w:val="both"/>
        <w:rPr>
          <w:sz w:val="26"/>
          <w:szCs w:val="26"/>
        </w:rPr>
      </w:pPr>
      <w:r w:rsidRPr="00EF6EBF">
        <w:rPr>
          <w:sz w:val="26"/>
          <w:szCs w:val="26"/>
        </w:rPr>
        <w:t xml:space="preserve">According to reports issued by UNRWA, as a result of the Israeli aggression on </w:t>
      </w:r>
      <w:r w:rsidR="00D96D9A" w:rsidRPr="00EF6EBF">
        <w:rPr>
          <w:sz w:val="26"/>
          <w:szCs w:val="26"/>
        </w:rPr>
        <w:t xml:space="preserve">Gaza Strip </w:t>
      </w:r>
      <w:r w:rsidRPr="00EF6EBF">
        <w:rPr>
          <w:sz w:val="26"/>
          <w:szCs w:val="26"/>
        </w:rPr>
        <w:t xml:space="preserve">in 2014, about a third of the injuries caused permanent disabilities for those injured at </w:t>
      </w:r>
      <w:r w:rsidR="00A335B9" w:rsidRPr="00EF6EBF">
        <w:rPr>
          <w:sz w:val="26"/>
          <w:szCs w:val="26"/>
        </w:rPr>
        <w:t xml:space="preserve">that </w:t>
      </w:r>
      <w:r w:rsidRPr="00EF6EBF">
        <w:rPr>
          <w:sz w:val="26"/>
          <w:szCs w:val="26"/>
        </w:rPr>
        <w:t>time</w:t>
      </w:r>
      <w:r w:rsidR="0049049C" w:rsidRPr="00EF6EBF">
        <w:rPr>
          <w:rStyle w:val="EndnoteReference"/>
          <w:sz w:val="26"/>
          <w:szCs w:val="26"/>
        </w:rPr>
        <w:endnoteReference w:id="1"/>
      </w:r>
      <w:r w:rsidRPr="00EF6EBF">
        <w:rPr>
          <w:sz w:val="26"/>
          <w:szCs w:val="26"/>
        </w:rPr>
        <w:t xml:space="preserve">. </w:t>
      </w:r>
      <w:r w:rsidR="00770E79" w:rsidRPr="00EF6EBF">
        <w:rPr>
          <w:sz w:val="26"/>
          <w:szCs w:val="26"/>
        </w:rPr>
        <w:t>T</w:t>
      </w:r>
      <w:r w:rsidRPr="00EF6EBF">
        <w:rPr>
          <w:sz w:val="26"/>
          <w:szCs w:val="26"/>
        </w:rPr>
        <w:t>herefore</w:t>
      </w:r>
      <w:r w:rsidR="00767388" w:rsidRPr="00EF6EBF">
        <w:rPr>
          <w:sz w:val="26"/>
          <w:szCs w:val="26"/>
        </w:rPr>
        <w:t>,</w:t>
      </w:r>
      <w:r w:rsidRPr="00EF6EBF">
        <w:rPr>
          <w:sz w:val="26"/>
          <w:szCs w:val="26"/>
        </w:rPr>
        <w:t xml:space="preserve"> the number of </w:t>
      </w:r>
      <w:r w:rsidR="002727E9" w:rsidRPr="00EF6EBF">
        <w:rPr>
          <w:sz w:val="26"/>
          <w:szCs w:val="26"/>
        </w:rPr>
        <w:t>persons</w:t>
      </w:r>
      <w:r w:rsidRPr="00EF6EBF">
        <w:rPr>
          <w:sz w:val="26"/>
          <w:szCs w:val="26"/>
        </w:rPr>
        <w:t xml:space="preserve"> with disabilities is likely to increase as a result of the Israeli aggression in 2023 by approximately 12,000 </w:t>
      </w:r>
      <w:r w:rsidR="002727E9" w:rsidRPr="00EF6EBF">
        <w:rPr>
          <w:sz w:val="26"/>
          <w:szCs w:val="26"/>
        </w:rPr>
        <w:t>persons</w:t>
      </w:r>
      <w:r w:rsidRPr="00EF6EBF">
        <w:rPr>
          <w:sz w:val="26"/>
          <w:szCs w:val="26"/>
        </w:rPr>
        <w:t xml:space="preserve"> until the date of issuing this </w:t>
      </w:r>
      <w:r w:rsidR="003B3808" w:rsidRPr="00EF6EBF">
        <w:rPr>
          <w:sz w:val="26"/>
          <w:szCs w:val="26"/>
        </w:rPr>
        <w:t xml:space="preserve">press </w:t>
      </w:r>
      <w:r w:rsidR="00A335B9" w:rsidRPr="00EF6EBF">
        <w:rPr>
          <w:sz w:val="26"/>
          <w:szCs w:val="26"/>
        </w:rPr>
        <w:t>release</w:t>
      </w:r>
      <w:r w:rsidR="00CA0F94" w:rsidRPr="00EF6EBF">
        <w:rPr>
          <w:sz w:val="26"/>
          <w:szCs w:val="26"/>
        </w:rPr>
        <w:t xml:space="preserve">, due </w:t>
      </w:r>
      <w:r w:rsidRPr="00EF6EBF">
        <w:rPr>
          <w:sz w:val="26"/>
          <w:szCs w:val="26"/>
        </w:rPr>
        <w:t xml:space="preserve">to the increasing number of </w:t>
      </w:r>
      <w:r w:rsidR="00A335B9" w:rsidRPr="00EF6EBF">
        <w:rPr>
          <w:sz w:val="26"/>
          <w:szCs w:val="26"/>
        </w:rPr>
        <w:t xml:space="preserve">injured </w:t>
      </w:r>
      <w:r w:rsidRPr="00EF6EBF">
        <w:rPr>
          <w:sz w:val="26"/>
          <w:szCs w:val="26"/>
        </w:rPr>
        <w:t xml:space="preserve">people, </w:t>
      </w:r>
      <w:r w:rsidR="002727E9" w:rsidRPr="00EF6EBF">
        <w:rPr>
          <w:sz w:val="26"/>
          <w:szCs w:val="26"/>
        </w:rPr>
        <w:t>the decrease in healthcare capacity, the closure of border crossings, the prevention of basic medical supplies from entering Gaza Strip and the direct attacks on hospitals, care centers and medical teams</w:t>
      </w:r>
      <w:r w:rsidR="002727E9" w:rsidRPr="00EF6EBF">
        <w:rPr>
          <w:sz w:val="26"/>
          <w:szCs w:val="26"/>
          <w:rtl/>
        </w:rPr>
        <w:t>.</w:t>
      </w:r>
    </w:p>
    <w:p w:rsidR="002727E9" w:rsidRPr="00EF6EBF" w:rsidRDefault="002727E9" w:rsidP="00AD5444">
      <w:pPr>
        <w:tabs>
          <w:tab w:val="center" w:pos="4320"/>
          <w:tab w:val="right" w:pos="8640"/>
        </w:tabs>
        <w:bidi w:val="0"/>
        <w:spacing w:line="276" w:lineRule="auto"/>
        <w:jc w:val="both"/>
        <w:rPr>
          <w:sz w:val="26"/>
          <w:szCs w:val="26"/>
          <w:lang w:eastAsia="en-US"/>
        </w:rPr>
      </w:pPr>
      <w:r w:rsidRPr="00EF6EBF">
        <w:rPr>
          <w:sz w:val="26"/>
          <w:szCs w:val="26"/>
          <w:lang w:eastAsia="en-US"/>
        </w:rPr>
        <w:t>Persons with disabilities face great challenges as they are exposed to risks due to the harsh conditions associated with Israeli aggression, as well as the unhealthy and unsuitable conditions in displacement areas. Additionally, they contend with a lack of healthcare and an inability to access health services.</w:t>
      </w:r>
    </w:p>
    <w:p w:rsidR="00EF6EBF" w:rsidRDefault="00EF6EBF" w:rsidP="00EF6EBF">
      <w:pPr>
        <w:pStyle w:val="Header"/>
        <w:bidi w:val="0"/>
        <w:jc w:val="both"/>
        <w:rPr>
          <w:b/>
          <w:bCs/>
          <w:sz w:val="24"/>
          <w:szCs w:val="24"/>
        </w:rPr>
      </w:pPr>
    </w:p>
    <w:p w:rsidR="00EF6EBF" w:rsidRDefault="00EF6EBF" w:rsidP="00EF6EBF">
      <w:pPr>
        <w:pStyle w:val="Header"/>
        <w:bidi w:val="0"/>
        <w:jc w:val="both"/>
        <w:rPr>
          <w:b/>
          <w:bCs/>
          <w:sz w:val="24"/>
          <w:szCs w:val="24"/>
        </w:rPr>
      </w:pPr>
    </w:p>
    <w:p w:rsidR="00911DD9" w:rsidRDefault="00911DD9" w:rsidP="00911DD9">
      <w:pPr>
        <w:pStyle w:val="Header"/>
        <w:bidi w:val="0"/>
        <w:jc w:val="both"/>
        <w:rPr>
          <w:b/>
          <w:bCs/>
          <w:sz w:val="24"/>
          <w:szCs w:val="24"/>
        </w:rPr>
      </w:pPr>
    </w:p>
    <w:p w:rsidR="00911DD9" w:rsidRDefault="00911DD9" w:rsidP="00911DD9">
      <w:pPr>
        <w:pStyle w:val="Header"/>
        <w:bidi w:val="0"/>
        <w:jc w:val="both"/>
        <w:rPr>
          <w:b/>
          <w:bCs/>
          <w:sz w:val="24"/>
          <w:szCs w:val="24"/>
        </w:rPr>
      </w:pPr>
    </w:p>
    <w:p w:rsidR="00016FE3" w:rsidRPr="00EF6EBF" w:rsidRDefault="00016FE3" w:rsidP="00A43F99">
      <w:pPr>
        <w:pStyle w:val="Header"/>
        <w:bidi w:val="0"/>
        <w:jc w:val="both"/>
        <w:rPr>
          <w:b/>
          <w:bCs/>
          <w:sz w:val="28"/>
          <w:szCs w:val="28"/>
        </w:rPr>
      </w:pPr>
      <w:r w:rsidRPr="00EF6EBF">
        <w:rPr>
          <w:b/>
          <w:bCs/>
          <w:sz w:val="28"/>
          <w:szCs w:val="28"/>
        </w:rPr>
        <w:lastRenderedPageBreak/>
        <w:t>3 out of every 25 children suffer from one or more types of functional difficulties</w:t>
      </w:r>
    </w:p>
    <w:p w:rsidR="0060255B" w:rsidRPr="00EF6EBF" w:rsidRDefault="0060255B" w:rsidP="00AD5444">
      <w:pPr>
        <w:pStyle w:val="Header"/>
        <w:bidi w:val="0"/>
        <w:spacing w:line="276" w:lineRule="auto"/>
        <w:jc w:val="both"/>
        <w:rPr>
          <w:sz w:val="26"/>
          <w:szCs w:val="26"/>
        </w:rPr>
      </w:pPr>
      <w:r w:rsidRPr="00EF6EBF">
        <w:rPr>
          <w:sz w:val="26"/>
          <w:szCs w:val="26"/>
        </w:rPr>
        <w:t xml:space="preserve">By tracking the range of functional abilities in the Palestinian Multiple Indicator Cluster Survey 2019-2020 for children aged 2-17 years, it was found that about 12% of </w:t>
      </w:r>
      <w:r w:rsidR="00CA0F94" w:rsidRPr="00EF6EBF">
        <w:rPr>
          <w:sz w:val="26"/>
          <w:szCs w:val="26"/>
        </w:rPr>
        <w:t xml:space="preserve">the </w:t>
      </w:r>
      <w:r w:rsidRPr="00EF6EBF">
        <w:rPr>
          <w:sz w:val="26"/>
          <w:szCs w:val="26"/>
        </w:rPr>
        <w:t xml:space="preserve">children in Palestine suffer from one or more types of functional difficulties. According to estimates before the aggression on </w:t>
      </w:r>
      <w:r w:rsidR="00D67E06" w:rsidRPr="00EF6EBF">
        <w:rPr>
          <w:sz w:val="26"/>
          <w:szCs w:val="26"/>
        </w:rPr>
        <w:t xml:space="preserve">Gaza </w:t>
      </w:r>
      <w:r w:rsidR="00763595" w:rsidRPr="00EF6EBF">
        <w:rPr>
          <w:sz w:val="26"/>
          <w:szCs w:val="26"/>
        </w:rPr>
        <w:t>strip</w:t>
      </w:r>
      <w:r w:rsidRPr="00EF6EBF">
        <w:rPr>
          <w:sz w:val="26"/>
          <w:szCs w:val="26"/>
        </w:rPr>
        <w:t xml:space="preserve">, it was expected that the number of children with disabilities in </w:t>
      </w:r>
      <w:r w:rsidR="00D67E06" w:rsidRPr="00EF6EBF">
        <w:rPr>
          <w:sz w:val="26"/>
          <w:szCs w:val="26"/>
        </w:rPr>
        <w:t>Gaza</w:t>
      </w:r>
      <w:r w:rsidR="00763595" w:rsidRPr="00EF6EBF">
        <w:rPr>
          <w:sz w:val="26"/>
          <w:szCs w:val="26"/>
        </w:rPr>
        <w:t xml:space="preserve"> strip</w:t>
      </w:r>
      <w:r w:rsidRPr="00EF6EBF">
        <w:rPr>
          <w:sz w:val="26"/>
          <w:szCs w:val="26"/>
        </w:rPr>
        <w:t xml:space="preserve"> in 2023 would reach about 98 thousand children in the age group</w:t>
      </w:r>
      <w:r w:rsidR="00EF6EBF">
        <w:rPr>
          <w:sz w:val="26"/>
          <w:szCs w:val="26"/>
        </w:rPr>
        <w:t xml:space="preserve">   </w:t>
      </w:r>
      <w:r w:rsidRPr="00EF6EBF">
        <w:rPr>
          <w:sz w:val="26"/>
          <w:szCs w:val="26"/>
        </w:rPr>
        <w:t xml:space="preserve"> 2-17 years</w:t>
      </w:r>
      <w:r w:rsidR="009D0500" w:rsidRPr="00EF6EBF">
        <w:rPr>
          <w:sz w:val="26"/>
          <w:szCs w:val="26"/>
        </w:rPr>
        <w:t>*</w:t>
      </w:r>
      <w:r w:rsidRPr="00EF6EBF">
        <w:rPr>
          <w:sz w:val="26"/>
          <w:szCs w:val="26"/>
        </w:rPr>
        <w:t xml:space="preserve">, including about 6 thousand children in the age group 2-4 years and approximately 92 thousand children in </w:t>
      </w:r>
      <w:r w:rsidR="009F2C6F" w:rsidRPr="00EF6EBF">
        <w:rPr>
          <w:sz w:val="26"/>
          <w:szCs w:val="26"/>
        </w:rPr>
        <w:t xml:space="preserve">the age </w:t>
      </w:r>
      <w:r w:rsidRPr="00EF6EBF">
        <w:rPr>
          <w:sz w:val="26"/>
          <w:szCs w:val="26"/>
        </w:rPr>
        <w:t xml:space="preserve">group 5-17 years. </w:t>
      </w:r>
      <w:r w:rsidR="006B7ADF" w:rsidRPr="00EF6EBF">
        <w:rPr>
          <w:sz w:val="26"/>
          <w:szCs w:val="26"/>
        </w:rPr>
        <w:t>Learning disabilities were the most common disability among children aged 2-17 years in Gaza Strip and their number is estimated to be around 21,200 in 2023, while hearing disabilities were the least common.</w:t>
      </w:r>
    </w:p>
    <w:p w:rsidR="009D0500" w:rsidRPr="00EF6EBF" w:rsidRDefault="009D0500" w:rsidP="00AD5444">
      <w:pPr>
        <w:tabs>
          <w:tab w:val="center" w:pos="4320"/>
          <w:tab w:val="right" w:pos="8640"/>
        </w:tabs>
        <w:bidi w:val="0"/>
        <w:spacing w:line="276" w:lineRule="auto"/>
        <w:jc w:val="both"/>
        <w:rPr>
          <w:sz w:val="16"/>
          <w:szCs w:val="16"/>
          <w:lang w:eastAsia="en-US"/>
        </w:rPr>
      </w:pPr>
    </w:p>
    <w:p w:rsidR="009D0500" w:rsidRPr="00EF6EBF" w:rsidRDefault="009D0500" w:rsidP="00EF6EBF">
      <w:pPr>
        <w:tabs>
          <w:tab w:val="center" w:pos="4320"/>
          <w:tab w:val="right" w:pos="8640"/>
        </w:tabs>
        <w:bidi w:val="0"/>
        <w:jc w:val="center"/>
        <w:rPr>
          <w:b/>
          <w:bCs/>
          <w:sz w:val="28"/>
          <w:szCs w:val="28"/>
          <w:lang w:eastAsia="en-US"/>
        </w:rPr>
      </w:pPr>
      <w:r w:rsidRPr="00EF6EBF">
        <w:rPr>
          <w:b/>
          <w:bCs/>
          <w:sz w:val="28"/>
          <w:szCs w:val="28"/>
          <w:lang w:eastAsia="en-US"/>
        </w:rPr>
        <w:t>Estimates of children aged 2-17 years who suffer from functional difficulties in Gaza Strip by type of some disabilities, 2023</w:t>
      </w:r>
    </w:p>
    <w:p w:rsidR="001667F7" w:rsidRPr="001667F7" w:rsidRDefault="001667F7" w:rsidP="00EF6EBF">
      <w:pPr>
        <w:pStyle w:val="Header"/>
        <w:bidi w:val="0"/>
        <w:jc w:val="center"/>
        <w:rPr>
          <w:b/>
          <w:bCs/>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B45079" w:rsidTr="00EF6EBF">
        <w:trPr>
          <w:trHeight w:val="4085"/>
          <w:jc w:val="center"/>
        </w:trPr>
        <w:tc>
          <w:tcPr>
            <w:tcW w:w="9080" w:type="dxa"/>
            <w:shd w:val="clear" w:color="auto" w:fill="auto"/>
            <w:vAlign w:val="center"/>
          </w:tcPr>
          <w:p w:rsidR="00B45079" w:rsidRPr="00BD77DE" w:rsidRDefault="00BA0A8E" w:rsidP="00EF6EBF">
            <w:pPr>
              <w:pStyle w:val="Header"/>
              <w:bidi w:val="0"/>
              <w:jc w:val="center"/>
              <w:rPr>
                <w:sz w:val="24"/>
                <w:szCs w:val="24"/>
              </w:rPr>
            </w:pPr>
            <w:r w:rsidRPr="00BD77DE">
              <w:rPr>
                <w:rFonts w:ascii="Simplified Arabic" w:hAnsi="Simplified Arabic" w:cs="Simplified Arabic"/>
                <w:noProof/>
                <w:sz w:val="26"/>
                <w:szCs w:val="26"/>
              </w:rPr>
              <w:drawing>
                <wp:inline distT="0" distB="0" distL="0" distR="0">
                  <wp:extent cx="4991100" cy="224790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663004" w:rsidRPr="00EF6EBF" w:rsidRDefault="00663004" w:rsidP="00EF6EBF">
      <w:pPr>
        <w:pStyle w:val="Header"/>
        <w:bidi w:val="0"/>
        <w:jc w:val="both"/>
      </w:pPr>
      <w:r w:rsidRPr="00EF6EBF">
        <w:t xml:space="preserve">      Source: Estimates based on Palestinian Multiple Indicator Cluster Survey data 2019-2020.</w:t>
      </w:r>
    </w:p>
    <w:p w:rsidR="006B7ADF" w:rsidRPr="00EF6EBF" w:rsidRDefault="006B7ADF" w:rsidP="00EF6EBF">
      <w:pPr>
        <w:tabs>
          <w:tab w:val="center" w:pos="4320"/>
          <w:tab w:val="right" w:pos="8640"/>
        </w:tabs>
        <w:bidi w:val="0"/>
        <w:jc w:val="both"/>
        <w:rPr>
          <w:sz w:val="16"/>
          <w:szCs w:val="16"/>
          <w:lang w:eastAsia="en-US"/>
        </w:rPr>
      </w:pPr>
    </w:p>
    <w:p w:rsidR="006B7ADF" w:rsidRPr="00EF6EBF" w:rsidRDefault="006B7ADF" w:rsidP="00AD5444">
      <w:pPr>
        <w:tabs>
          <w:tab w:val="center" w:pos="4320"/>
          <w:tab w:val="right" w:pos="8640"/>
        </w:tabs>
        <w:bidi w:val="0"/>
        <w:spacing w:line="276" w:lineRule="auto"/>
        <w:jc w:val="both"/>
        <w:rPr>
          <w:sz w:val="26"/>
          <w:szCs w:val="26"/>
          <w:lang w:eastAsia="en-US"/>
        </w:rPr>
      </w:pPr>
      <w:r w:rsidRPr="00EF6EBF">
        <w:rPr>
          <w:sz w:val="26"/>
          <w:szCs w:val="26"/>
          <w:lang w:eastAsia="en-US"/>
        </w:rPr>
        <w:t>The injured of the Israeli aggression on Gaza Strip since October 7</w:t>
      </w:r>
      <w:r w:rsidRPr="00EF6EBF">
        <w:rPr>
          <w:sz w:val="26"/>
          <w:szCs w:val="26"/>
          <w:vertAlign w:val="superscript"/>
          <w:lang w:eastAsia="en-US"/>
        </w:rPr>
        <w:t>th</w:t>
      </w:r>
      <w:r w:rsidRPr="00EF6EBF">
        <w:rPr>
          <w:sz w:val="26"/>
          <w:szCs w:val="26"/>
          <w:lang w:eastAsia="en-US"/>
        </w:rPr>
        <w:t xml:space="preserve"> until the date of issuing this press release, especially children, who constitute 17% of the total injured individuals, suffer from various repercussions, represented by serious physical injuries that leave long-term effects on their health and lives. They may need several surgeries and expensive medical treatments. In addition, the injuries may lead to a permanent disability, which prevents them from achieving their ambitions and negatively affects their future. It may also prevent the children from accessing education, which would affect their future opportunities, and they might suffer from psychological trauma as a result of the injuries resulting from the Israeli aggression, which would also affect their psychological and social development. It is worth mentioning that the injured might face great challenges and difficulties in coping with their injuries, which might lead to a loss of hope, frustration and uncertainty of the future.</w:t>
      </w:r>
    </w:p>
    <w:p w:rsidR="008E2692" w:rsidRPr="009D7C7E" w:rsidRDefault="008E2692" w:rsidP="00EF6EBF">
      <w:pPr>
        <w:pStyle w:val="Header"/>
        <w:bidi w:val="0"/>
        <w:jc w:val="both"/>
        <w:rPr>
          <w:sz w:val="24"/>
          <w:szCs w:val="24"/>
        </w:rPr>
      </w:pPr>
    </w:p>
    <w:p w:rsidR="00EF6EBF" w:rsidRDefault="00EF6EBF" w:rsidP="00EF6EBF">
      <w:pPr>
        <w:pStyle w:val="Header"/>
        <w:bidi w:val="0"/>
        <w:jc w:val="both"/>
        <w:rPr>
          <w:b/>
          <w:bCs/>
          <w:sz w:val="28"/>
          <w:szCs w:val="28"/>
        </w:rPr>
      </w:pPr>
    </w:p>
    <w:p w:rsidR="00EF6EBF" w:rsidRDefault="00EF6EBF" w:rsidP="00EF6EBF">
      <w:pPr>
        <w:pStyle w:val="Header"/>
        <w:bidi w:val="0"/>
        <w:jc w:val="both"/>
        <w:rPr>
          <w:b/>
          <w:bCs/>
          <w:sz w:val="28"/>
          <w:szCs w:val="28"/>
        </w:rPr>
      </w:pPr>
    </w:p>
    <w:p w:rsidR="00EF6EBF" w:rsidRDefault="00EF6EBF" w:rsidP="00EF6EBF">
      <w:pPr>
        <w:pStyle w:val="Header"/>
        <w:bidi w:val="0"/>
        <w:jc w:val="both"/>
        <w:rPr>
          <w:b/>
          <w:bCs/>
          <w:sz w:val="28"/>
          <w:szCs w:val="28"/>
        </w:rPr>
      </w:pPr>
    </w:p>
    <w:p w:rsidR="00911DD9" w:rsidRDefault="00911DD9" w:rsidP="00911DD9">
      <w:pPr>
        <w:pStyle w:val="Header"/>
        <w:bidi w:val="0"/>
        <w:jc w:val="both"/>
        <w:rPr>
          <w:b/>
          <w:bCs/>
          <w:sz w:val="28"/>
          <w:szCs w:val="28"/>
        </w:rPr>
      </w:pPr>
    </w:p>
    <w:p w:rsidR="00016FE3" w:rsidRPr="00EF6EBF" w:rsidRDefault="00016FE3" w:rsidP="00EF6EBF">
      <w:pPr>
        <w:pStyle w:val="Header"/>
        <w:bidi w:val="0"/>
        <w:jc w:val="both"/>
        <w:rPr>
          <w:b/>
          <w:bCs/>
          <w:sz w:val="28"/>
          <w:szCs w:val="28"/>
        </w:rPr>
      </w:pPr>
      <w:r w:rsidRPr="00EF6EBF">
        <w:rPr>
          <w:b/>
          <w:bCs/>
          <w:sz w:val="28"/>
          <w:szCs w:val="28"/>
        </w:rPr>
        <w:lastRenderedPageBreak/>
        <w:t xml:space="preserve">More than two-thirds of </w:t>
      </w:r>
      <w:r w:rsidR="00A96CB7" w:rsidRPr="00EF6EBF">
        <w:rPr>
          <w:b/>
          <w:bCs/>
          <w:sz w:val="28"/>
          <w:szCs w:val="28"/>
        </w:rPr>
        <w:t xml:space="preserve">the </w:t>
      </w:r>
      <w:r w:rsidR="002727E9" w:rsidRPr="00EF6EBF">
        <w:rPr>
          <w:b/>
          <w:bCs/>
          <w:sz w:val="28"/>
          <w:szCs w:val="28"/>
        </w:rPr>
        <w:t>persons</w:t>
      </w:r>
      <w:r w:rsidRPr="00EF6EBF">
        <w:rPr>
          <w:b/>
          <w:bCs/>
          <w:sz w:val="28"/>
          <w:szCs w:val="28"/>
        </w:rPr>
        <w:t xml:space="preserve"> in </w:t>
      </w:r>
      <w:r w:rsidR="001F34C0" w:rsidRPr="00EF6EBF">
        <w:rPr>
          <w:b/>
          <w:bCs/>
          <w:sz w:val="28"/>
          <w:szCs w:val="28"/>
        </w:rPr>
        <w:t>Gaza Strip</w:t>
      </w:r>
      <w:r w:rsidRPr="00EF6EBF">
        <w:rPr>
          <w:b/>
          <w:bCs/>
          <w:sz w:val="28"/>
          <w:szCs w:val="28"/>
        </w:rPr>
        <w:t xml:space="preserve"> suffer from depression</w:t>
      </w:r>
    </w:p>
    <w:p w:rsidR="00016FE3" w:rsidRPr="00EF6EBF" w:rsidRDefault="00016FE3" w:rsidP="00AD5444">
      <w:pPr>
        <w:pStyle w:val="Header"/>
        <w:bidi w:val="0"/>
        <w:spacing w:line="276" w:lineRule="auto"/>
        <w:jc w:val="both"/>
        <w:rPr>
          <w:sz w:val="26"/>
          <w:szCs w:val="26"/>
        </w:rPr>
      </w:pPr>
      <w:bookmarkStart w:id="0" w:name="_GoBack"/>
      <w:r w:rsidRPr="00EF6EBF">
        <w:rPr>
          <w:sz w:val="26"/>
          <w:szCs w:val="26"/>
        </w:rPr>
        <w:t xml:space="preserve">Mental health is considered one of the most affected </w:t>
      </w:r>
      <w:r w:rsidR="00A96CB7" w:rsidRPr="00EF6EBF">
        <w:rPr>
          <w:sz w:val="26"/>
          <w:szCs w:val="26"/>
        </w:rPr>
        <w:t xml:space="preserve">areas </w:t>
      </w:r>
      <w:r w:rsidRPr="00EF6EBF">
        <w:rPr>
          <w:sz w:val="26"/>
          <w:szCs w:val="26"/>
        </w:rPr>
        <w:t xml:space="preserve">during wars and conflicts, and the </w:t>
      </w:r>
      <w:r w:rsidR="00A96CB7" w:rsidRPr="00EF6EBF">
        <w:rPr>
          <w:sz w:val="26"/>
          <w:szCs w:val="26"/>
        </w:rPr>
        <w:t xml:space="preserve">Israeli aggression </w:t>
      </w:r>
      <w:r w:rsidRPr="00EF6EBF">
        <w:rPr>
          <w:sz w:val="26"/>
          <w:szCs w:val="26"/>
        </w:rPr>
        <w:t>on Gaza</w:t>
      </w:r>
      <w:r w:rsidR="00085B88" w:rsidRPr="00EF6EBF">
        <w:rPr>
          <w:sz w:val="26"/>
          <w:szCs w:val="26"/>
        </w:rPr>
        <w:t xml:space="preserve"> Strip</w:t>
      </w:r>
      <w:r w:rsidRPr="00EF6EBF">
        <w:rPr>
          <w:sz w:val="26"/>
          <w:szCs w:val="26"/>
        </w:rPr>
        <w:t xml:space="preserve"> was unfortunately no exception. The psychological impact of </w:t>
      </w:r>
      <w:r w:rsidR="00123275" w:rsidRPr="00EF6EBF">
        <w:rPr>
          <w:sz w:val="26"/>
          <w:szCs w:val="26"/>
        </w:rPr>
        <w:t xml:space="preserve">aggression and </w:t>
      </w:r>
      <w:r w:rsidRPr="00EF6EBF">
        <w:rPr>
          <w:sz w:val="26"/>
          <w:szCs w:val="26"/>
        </w:rPr>
        <w:t>wars on the population of Gaza</w:t>
      </w:r>
      <w:r w:rsidR="00085B88" w:rsidRPr="00EF6EBF">
        <w:rPr>
          <w:sz w:val="26"/>
          <w:szCs w:val="26"/>
        </w:rPr>
        <w:t xml:space="preserve"> Strip</w:t>
      </w:r>
      <w:r w:rsidRPr="00EF6EBF">
        <w:rPr>
          <w:sz w:val="26"/>
          <w:szCs w:val="26"/>
        </w:rPr>
        <w:t xml:space="preserve"> </w:t>
      </w:r>
      <w:r w:rsidR="00123275" w:rsidRPr="00EF6EBF">
        <w:rPr>
          <w:sz w:val="26"/>
          <w:szCs w:val="26"/>
        </w:rPr>
        <w:t xml:space="preserve">could </w:t>
      </w:r>
      <w:r w:rsidRPr="00EF6EBF">
        <w:rPr>
          <w:sz w:val="26"/>
          <w:szCs w:val="26"/>
        </w:rPr>
        <w:t xml:space="preserve">be </w:t>
      </w:r>
      <w:r w:rsidR="00123275" w:rsidRPr="00EF6EBF">
        <w:rPr>
          <w:sz w:val="26"/>
          <w:szCs w:val="26"/>
        </w:rPr>
        <w:t xml:space="preserve">a </w:t>
      </w:r>
      <w:r w:rsidRPr="00EF6EBF">
        <w:rPr>
          <w:sz w:val="26"/>
          <w:szCs w:val="26"/>
        </w:rPr>
        <w:t>significant and devastating</w:t>
      </w:r>
      <w:r w:rsidR="00123275" w:rsidRPr="00EF6EBF">
        <w:rPr>
          <w:sz w:val="26"/>
          <w:szCs w:val="26"/>
        </w:rPr>
        <w:t xml:space="preserve"> one</w:t>
      </w:r>
      <w:r w:rsidRPr="00EF6EBF">
        <w:rPr>
          <w:sz w:val="26"/>
          <w:szCs w:val="26"/>
        </w:rPr>
        <w:t>. According to the psychological conditions survey carried out by the Palestinian Central Bureau of Statistics in cooperation with the World Bank in 2022 on mental health and the war on Gaza</w:t>
      </w:r>
      <w:r w:rsidR="00085B88" w:rsidRPr="00EF6EBF">
        <w:rPr>
          <w:sz w:val="26"/>
          <w:szCs w:val="26"/>
        </w:rPr>
        <w:t xml:space="preserve"> Strip</w:t>
      </w:r>
      <w:r w:rsidRPr="00EF6EBF">
        <w:rPr>
          <w:sz w:val="26"/>
          <w:szCs w:val="26"/>
        </w:rPr>
        <w:t xml:space="preserve">, it was found that more than two-thirds of </w:t>
      </w:r>
      <w:r w:rsidR="00123275" w:rsidRPr="00EF6EBF">
        <w:rPr>
          <w:sz w:val="26"/>
          <w:szCs w:val="26"/>
        </w:rPr>
        <w:t xml:space="preserve">the </w:t>
      </w:r>
      <w:r w:rsidR="002727E9" w:rsidRPr="00EF6EBF">
        <w:rPr>
          <w:sz w:val="26"/>
          <w:szCs w:val="26"/>
        </w:rPr>
        <w:t>persons</w:t>
      </w:r>
      <w:r w:rsidRPr="00EF6EBF">
        <w:rPr>
          <w:sz w:val="26"/>
          <w:szCs w:val="26"/>
        </w:rPr>
        <w:t xml:space="preserve"> in </w:t>
      </w:r>
      <w:r w:rsidR="001F34C0" w:rsidRPr="00EF6EBF">
        <w:rPr>
          <w:sz w:val="26"/>
          <w:szCs w:val="26"/>
        </w:rPr>
        <w:t>Gaza Strip</w:t>
      </w:r>
      <w:r w:rsidRPr="00EF6EBF">
        <w:rPr>
          <w:sz w:val="26"/>
          <w:szCs w:val="26"/>
        </w:rPr>
        <w:t xml:space="preserve"> suffer from depression, and levels of post-traumatic stress disorder symptoms rise among younger age groups (18 </w:t>
      </w:r>
      <w:r w:rsidR="00085B88" w:rsidRPr="00EF6EBF">
        <w:rPr>
          <w:sz w:val="26"/>
          <w:szCs w:val="26"/>
        </w:rPr>
        <w:t>to</w:t>
      </w:r>
      <w:r w:rsidRPr="00EF6EBF">
        <w:rPr>
          <w:sz w:val="26"/>
          <w:szCs w:val="26"/>
        </w:rPr>
        <w:t xml:space="preserve"> 29 years</w:t>
      </w:r>
      <w:r w:rsidR="00085B88" w:rsidRPr="00EF6EBF">
        <w:rPr>
          <w:sz w:val="26"/>
          <w:szCs w:val="26"/>
        </w:rPr>
        <w:t xml:space="preserve"> old</w:t>
      </w:r>
      <w:r w:rsidRPr="00EF6EBF">
        <w:rPr>
          <w:sz w:val="26"/>
          <w:szCs w:val="26"/>
        </w:rPr>
        <w:t xml:space="preserve">) and tends to decrease with age. On the other hand, the highest percentage in the range of functional difficulties among children in the age 5-17 years in </w:t>
      </w:r>
      <w:r w:rsidR="001F34C0" w:rsidRPr="00EF6EBF">
        <w:rPr>
          <w:sz w:val="26"/>
          <w:szCs w:val="26"/>
        </w:rPr>
        <w:t>Gaza Strip</w:t>
      </w:r>
      <w:r w:rsidRPr="00EF6EBF">
        <w:rPr>
          <w:sz w:val="26"/>
          <w:szCs w:val="26"/>
        </w:rPr>
        <w:t xml:space="preserve"> was anxiety, which </w:t>
      </w:r>
      <w:r w:rsidR="00085B88" w:rsidRPr="00EF6EBF">
        <w:rPr>
          <w:sz w:val="26"/>
          <w:szCs w:val="26"/>
        </w:rPr>
        <w:t xml:space="preserve">was </w:t>
      </w:r>
      <w:r w:rsidRPr="00EF6EBF">
        <w:rPr>
          <w:sz w:val="26"/>
          <w:szCs w:val="26"/>
        </w:rPr>
        <w:t xml:space="preserve">about 13%. It is estimated that approximately 52,450 children aged 5-17 years are expected to suffer from stress in 2023, while approximately 13,000 children will suffer from signs of depression, according to 2023 estimates based on the results of the </w:t>
      </w:r>
      <w:r w:rsidR="00EA7FC2" w:rsidRPr="00EF6EBF">
        <w:rPr>
          <w:sz w:val="26"/>
          <w:szCs w:val="26"/>
        </w:rPr>
        <w:t xml:space="preserve">Multiple Indicator Cluster Survey </w:t>
      </w:r>
      <w:r w:rsidRPr="00EF6EBF">
        <w:rPr>
          <w:sz w:val="26"/>
          <w:szCs w:val="26"/>
        </w:rPr>
        <w:t>2019-2020</w:t>
      </w:r>
      <w:r w:rsidR="002D4395" w:rsidRPr="00EF6EBF">
        <w:rPr>
          <w:sz w:val="26"/>
          <w:szCs w:val="26"/>
        </w:rPr>
        <w:t xml:space="preserve">, before the aggression on </w:t>
      </w:r>
      <w:r w:rsidR="00085B88" w:rsidRPr="00EF6EBF">
        <w:rPr>
          <w:sz w:val="26"/>
          <w:szCs w:val="26"/>
        </w:rPr>
        <w:t>Gaza</w:t>
      </w:r>
      <w:r w:rsidR="00763595" w:rsidRPr="00EF6EBF">
        <w:rPr>
          <w:sz w:val="26"/>
          <w:szCs w:val="26"/>
        </w:rPr>
        <w:t xml:space="preserve"> </w:t>
      </w:r>
      <w:r w:rsidR="00EA7FC2" w:rsidRPr="00EF6EBF">
        <w:rPr>
          <w:sz w:val="26"/>
          <w:szCs w:val="26"/>
        </w:rPr>
        <w:t xml:space="preserve">Strip </w:t>
      </w:r>
      <w:r w:rsidR="002D4395" w:rsidRPr="00EF6EBF">
        <w:rPr>
          <w:sz w:val="26"/>
          <w:szCs w:val="26"/>
        </w:rPr>
        <w:t>on October 7</w:t>
      </w:r>
      <w:r w:rsidR="00EA7FC2" w:rsidRPr="00EF6EBF">
        <w:rPr>
          <w:sz w:val="26"/>
          <w:szCs w:val="26"/>
          <w:vertAlign w:val="superscript"/>
        </w:rPr>
        <w:t>th</w:t>
      </w:r>
      <w:r w:rsidR="002D4395" w:rsidRPr="00EF6EBF">
        <w:rPr>
          <w:sz w:val="26"/>
          <w:szCs w:val="26"/>
        </w:rPr>
        <w:t>.</w:t>
      </w:r>
    </w:p>
    <w:bookmarkEnd w:id="0"/>
    <w:p w:rsidR="00362A27" w:rsidRDefault="00362A27" w:rsidP="00EF6EBF">
      <w:pPr>
        <w:pStyle w:val="Header"/>
        <w:bidi w:val="0"/>
        <w:jc w:val="both"/>
        <w:rPr>
          <w:sz w:val="24"/>
          <w:szCs w:val="24"/>
        </w:rPr>
      </w:pPr>
    </w:p>
    <w:p w:rsidR="00EF6EBF" w:rsidRDefault="00EF6EBF" w:rsidP="00EF6EBF">
      <w:pPr>
        <w:pStyle w:val="Header"/>
        <w:bidi w:val="0"/>
        <w:jc w:val="both"/>
        <w:rPr>
          <w:sz w:val="24"/>
          <w:szCs w:val="24"/>
        </w:rPr>
      </w:pPr>
    </w:p>
    <w:p w:rsidR="00911DD9" w:rsidRDefault="00911DD9" w:rsidP="00EF6EBF">
      <w:pPr>
        <w:pStyle w:val="Header"/>
        <w:bidi w:val="0"/>
        <w:jc w:val="both"/>
        <w:rPr>
          <w:sz w:val="18"/>
          <w:szCs w:val="18"/>
        </w:rPr>
      </w:pPr>
    </w:p>
    <w:p w:rsidR="00362A27" w:rsidRDefault="00BA0A8E" w:rsidP="00911DD9">
      <w:pPr>
        <w:pStyle w:val="Header"/>
        <w:bidi w:val="0"/>
        <w:jc w:val="center"/>
        <w:rPr>
          <w:sz w:val="24"/>
          <w:szCs w:val="24"/>
        </w:rPr>
      </w:pPr>
      <w:r w:rsidRPr="009D7D9C">
        <w:rPr>
          <w:noProof/>
          <w:sz w:val="18"/>
          <w:szCs w:val="18"/>
        </w:rPr>
        <w:drawing>
          <wp:inline distT="0" distB="0" distL="0" distR="0">
            <wp:extent cx="847725" cy="1095375"/>
            <wp:effectExtent l="0" t="0" r="0" b="0"/>
            <wp:docPr id="2" name="Picture 4" descr="cid:image001.jpg@01DA2373.66FA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A2373.66FABA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p>
    <w:p w:rsidR="00EF6EBF" w:rsidRDefault="00EF6EBF" w:rsidP="00EF6EBF">
      <w:pPr>
        <w:pStyle w:val="Header"/>
        <w:bidi w:val="0"/>
        <w:jc w:val="both"/>
        <w:rPr>
          <w:sz w:val="24"/>
          <w:szCs w:val="24"/>
        </w:rPr>
      </w:pPr>
    </w:p>
    <w:p w:rsidR="00911DD9" w:rsidRDefault="00911DD9" w:rsidP="00911DD9">
      <w:pPr>
        <w:pStyle w:val="Header"/>
        <w:bidi w:val="0"/>
        <w:jc w:val="both"/>
        <w:rPr>
          <w:sz w:val="24"/>
          <w:szCs w:val="24"/>
        </w:rPr>
      </w:pPr>
    </w:p>
    <w:p w:rsidR="00911DD9" w:rsidRDefault="00911DD9" w:rsidP="00911DD9">
      <w:pPr>
        <w:pStyle w:val="Header"/>
        <w:bidi w:val="0"/>
        <w:jc w:val="both"/>
        <w:rPr>
          <w:sz w:val="24"/>
          <w:szCs w:val="24"/>
        </w:rPr>
      </w:pPr>
    </w:p>
    <w:p w:rsidR="00EF6EBF" w:rsidRPr="009D7C7E" w:rsidRDefault="00EF6EBF" w:rsidP="00EF6EBF">
      <w:pPr>
        <w:pStyle w:val="Header"/>
        <w:bidi w:val="0"/>
        <w:jc w:val="both"/>
        <w:rPr>
          <w:sz w:val="24"/>
          <w:szCs w:val="24"/>
          <w:rtl/>
        </w:rPr>
      </w:pPr>
    </w:p>
    <w:sectPr w:rsidR="00EF6EBF" w:rsidRPr="009D7C7E" w:rsidSect="00EF6EBF">
      <w:footerReference w:type="default" r:id="rId11"/>
      <w:type w:val="continuous"/>
      <w:pgSz w:w="11907" w:h="16840" w:code="9"/>
      <w:pgMar w:top="1134" w:right="1134" w:bottom="1134" w:left="1134" w:header="227" w:footer="720" w:gutter="0"/>
      <w:pgNumType w:start="1"/>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77" w:rsidRDefault="00946677">
      <w:pPr>
        <w:rPr>
          <w:rtl/>
        </w:rPr>
      </w:pPr>
      <w:r>
        <w:separator/>
      </w:r>
    </w:p>
  </w:endnote>
  <w:endnote w:type="continuationSeparator" w:id="0">
    <w:p w:rsidR="00946677" w:rsidRDefault="00946677">
      <w:pPr>
        <w:rPr>
          <w:rtl/>
        </w:rPr>
      </w:pPr>
      <w:r>
        <w:continuationSeparator/>
      </w:r>
    </w:p>
  </w:endnote>
  <w:endnote w:id="1">
    <w:p w:rsidR="0049049C" w:rsidRDefault="0049049C" w:rsidP="00EF6EBF">
      <w:pPr>
        <w:pStyle w:val="EndnoteText"/>
        <w:bidi w:val="0"/>
        <w:rPr>
          <w:rFonts w:ascii="Arial" w:hAnsi="Arial" w:cs="Arial"/>
        </w:rPr>
      </w:pPr>
      <w:r>
        <w:rPr>
          <w:rStyle w:val="EndnoteReference"/>
        </w:rPr>
        <w:endnoteRef/>
      </w:r>
      <w:r>
        <w:rPr>
          <w:rtl/>
        </w:rPr>
        <w:t xml:space="preserve"> </w:t>
      </w:r>
      <w:hyperlink r:id="rId1" w:history="1">
        <w:r>
          <w:rPr>
            <w:rStyle w:val="Hyperlink"/>
          </w:rPr>
          <w:t>2014 Gaza conflict | UNRWA</w:t>
        </w:r>
      </w:hyperlink>
    </w:p>
    <w:p w:rsidR="009D0500" w:rsidRDefault="009D0500" w:rsidP="00EF6EBF">
      <w:pPr>
        <w:pStyle w:val="EndnoteText"/>
        <w:bidi w:val="0"/>
        <w:rPr>
          <w:rFonts w:ascii="Arial" w:hAnsi="Arial" w:cs="Arial"/>
        </w:rPr>
      </w:pPr>
    </w:p>
    <w:p w:rsidR="009D0500" w:rsidRPr="00EF6EBF" w:rsidRDefault="009D0500" w:rsidP="00EF6EBF">
      <w:pPr>
        <w:pStyle w:val="EndnoteText"/>
        <w:bidi w:val="0"/>
        <w:rPr>
          <w:sz w:val="22"/>
          <w:szCs w:val="22"/>
        </w:rPr>
      </w:pPr>
      <w:r w:rsidRPr="00EF6EBF">
        <w:rPr>
          <w:sz w:val="22"/>
          <w:szCs w:val="22"/>
        </w:rPr>
        <w:t>*: The functional domains of children at the age 2-4 years old include: seeing, hearing, walking, fine motor, communicating, learning, playing, and controlling behavior. The functional domains of children at the age 5-17 years include: seeing, hearing, walking, communication, learning, controlling behavior, self-care, remembering, concentrating, accepting change, making friends, anxiety, and depression.</w:t>
      </w:r>
    </w:p>
    <w:p w:rsidR="0049049C" w:rsidRPr="00EF6EBF" w:rsidRDefault="0049049C" w:rsidP="00EF6EBF">
      <w:pPr>
        <w:pStyle w:val="EndnoteText"/>
        <w:bidi w:val="0"/>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BF" w:rsidRDefault="00EF6EBF">
    <w:pPr>
      <w:pStyle w:val="Footer"/>
      <w:jc w:val="center"/>
    </w:pPr>
    <w:r>
      <w:fldChar w:fldCharType="begin"/>
    </w:r>
    <w:r>
      <w:instrText xml:space="preserve"> PAGE   \* MERGEFORMAT </w:instrText>
    </w:r>
    <w:r>
      <w:fldChar w:fldCharType="separate"/>
    </w:r>
    <w:r w:rsidR="00AD5444">
      <w:rPr>
        <w:noProof/>
        <w:rtl/>
      </w:rPr>
      <w:t>3</w:t>
    </w:r>
    <w:r>
      <w:rPr>
        <w:noProof/>
      </w:rPr>
      <w:fldChar w:fldCharType="end"/>
    </w:r>
  </w:p>
  <w:p w:rsidR="0083352E" w:rsidRDefault="0083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77" w:rsidRDefault="00946677">
      <w:pPr>
        <w:rPr>
          <w:rtl/>
        </w:rPr>
      </w:pPr>
      <w:r>
        <w:separator/>
      </w:r>
    </w:p>
  </w:footnote>
  <w:footnote w:type="continuationSeparator" w:id="0">
    <w:p w:rsidR="00946677" w:rsidRDefault="00946677">
      <w:pPr>
        <w:rPr>
          <w:rt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1" w15:restartNumberingAfterBreak="0">
    <w:nsid w:val="2315247E"/>
    <w:multiLevelType w:val="hybridMultilevel"/>
    <w:tmpl w:val="287ED406"/>
    <w:lvl w:ilvl="0" w:tplc="B7663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63055"/>
    <w:multiLevelType w:val="hybridMultilevel"/>
    <w:tmpl w:val="E146F380"/>
    <w:lvl w:ilvl="0" w:tplc="04010001">
      <w:start w:val="1"/>
      <w:numFmt w:val="bullet"/>
      <w:lvlText w:val=""/>
      <w:lvlJc w:val="left"/>
      <w:pPr>
        <w:tabs>
          <w:tab w:val="num" w:pos="720"/>
        </w:tabs>
        <w:ind w:left="720" w:right="720" w:hanging="36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en-US" w:vendorID="64" w:dllVersion="0" w:nlCheck="1" w:checkStyle="0"/>
  <w:proofState w:spelling="clean" w:grammar="clean"/>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FF"/>
    <w:rsid w:val="00000444"/>
    <w:rsid w:val="00007F6B"/>
    <w:rsid w:val="00010A34"/>
    <w:rsid w:val="00012CF5"/>
    <w:rsid w:val="000164D3"/>
    <w:rsid w:val="00016FE3"/>
    <w:rsid w:val="00025EB8"/>
    <w:rsid w:val="00027DC5"/>
    <w:rsid w:val="000305FC"/>
    <w:rsid w:val="0003533D"/>
    <w:rsid w:val="00035CA4"/>
    <w:rsid w:val="00036D8C"/>
    <w:rsid w:val="00044478"/>
    <w:rsid w:val="0004466A"/>
    <w:rsid w:val="000469F3"/>
    <w:rsid w:val="00053219"/>
    <w:rsid w:val="00055A7D"/>
    <w:rsid w:val="00055F0B"/>
    <w:rsid w:val="000715DC"/>
    <w:rsid w:val="00072683"/>
    <w:rsid w:val="00073703"/>
    <w:rsid w:val="000773EB"/>
    <w:rsid w:val="000843CA"/>
    <w:rsid w:val="00085B88"/>
    <w:rsid w:val="0008692F"/>
    <w:rsid w:val="000925E6"/>
    <w:rsid w:val="0009359A"/>
    <w:rsid w:val="00093C8C"/>
    <w:rsid w:val="0009517D"/>
    <w:rsid w:val="00097B7E"/>
    <w:rsid w:val="000A5D11"/>
    <w:rsid w:val="000A6528"/>
    <w:rsid w:val="000B006F"/>
    <w:rsid w:val="000B7753"/>
    <w:rsid w:val="000C5032"/>
    <w:rsid w:val="000C67C3"/>
    <w:rsid w:val="000C7101"/>
    <w:rsid w:val="000D4D46"/>
    <w:rsid w:val="000F444E"/>
    <w:rsid w:val="000F6BC8"/>
    <w:rsid w:val="000F7BE9"/>
    <w:rsid w:val="0010174E"/>
    <w:rsid w:val="0010330B"/>
    <w:rsid w:val="00104F14"/>
    <w:rsid w:val="00110BE9"/>
    <w:rsid w:val="00123275"/>
    <w:rsid w:val="0013342B"/>
    <w:rsid w:val="00133C64"/>
    <w:rsid w:val="0013429D"/>
    <w:rsid w:val="0013529F"/>
    <w:rsid w:val="0014681A"/>
    <w:rsid w:val="0015144B"/>
    <w:rsid w:val="00152BA9"/>
    <w:rsid w:val="00155B00"/>
    <w:rsid w:val="00160CA7"/>
    <w:rsid w:val="001667F7"/>
    <w:rsid w:val="001724B1"/>
    <w:rsid w:val="00173027"/>
    <w:rsid w:val="00173F04"/>
    <w:rsid w:val="0017751F"/>
    <w:rsid w:val="00180C0C"/>
    <w:rsid w:val="0018257E"/>
    <w:rsid w:val="00183AC9"/>
    <w:rsid w:val="00184AB7"/>
    <w:rsid w:val="00193B75"/>
    <w:rsid w:val="0019607F"/>
    <w:rsid w:val="00196586"/>
    <w:rsid w:val="001977A1"/>
    <w:rsid w:val="001A1762"/>
    <w:rsid w:val="001A2029"/>
    <w:rsid w:val="001A573D"/>
    <w:rsid w:val="001B220E"/>
    <w:rsid w:val="001C2406"/>
    <w:rsid w:val="001C3114"/>
    <w:rsid w:val="001C5A5C"/>
    <w:rsid w:val="001C5D46"/>
    <w:rsid w:val="001C728C"/>
    <w:rsid w:val="001D33AC"/>
    <w:rsid w:val="001E1D7B"/>
    <w:rsid w:val="001F14A7"/>
    <w:rsid w:val="001F27B9"/>
    <w:rsid w:val="001F34C0"/>
    <w:rsid w:val="001F37DB"/>
    <w:rsid w:val="00204241"/>
    <w:rsid w:val="002146A8"/>
    <w:rsid w:val="00217E7F"/>
    <w:rsid w:val="00244BAD"/>
    <w:rsid w:val="00245C62"/>
    <w:rsid w:val="0025584E"/>
    <w:rsid w:val="00257DAB"/>
    <w:rsid w:val="0026202B"/>
    <w:rsid w:val="00263CDA"/>
    <w:rsid w:val="00264586"/>
    <w:rsid w:val="00266766"/>
    <w:rsid w:val="002668D8"/>
    <w:rsid w:val="00272709"/>
    <w:rsid w:val="002727E9"/>
    <w:rsid w:val="002739DA"/>
    <w:rsid w:val="002766FC"/>
    <w:rsid w:val="0027762C"/>
    <w:rsid w:val="00285D10"/>
    <w:rsid w:val="00287335"/>
    <w:rsid w:val="00292D97"/>
    <w:rsid w:val="002934AC"/>
    <w:rsid w:val="0029551D"/>
    <w:rsid w:val="00296106"/>
    <w:rsid w:val="002962BF"/>
    <w:rsid w:val="00297F42"/>
    <w:rsid w:val="002A10B4"/>
    <w:rsid w:val="002A578E"/>
    <w:rsid w:val="002A6829"/>
    <w:rsid w:val="002B0875"/>
    <w:rsid w:val="002B2459"/>
    <w:rsid w:val="002B3D47"/>
    <w:rsid w:val="002B3EFB"/>
    <w:rsid w:val="002B64D3"/>
    <w:rsid w:val="002B6E0C"/>
    <w:rsid w:val="002B6EC7"/>
    <w:rsid w:val="002C7C19"/>
    <w:rsid w:val="002D150D"/>
    <w:rsid w:val="002D4395"/>
    <w:rsid w:val="002D59B0"/>
    <w:rsid w:val="002E135D"/>
    <w:rsid w:val="002E3D36"/>
    <w:rsid w:val="002F146D"/>
    <w:rsid w:val="002F23EC"/>
    <w:rsid w:val="002F2AF2"/>
    <w:rsid w:val="002F41F1"/>
    <w:rsid w:val="002F524A"/>
    <w:rsid w:val="002F75CA"/>
    <w:rsid w:val="00311560"/>
    <w:rsid w:val="00311A34"/>
    <w:rsid w:val="00317A4C"/>
    <w:rsid w:val="00321275"/>
    <w:rsid w:val="00322077"/>
    <w:rsid w:val="0032510F"/>
    <w:rsid w:val="00335A82"/>
    <w:rsid w:val="00336112"/>
    <w:rsid w:val="00336BA7"/>
    <w:rsid w:val="003433F1"/>
    <w:rsid w:val="00345409"/>
    <w:rsid w:val="00345D4F"/>
    <w:rsid w:val="003507DA"/>
    <w:rsid w:val="0035123A"/>
    <w:rsid w:val="00351E39"/>
    <w:rsid w:val="00352EB1"/>
    <w:rsid w:val="0035356C"/>
    <w:rsid w:val="0035404E"/>
    <w:rsid w:val="00356A91"/>
    <w:rsid w:val="00356D18"/>
    <w:rsid w:val="00362A27"/>
    <w:rsid w:val="00370A47"/>
    <w:rsid w:val="00374CC9"/>
    <w:rsid w:val="00377320"/>
    <w:rsid w:val="00381439"/>
    <w:rsid w:val="003827C3"/>
    <w:rsid w:val="00384C76"/>
    <w:rsid w:val="00385F1C"/>
    <w:rsid w:val="0039075F"/>
    <w:rsid w:val="00390947"/>
    <w:rsid w:val="00393AB6"/>
    <w:rsid w:val="00394738"/>
    <w:rsid w:val="003A0680"/>
    <w:rsid w:val="003B2DAA"/>
    <w:rsid w:val="003B3808"/>
    <w:rsid w:val="003B572B"/>
    <w:rsid w:val="003B7328"/>
    <w:rsid w:val="003C07CA"/>
    <w:rsid w:val="003C67FB"/>
    <w:rsid w:val="003D10A7"/>
    <w:rsid w:val="003D4EAB"/>
    <w:rsid w:val="003D51E0"/>
    <w:rsid w:val="003D62CD"/>
    <w:rsid w:val="003E7579"/>
    <w:rsid w:val="003F2E61"/>
    <w:rsid w:val="003F31D8"/>
    <w:rsid w:val="003F57F3"/>
    <w:rsid w:val="003F6A6B"/>
    <w:rsid w:val="003F7417"/>
    <w:rsid w:val="003F7B97"/>
    <w:rsid w:val="00400148"/>
    <w:rsid w:val="0040289A"/>
    <w:rsid w:val="004110C8"/>
    <w:rsid w:val="004229C0"/>
    <w:rsid w:val="00424D18"/>
    <w:rsid w:val="00430F3E"/>
    <w:rsid w:val="00431C80"/>
    <w:rsid w:val="0043502F"/>
    <w:rsid w:val="00435B39"/>
    <w:rsid w:val="00440C94"/>
    <w:rsid w:val="00442BAD"/>
    <w:rsid w:val="00450A77"/>
    <w:rsid w:val="004524DE"/>
    <w:rsid w:val="0045295E"/>
    <w:rsid w:val="00453F2D"/>
    <w:rsid w:val="00462A47"/>
    <w:rsid w:val="0046502E"/>
    <w:rsid w:val="004665CA"/>
    <w:rsid w:val="0047040A"/>
    <w:rsid w:val="0047386F"/>
    <w:rsid w:val="00474C87"/>
    <w:rsid w:val="004806C5"/>
    <w:rsid w:val="00481F5F"/>
    <w:rsid w:val="00482315"/>
    <w:rsid w:val="0048731E"/>
    <w:rsid w:val="00487DE6"/>
    <w:rsid w:val="0049049C"/>
    <w:rsid w:val="0049400C"/>
    <w:rsid w:val="00495065"/>
    <w:rsid w:val="004A22DD"/>
    <w:rsid w:val="004A356F"/>
    <w:rsid w:val="004B449A"/>
    <w:rsid w:val="004B4A76"/>
    <w:rsid w:val="004B6346"/>
    <w:rsid w:val="004B7342"/>
    <w:rsid w:val="004C45FE"/>
    <w:rsid w:val="004C56F0"/>
    <w:rsid w:val="004D05CC"/>
    <w:rsid w:val="004D1276"/>
    <w:rsid w:val="004D51AC"/>
    <w:rsid w:val="004E351B"/>
    <w:rsid w:val="004E6B91"/>
    <w:rsid w:val="004F1A99"/>
    <w:rsid w:val="004F2544"/>
    <w:rsid w:val="004F5B34"/>
    <w:rsid w:val="004F7981"/>
    <w:rsid w:val="00501438"/>
    <w:rsid w:val="00505526"/>
    <w:rsid w:val="005069C9"/>
    <w:rsid w:val="00507E17"/>
    <w:rsid w:val="00511BF0"/>
    <w:rsid w:val="00515826"/>
    <w:rsid w:val="00516B7C"/>
    <w:rsid w:val="005177E3"/>
    <w:rsid w:val="00520451"/>
    <w:rsid w:val="00520955"/>
    <w:rsid w:val="0052195E"/>
    <w:rsid w:val="005254E8"/>
    <w:rsid w:val="00534235"/>
    <w:rsid w:val="00535B6D"/>
    <w:rsid w:val="0053776F"/>
    <w:rsid w:val="005424A1"/>
    <w:rsid w:val="0054481E"/>
    <w:rsid w:val="0055202F"/>
    <w:rsid w:val="0055244F"/>
    <w:rsid w:val="00557DBC"/>
    <w:rsid w:val="00560A52"/>
    <w:rsid w:val="005612F4"/>
    <w:rsid w:val="00565118"/>
    <w:rsid w:val="00584DF7"/>
    <w:rsid w:val="005A6ECC"/>
    <w:rsid w:val="005B5570"/>
    <w:rsid w:val="005C3557"/>
    <w:rsid w:val="005D1220"/>
    <w:rsid w:val="005D2DC5"/>
    <w:rsid w:val="005D3309"/>
    <w:rsid w:val="005F105A"/>
    <w:rsid w:val="005F3CB1"/>
    <w:rsid w:val="005F5C43"/>
    <w:rsid w:val="00601FDB"/>
    <w:rsid w:val="0060255B"/>
    <w:rsid w:val="006043D9"/>
    <w:rsid w:val="0060691F"/>
    <w:rsid w:val="0060712D"/>
    <w:rsid w:val="00610F1C"/>
    <w:rsid w:val="00611AE9"/>
    <w:rsid w:val="00614817"/>
    <w:rsid w:val="006201FF"/>
    <w:rsid w:val="00622649"/>
    <w:rsid w:val="00625288"/>
    <w:rsid w:val="00625A12"/>
    <w:rsid w:val="00633AF8"/>
    <w:rsid w:val="006344F1"/>
    <w:rsid w:val="00635465"/>
    <w:rsid w:val="00647A36"/>
    <w:rsid w:val="006515A3"/>
    <w:rsid w:val="00655ED3"/>
    <w:rsid w:val="00663004"/>
    <w:rsid w:val="00676862"/>
    <w:rsid w:val="00680981"/>
    <w:rsid w:val="006816D2"/>
    <w:rsid w:val="00685D77"/>
    <w:rsid w:val="0068789D"/>
    <w:rsid w:val="00687A96"/>
    <w:rsid w:val="006970B6"/>
    <w:rsid w:val="006A0997"/>
    <w:rsid w:val="006A4019"/>
    <w:rsid w:val="006B344F"/>
    <w:rsid w:val="006B5344"/>
    <w:rsid w:val="006B7487"/>
    <w:rsid w:val="006B7ADF"/>
    <w:rsid w:val="006B7B2C"/>
    <w:rsid w:val="006C211F"/>
    <w:rsid w:val="006C572A"/>
    <w:rsid w:val="006C57F5"/>
    <w:rsid w:val="006D4FCD"/>
    <w:rsid w:val="006E4245"/>
    <w:rsid w:val="006F522E"/>
    <w:rsid w:val="006F5AEC"/>
    <w:rsid w:val="006F72D6"/>
    <w:rsid w:val="006F78A9"/>
    <w:rsid w:val="00701B26"/>
    <w:rsid w:val="00702D31"/>
    <w:rsid w:val="00707268"/>
    <w:rsid w:val="007074FF"/>
    <w:rsid w:val="00707B95"/>
    <w:rsid w:val="007101C3"/>
    <w:rsid w:val="00712FC5"/>
    <w:rsid w:val="007148C7"/>
    <w:rsid w:val="00715889"/>
    <w:rsid w:val="00731CA5"/>
    <w:rsid w:val="00740233"/>
    <w:rsid w:val="00746133"/>
    <w:rsid w:val="00746EE8"/>
    <w:rsid w:val="00750BA1"/>
    <w:rsid w:val="00751A3C"/>
    <w:rsid w:val="00752B03"/>
    <w:rsid w:val="00755124"/>
    <w:rsid w:val="007568E8"/>
    <w:rsid w:val="007631C3"/>
    <w:rsid w:val="00763595"/>
    <w:rsid w:val="00766D61"/>
    <w:rsid w:val="00767388"/>
    <w:rsid w:val="00770384"/>
    <w:rsid w:val="00770E79"/>
    <w:rsid w:val="0077464E"/>
    <w:rsid w:val="00774CB7"/>
    <w:rsid w:val="00775550"/>
    <w:rsid w:val="0077682A"/>
    <w:rsid w:val="00777876"/>
    <w:rsid w:val="00782831"/>
    <w:rsid w:val="00783A00"/>
    <w:rsid w:val="00786122"/>
    <w:rsid w:val="0078689C"/>
    <w:rsid w:val="007928B9"/>
    <w:rsid w:val="00795653"/>
    <w:rsid w:val="007A1455"/>
    <w:rsid w:val="007B6F00"/>
    <w:rsid w:val="007B7D51"/>
    <w:rsid w:val="007C1915"/>
    <w:rsid w:val="007C2328"/>
    <w:rsid w:val="007C2EBC"/>
    <w:rsid w:val="007C4AE8"/>
    <w:rsid w:val="007D0784"/>
    <w:rsid w:val="007D09C9"/>
    <w:rsid w:val="007D562A"/>
    <w:rsid w:val="007E5C11"/>
    <w:rsid w:val="007E6BFA"/>
    <w:rsid w:val="007F0A5B"/>
    <w:rsid w:val="00801848"/>
    <w:rsid w:val="00801D84"/>
    <w:rsid w:val="0081747B"/>
    <w:rsid w:val="00821011"/>
    <w:rsid w:val="00822C22"/>
    <w:rsid w:val="00831CA3"/>
    <w:rsid w:val="0083352E"/>
    <w:rsid w:val="00836A7A"/>
    <w:rsid w:val="008505B5"/>
    <w:rsid w:val="008523B7"/>
    <w:rsid w:val="00857B8B"/>
    <w:rsid w:val="00877695"/>
    <w:rsid w:val="00880CB6"/>
    <w:rsid w:val="008814BC"/>
    <w:rsid w:val="0088304D"/>
    <w:rsid w:val="00886520"/>
    <w:rsid w:val="00891B02"/>
    <w:rsid w:val="00896F08"/>
    <w:rsid w:val="008977FA"/>
    <w:rsid w:val="008A1783"/>
    <w:rsid w:val="008A2F77"/>
    <w:rsid w:val="008A432A"/>
    <w:rsid w:val="008A4B65"/>
    <w:rsid w:val="008A6E1E"/>
    <w:rsid w:val="008B3B3E"/>
    <w:rsid w:val="008B5D75"/>
    <w:rsid w:val="008B7318"/>
    <w:rsid w:val="008C2384"/>
    <w:rsid w:val="008C6D02"/>
    <w:rsid w:val="008D173C"/>
    <w:rsid w:val="008D4CEC"/>
    <w:rsid w:val="008E0F0B"/>
    <w:rsid w:val="008E2692"/>
    <w:rsid w:val="008E395A"/>
    <w:rsid w:val="008F7087"/>
    <w:rsid w:val="008F7ED3"/>
    <w:rsid w:val="00902825"/>
    <w:rsid w:val="009045EC"/>
    <w:rsid w:val="009107F4"/>
    <w:rsid w:val="00911DD9"/>
    <w:rsid w:val="00916028"/>
    <w:rsid w:val="00916463"/>
    <w:rsid w:val="0091663F"/>
    <w:rsid w:val="00922020"/>
    <w:rsid w:val="00925442"/>
    <w:rsid w:val="00925534"/>
    <w:rsid w:val="0092654C"/>
    <w:rsid w:val="00933754"/>
    <w:rsid w:val="00941D3C"/>
    <w:rsid w:val="009425F1"/>
    <w:rsid w:val="00946677"/>
    <w:rsid w:val="00946848"/>
    <w:rsid w:val="00953999"/>
    <w:rsid w:val="0095677D"/>
    <w:rsid w:val="00957C28"/>
    <w:rsid w:val="009670AE"/>
    <w:rsid w:val="00967FF3"/>
    <w:rsid w:val="009776CE"/>
    <w:rsid w:val="00983C73"/>
    <w:rsid w:val="00984096"/>
    <w:rsid w:val="009869F9"/>
    <w:rsid w:val="0099001D"/>
    <w:rsid w:val="009A3280"/>
    <w:rsid w:val="009A4B31"/>
    <w:rsid w:val="009A5252"/>
    <w:rsid w:val="009B1421"/>
    <w:rsid w:val="009B17A1"/>
    <w:rsid w:val="009B3019"/>
    <w:rsid w:val="009B54BF"/>
    <w:rsid w:val="009B6D1E"/>
    <w:rsid w:val="009C6882"/>
    <w:rsid w:val="009C730A"/>
    <w:rsid w:val="009D0500"/>
    <w:rsid w:val="009D0ABA"/>
    <w:rsid w:val="009D584F"/>
    <w:rsid w:val="009D7C7E"/>
    <w:rsid w:val="009D7D9C"/>
    <w:rsid w:val="009E6A01"/>
    <w:rsid w:val="009F2C6F"/>
    <w:rsid w:val="009F3D8B"/>
    <w:rsid w:val="009F6EFD"/>
    <w:rsid w:val="00A04883"/>
    <w:rsid w:val="00A17EBD"/>
    <w:rsid w:val="00A20063"/>
    <w:rsid w:val="00A24B61"/>
    <w:rsid w:val="00A26C3A"/>
    <w:rsid w:val="00A335B9"/>
    <w:rsid w:val="00A36700"/>
    <w:rsid w:val="00A37022"/>
    <w:rsid w:val="00A4196E"/>
    <w:rsid w:val="00A430B0"/>
    <w:rsid w:val="00A43F99"/>
    <w:rsid w:val="00A4469E"/>
    <w:rsid w:val="00A507F9"/>
    <w:rsid w:val="00A51DDF"/>
    <w:rsid w:val="00A52413"/>
    <w:rsid w:val="00A5263B"/>
    <w:rsid w:val="00A52E02"/>
    <w:rsid w:val="00A54468"/>
    <w:rsid w:val="00A554D8"/>
    <w:rsid w:val="00A570FA"/>
    <w:rsid w:val="00A57DE8"/>
    <w:rsid w:val="00A630BA"/>
    <w:rsid w:val="00A6632D"/>
    <w:rsid w:val="00A74BAB"/>
    <w:rsid w:val="00A81E72"/>
    <w:rsid w:val="00A83F7C"/>
    <w:rsid w:val="00A8781F"/>
    <w:rsid w:val="00A9146B"/>
    <w:rsid w:val="00A96CB7"/>
    <w:rsid w:val="00AA28BA"/>
    <w:rsid w:val="00AB3C87"/>
    <w:rsid w:val="00AC5D98"/>
    <w:rsid w:val="00AC6311"/>
    <w:rsid w:val="00AD1FAD"/>
    <w:rsid w:val="00AD24A4"/>
    <w:rsid w:val="00AD5444"/>
    <w:rsid w:val="00AD78BD"/>
    <w:rsid w:val="00AE1CE9"/>
    <w:rsid w:val="00AE27B2"/>
    <w:rsid w:val="00AE73BB"/>
    <w:rsid w:val="00AF296F"/>
    <w:rsid w:val="00B06490"/>
    <w:rsid w:val="00B06E17"/>
    <w:rsid w:val="00B10006"/>
    <w:rsid w:val="00B13C7F"/>
    <w:rsid w:val="00B152B1"/>
    <w:rsid w:val="00B22406"/>
    <w:rsid w:val="00B23224"/>
    <w:rsid w:val="00B27309"/>
    <w:rsid w:val="00B32B17"/>
    <w:rsid w:val="00B435BA"/>
    <w:rsid w:val="00B45079"/>
    <w:rsid w:val="00B51EC9"/>
    <w:rsid w:val="00B61962"/>
    <w:rsid w:val="00B62455"/>
    <w:rsid w:val="00B6434B"/>
    <w:rsid w:val="00B65FE7"/>
    <w:rsid w:val="00B737CE"/>
    <w:rsid w:val="00B76881"/>
    <w:rsid w:val="00B847C3"/>
    <w:rsid w:val="00B85142"/>
    <w:rsid w:val="00B92CD8"/>
    <w:rsid w:val="00B9453E"/>
    <w:rsid w:val="00B96278"/>
    <w:rsid w:val="00BA0A8E"/>
    <w:rsid w:val="00BA2E03"/>
    <w:rsid w:val="00BA3D2C"/>
    <w:rsid w:val="00BA7FF7"/>
    <w:rsid w:val="00BB2A12"/>
    <w:rsid w:val="00BB2F75"/>
    <w:rsid w:val="00BB384D"/>
    <w:rsid w:val="00BB46E6"/>
    <w:rsid w:val="00BB4D87"/>
    <w:rsid w:val="00BC79A3"/>
    <w:rsid w:val="00BD74B3"/>
    <w:rsid w:val="00BD77DE"/>
    <w:rsid w:val="00BE1563"/>
    <w:rsid w:val="00BE48E6"/>
    <w:rsid w:val="00BE7F5C"/>
    <w:rsid w:val="00BF1A0A"/>
    <w:rsid w:val="00BF358E"/>
    <w:rsid w:val="00C1660B"/>
    <w:rsid w:val="00C32709"/>
    <w:rsid w:val="00C341C8"/>
    <w:rsid w:val="00C34BD4"/>
    <w:rsid w:val="00C36549"/>
    <w:rsid w:val="00C41652"/>
    <w:rsid w:val="00C42437"/>
    <w:rsid w:val="00C43D2C"/>
    <w:rsid w:val="00C44EEC"/>
    <w:rsid w:val="00C46615"/>
    <w:rsid w:val="00C53A6F"/>
    <w:rsid w:val="00C56FE1"/>
    <w:rsid w:val="00C614DC"/>
    <w:rsid w:val="00C61F89"/>
    <w:rsid w:val="00C635AD"/>
    <w:rsid w:val="00C7409A"/>
    <w:rsid w:val="00C77B15"/>
    <w:rsid w:val="00C8195A"/>
    <w:rsid w:val="00C8465B"/>
    <w:rsid w:val="00C8706B"/>
    <w:rsid w:val="00C90426"/>
    <w:rsid w:val="00C93649"/>
    <w:rsid w:val="00C955C4"/>
    <w:rsid w:val="00C95C1F"/>
    <w:rsid w:val="00CA0F94"/>
    <w:rsid w:val="00CA57D5"/>
    <w:rsid w:val="00CA7263"/>
    <w:rsid w:val="00CB2C57"/>
    <w:rsid w:val="00CB3A00"/>
    <w:rsid w:val="00CB5827"/>
    <w:rsid w:val="00CC0817"/>
    <w:rsid w:val="00CC1DD6"/>
    <w:rsid w:val="00CC3773"/>
    <w:rsid w:val="00CC687A"/>
    <w:rsid w:val="00CD29E9"/>
    <w:rsid w:val="00CE6679"/>
    <w:rsid w:val="00CF1503"/>
    <w:rsid w:val="00CF46D4"/>
    <w:rsid w:val="00CF671D"/>
    <w:rsid w:val="00D03859"/>
    <w:rsid w:val="00D0412F"/>
    <w:rsid w:val="00D04F00"/>
    <w:rsid w:val="00D1009E"/>
    <w:rsid w:val="00D134EE"/>
    <w:rsid w:val="00D13897"/>
    <w:rsid w:val="00D2060C"/>
    <w:rsid w:val="00D22487"/>
    <w:rsid w:val="00D22A29"/>
    <w:rsid w:val="00D2556C"/>
    <w:rsid w:val="00D444A0"/>
    <w:rsid w:val="00D532C3"/>
    <w:rsid w:val="00D5517F"/>
    <w:rsid w:val="00D62E44"/>
    <w:rsid w:val="00D666B1"/>
    <w:rsid w:val="00D67E06"/>
    <w:rsid w:val="00D67F6D"/>
    <w:rsid w:val="00D70A00"/>
    <w:rsid w:val="00D718E8"/>
    <w:rsid w:val="00D803D3"/>
    <w:rsid w:val="00D838A5"/>
    <w:rsid w:val="00D86BE5"/>
    <w:rsid w:val="00D87E5F"/>
    <w:rsid w:val="00D92EF4"/>
    <w:rsid w:val="00D94F48"/>
    <w:rsid w:val="00D96D9A"/>
    <w:rsid w:val="00DA2DDE"/>
    <w:rsid w:val="00DA7008"/>
    <w:rsid w:val="00DB1ED3"/>
    <w:rsid w:val="00DB59CB"/>
    <w:rsid w:val="00DC5F7A"/>
    <w:rsid w:val="00DC77D5"/>
    <w:rsid w:val="00DE2796"/>
    <w:rsid w:val="00DE3C1B"/>
    <w:rsid w:val="00DF29BB"/>
    <w:rsid w:val="00E00FD1"/>
    <w:rsid w:val="00E01374"/>
    <w:rsid w:val="00E0530E"/>
    <w:rsid w:val="00E05C86"/>
    <w:rsid w:val="00E102F3"/>
    <w:rsid w:val="00E11182"/>
    <w:rsid w:val="00E12BCD"/>
    <w:rsid w:val="00E15896"/>
    <w:rsid w:val="00E24672"/>
    <w:rsid w:val="00E34EDB"/>
    <w:rsid w:val="00E35F54"/>
    <w:rsid w:val="00E3779A"/>
    <w:rsid w:val="00E431D7"/>
    <w:rsid w:val="00E43B07"/>
    <w:rsid w:val="00E504A0"/>
    <w:rsid w:val="00E5050E"/>
    <w:rsid w:val="00E5354D"/>
    <w:rsid w:val="00E555C1"/>
    <w:rsid w:val="00E57625"/>
    <w:rsid w:val="00E748A8"/>
    <w:rsid w:val="00E82121"/>
    <w:rsid w:val="00E8433A"/>
    <w:rsid w:val="00E85083"/>
    <w:rsid w:val="00E86E9B"/>
    <w:rsid w:val="00E9106E"/>
    <w:rsid w:val="00E93707"/>
    <w:rsid w:val="00E94FA8"/>
    <w:rsid w:val="00EA66CD"/>
    <w:rsid w:val="00EA7FC2"/>
    <w:rsid w:val="00EB36B7"/>
    <w:rsid w:val="00EB36CD"/>
    <w:rsid w:val="00EC0AB8"/>
    <w:rsid w:val="00EC1070"/>
    <w:rsid w:val="00EC25AA"/>
    <w:rsid w:val="00ED3F0F"/>
    <w:rsid w:val="00EE365A"/>
    <w:rsid w:val="00EE3E4A"/>
    <w:rsid w:val="00EF11D0"/>
    <w:rsid w:val="00EF459B"/>
    <w:rsid w:val="00EF6EBF"/>
    <w:rsid w:val="00F02515"/>
    <w:rsid w:val="00F04998"/>
    <w:rsid w:val="00F07845"/>
    <w:rsid w:val="00F12065"/>
    <w:rsid w:val="00F14EFF"/>
    <w:rsid w:val="00F205F2"/>
    <w:rsid w:val="00F209C9"/>
    <w:rsid w:val="00F24DFC"/>
    <w:rsid w:val="00F25D98"/>
    <w:rsid w:val="00F260F2"/>
    <w:rsid w:val="00F3166D"/>
    <w:rsid w:val="00F35110"/>
    <w:rsid w:val="00F37673"/>
    <w:rsid w:val="00F717DA"/>
    <w:rsid w:val="00F7258B"/>
    <w:rsid w:val="00F72DFD"/>
    <w:rsid w:val="00F735F1"/>
    <w:rsid w:val="00F756D3"/>
    <w:rsid w:val="00F811FF"/>
    <w:rsid w:val="00F8158D"/>
    <w:rsid w:val="00F851AB"/>
    <w:rsid w:val="00F852E0"/>
    <w:rsid w:val="00F86EE7"/>
    <w:rsid w:val="00F90AF0"/>
    <w:rsid w:val="00F927C8"/>
    <w:rsid w:val="00F97D2B"/>
    <w:rsid w:val="00FA0482"/>
    <w:rsid w:val="00FA16A7"/>
    <w:rsid w:val="00FA3240"/>
    <w:rsid w:val="00FA3B40"/>
    <w:rsid w:val="00FA4C2E"/>
    <w:rsid w:val="00FA73B0"/>
    <w:rsid w:val="00FB00D9"/>
    <w:rsid w:val="00FB1E0B"/>
    <w:rsid w:val="00FC0A34"/>
    <w:rsid w:val="00FC0ACF"/>
    <w:rsid w:val="00FD0F40"/>
    <w:rsid w:val="00FE1EDF"/>
    <w:rsid w:val="00FE4F7C"/>
    <w:rsid w:val="00FE6F7D"/>
    <w:rsid w:val="00FF2D69"/>
    <w:rsid w:val="00FF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F240A"/>
  <w15:chartTrackingRefBased/>
  <w15:docId w15:val="{FB6A3E4F-4A3D-4E60-8CB1-05F223BD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21"/>
    <w:pPr>
      <w:bidi/>
    </w:pPr>
    <w:rPr>
      <w:sz w:val="24"/>
      <w:szCs w:val="24"/>
      <w:lang w:eastAsia="ar-SA"/>
    </w:rPr>
  </w:style>
  <w:style w:type="paragraph" w:styleId="Heading1">
    <w:name w:val="heading 1"/>
    <w:basedOn w:val="Normal"/>
    <w:next w:val="Normal"/>
    <w:qFormat/>
    <w:pPr>
      <w:keepNext/>
      <w:outlineLvl w:val="0"/>
    </w:pPr>
    <w:rPr>
      <w:b/>
      <w:bCs/>
      <w:lang w:eastAsia="en-US"/>
    </w:rPr>
  </w:style>
  <w:style w:type="paragraph" w:styleId="Heading2">
    <w:name w:val="heading 2"/>
    <w:basedOn w:val="Normal"/>
    <w:next w:val="Normal"/>
    <w:qFormat/>
    <w:pPr>
      <w:keepNext/>
      <w:outlineLvl w:val="1"/>
    </w:pPr>
    <w:rPr>
      <w:b/>
      <w:bCs/>
      <w:lang w:val="en-GB"/>
    </w:rPr>
  </w:style>
  <w:style w:type="paragraph" w:styleId="Heading6">
    <w:name w:val="heading 6"/>
    <w:basedOn w:val="Normal"/>
    <w:next w:val="Normal"/>
    <w:qFormat/>
    <w:pPr>
      <w:keepNext/>
      <w:outlineLvl w:val="5"/>
    </w:pPr>
    <w:rPr>
      <w:b/>
      <w:bCs/>
      <w:sz w:val="28"/>
      <w:szCs w:val="28"/>
      <w:lang w:val="en-GB"/>
    </w:rPr>
  </w:style>
  <w:style w:type="paragraph" w:styleId="Heading8">
    <w:name w:val="heading 8"/>
    <w:basedOn w:val="Normal"/>
    <w:next w:val="Normal"/>
    <w:qFormat/>
    <w:pPr>
      <w:keepNext/>
      <w:jc w:val="both"/>
      <w:outlineLvl w:val="7"/>
    </w:pPr>
    <w:rPr>
      <w:b/>
      <w:bCs/>
      <w:lang w:val="en-GB"/>
    </w:rPr>
  </w:style>
  <w:style w:type="paragraph" w:styleId="Heading9">
    <w:name w:val="heading 9"/>
    <w:basedOn w:val="Normal"/>
    <w:next w:val="Normal"/>
    <w:qFormat/>
    <w:pPr>
      <w:keepNext/>
      <w:jc w:val="center"/>
      <w:outlineLvl w:val="8"/>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ar-SA" w:bidi="ar-SA"/>
    </w:rPr>
  </w:style>
  <w:style w:type="character" w:customStyle="1" w:styleId="Heading2Char">
    <w:name w:val="Heading 2 Char"/>
    <w:rPr>
      <w:rFonts w:ascii="Cambria" w:hAnsi="Cambria" w:cs="Times New Roman"/>
      <w:b/>
      <w:bCs/>
      <w:i/>
      <w:iCs/>
      <w:sz w:val="28"/>
      <w:szCs w:val="28"/>
      <w:lang w:val="x-none" w:eastAsia="ar-SA" w:bidi="ar-SA"/>
    </w:rPr>
  </w:style>
  <w:style w:type="character" w:customStyle="1" w:styleId="Heading6Char">
    <w:name w:val="Heading 6 Char"/>
    <w:rPr>
      <w:rFonts w:ascii="Times New Roman" w:hAnsi="Times New Roman" w:cs="Times New Roman"/>
      <w:b/>
      <w:bCs/>
      <w:lang w:val="x-none" w:eastAsia="ar-SA" w:bidi="ar-SA"/>
    </w:rPr>
  </w:style>
  <w:style w:type="character" w:customStyle="1" w:styleId="Heading8Char">
    <w:name w:val="Heading 8 Char"/>
    <w:rPr>
      <w:rFonts w:ascii="Times New Roman" w:hAnsi="Times New Roman" w:cs="Times New Roman"/>
      <w:i/>
      <w:iCs/>
      <w:sz w:val="24"/>
      <w:szCs w:val="24"/>
      <w:lang w:val="x-none" w:eastAsia="ar-SA" w:bidi="ar-SA"/>
    </w:rPr>
  </w:style>
  <w:style w:type="character" w:customStyle="1" w:styleId="Heading9Char">
    <w:name w:val="Heading 9 Char"/>
    <w:rPr>
      <w:rFonts w:ascii="Cambria" w:hAnsi="Cambria" w:cs="Times New Roman"/>
      <w:lang w:val="x-none" w:eastAsia="ar-SA" w:bidi="ar-SA"/>
    </w:rPr>
  </w:style>
  <w:style w:type="paragraph" w:styleId="Header">
    <w:name w:val="header"/>
    <w:basedOn w:val="Normal"/>
    <w:uiPriority w:val="99"/>
    <w:pPr>
      <w:tabs>
        <w:tab w:val="center" w:pos="4320"/>
        <w:tab w:val="right" w:pos="8640"/>
      </w:tabs>
    </w:pPr>
    <w:rPr>
      <w:sz w:val="20"/>
      <w:szCs w:val="20"/>
      <w:lang w:eastAsia="en-US"/>
    </w:rPr>
  </w:style>
  <w:style w:type="character" w:customStyle="1" w:styleId="HeaderChar">
    <w:name w:val="Header Char"/>
    <w:uiPriority w:val="99"/>
    <w:rPr>
      <w:rFonts w:ascii="Times New Roman" w:hAnsi="Times New Roman" w:cs="Times New Roman"/>
      <w:sz w:val="24"/>
      <w:szCs w:val="24"/>
      <w:lang w:val="x-none" w:eastAsia="ar-SA" w:bidi="ar-SA"/>
    </w:rPr>
  </w:style>
  <w:style w:type="paragraph" w:styleId="FootnoteText">
    <w:name w:val="footnote text"/>
    <w:basedOn w:val="Normal"/>
    <w:semiHidden/>
    <w:rPr>
      <w:sz w:val="20"/>
      <w:szCs w:val="20"/>
      <w:lang w:eastAsia="en-US"/>
    </w:rPr>
  </w:style>
  <w:style w:type="character" w:customStyle="1" w:styleId="FootnoteTextChar">
    <w:name w:val="Footnote Text Char"/>
    <w:rPr>
      <w:rFonts w:ascii="Times New Roman" w:hAnsi="Times New Roman" w:cs="Times New Roman"/>
      <w:sz w:val="20"/>
      <w:szCs w:val="20"/>
      <w:lang w:val="x-none" w:eastAsia="ar-SA" w:bidi="ar-SA"/>
    </w:rPr>
  </w:style>
  <w:style w:type="character" w:styleId="FootnoteReference">
    <w:name w:val="footnote reference"/>
    <w:semiHidden/>
    <w:rPr>
      <w:rFonts w:ascii="Times New Roman" w:hAnsi="Times New Roman" w:cs="Times New Roman"/>
      <w:vertAlign w:val="superscript"/>
    </w:rPr>
  </w:style>
  <w:style w:type="paragraph" w:styleId="BodyText">
    <w:name w:val="Body Text"/>
    <w:basedOn w:val="Normal"/>
    <w:semiHidden/>
    <w:rPr>
      <w:sz w:val="20"/>
      <w:szCs w:val="20"/>
      <w:lang w:eastAsia="en-US"/>
    </w:rPr>
  </w:style>
  <w:style w:type="character" w:customStyle="1" w:styleId="BodyTextChar">
    <w:name w:val="Body Text Char"/>
    <w:rPr>
      <w:rFonts w:ascii="Times New Roman" w:hAnsi="Times New Roman" w:cs="Times New Roman"/>
      <w:sz w:val="24"/>
      <w:szCs w:val="24"/>
      <w:lang w:val="x-none" w:eastAsia="ar-SA" w:bidi="ar-SA"/>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rFonts w:ascii="Times New Roman" w:hAnsi="Times New Roman" w:cs="Times New Roman"/>
      <w:sz w:val="24"/>
      <w:szCs w:val="24"/>
      <w:lang w:val="x-none" w:eastAsia="ar-SA" w:bidi="ar-SA"/>
    </w:rPr>
  </w:style>
  <w:style w:type="character" w:styleId="PageNumber">
    <w:name w:val="page number"/>
    <w:semiHidden/>
    <w:rPr>
      <w:rFonts w:ascii="Times New Roman" w:hAnsi="Times New Roman" w:cs="Times New Roman"/>
    </w:rPr>
  </w:style>
  <w:style w:type="paragraph" w:styleId="BodyTextIndent">
    <w:name w:val="Body Text Indent"/>
    <w:basedOn w:val="Normal"/>
    <w:semiHidden/>
    <w:pPr>
      <w:spacing w:after="120" w:line="480" w:lineRule="auto"/>
    </w:pPr>
  </w:style>
  <w:style w:type="character" w:customStyle="1" w:styleId="BodyText2Char">
    <w:name w:val="Body Text 2 Char"/>
    <w:rPr>
      <w:rFonts w:ascii="Times New Roman" w:hAnsi="Times New Roman" w:cs="Times New Roman"/>
      <w:sz w:val="24"/>
      <w:szCs w:val="24"/>
      <w:lang w:val="x-none" w:eastAsia="ar-SA"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ar-SA" w:bidi="ar-SA"/>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x-none" w:eastAsia="ar-SA" w:bidi="ar-SA"/>
    </w:rPr>
  </w:style>
  <w:style w:type="character" w:styleId="Hyperlink">
    <w:name w:val="Hyperlink"/>
    <w:semiHidden/>
    <w:rPr>
      <w:rFonts w:ascii="Times New Roman" w:hAnsi="Times New Roman" w:cs="Times New Roman"/>
      <w:color w:val="0000FF"/>
      <w:u w:val="single"/>
    </w:rPr>
  </w:style>
  <w:style w:type="paragraph" w:styleId="BodyText2">
    <w:name w:val="Body Text 2"/>
    <w:basedOn w:val="Normal"/>
    <w:semiHidden/>
    <w:pPr>
      <w:bidi w:val="0"/>
      <w:jc w:val="both"/>
    </w:pPr>
  </w:style>
  <w:style w:type="table" w:styleId="TableGrid">
    <w:name w:val="Table Grid"/>
    <w:basedOn w:val="TableNormal"/>
    <w:uiPriority w:val="59"/>
    <w:rsid w:val="003F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2020"/>
    <w:rPr>
      <w:sz w:val="16"/>
      <w:szCs w:val="16"/>
    </w:rPr>
  </w:style>
  <w:style w:type="paragraph" w:styleId="CommentText">
    <w:name w:val="annotation text"/>
    <w:basedOn w:val="Normal"/>
    <w:link w:val="CommentTextChar"/>
    <w:uiPriority w:val="99"/>
    <w:semiHidden/>
    <w:unhideWhenUsed/>
    <w:rsid w:val="00922020"/>
    <w:rPr>
      <w:sz w:val="20"/>
      <w:szCs w:val="20"/>
      <w:lang w:val="x-none"/>
    </w:rPr>
  </w:style>
  <w:style w:type="character" w:customStyle="1" w:styleId="CommentTextChar">
    <w:name w:val="Comment Text Char"/>
    <w:link w:val="CommentText"/>
    <w:uiPriority w:val="99"/>
    <w:semiHidden/>
    <w:rsid w:val="00922020"/>
    <w:rPr>
      <w:lang w:eastAsia="ar-SA"/>
    </w:rPr>
  </w:style>
  <w:style w:type="paragraph" w:styleId="CommentSubject">
    <w:name w:val="annotation subject"/>
    <w:basedOn w:val="CommentText"/>
    <w:next w:val="CommentText"/>
    <w:link w:val="CommentSubjectChar"/>
    <w:uiPriority w:val="99"/>
    <w:semiHidden/>
    <w:unhideWhenUsed/>
    <w:rsid w:val="00922020"/>
    <w:rPr>
      <w:b/>
      <w:bCs/>
    </w:rPr>
  </w:style>
  <w:style w:type="character" w:customStyle="1" w:styleId="CommentSubjectChar">
    <w:name w:val="Comment Subject Char"/>
    <w:link w:val="CommentSubject"/>
    <w:uiPriority w:val="99"/>
    <w:semiHidden/>
    <w:rsid w:val="00922020"/>
    <w:rPr>
      <w:b/>
      <w:bCs/>
      <w:lang w:eastAsia="ar-SA"/>
    </w:rPr>
  </w:style>
  <w:style w:type="character" w:customStyle="1" w:styleId="tlid-translation">
    <w:name w:val="tlid-translation"/>
    <w:rsid w:val="00495065"/>
  </w:style>
  <w:style w:type="table" w:styleId="LightList-Accent3">
    <w:name w:val="Light List Accent 3"/>
    <w:basedOn w:val="TableNormal"/>
    <w:uiPriority w:val="61"/>
    <w:rsid w:val="00916463"/>
    <w:pPr>
      <w:bidi/>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EA66CD"/>
    <w:pPr>
      <w:autoSpaceDE w:val="0"/>
      <w:autoSpaceDN w:val="0"/>
      <w:adjustRightInd w:val="0"/>
    </w:pPr>
    <w:rPr>
      <w:rFonts w:ascii="Franklin Gothic Medium" w:hAnsi="Franklin Gothic Medium" w:cs="Franklin Gothic Medium"/>
      <w:color w:val="000000"/>
      <w:sz w:val="24"/>
      <w:szCs w:val="24"/>
    </w:rPr>
  </w:style>
  <w:style w:type="paragraph" w:styleId="EndnoteText">
    <w:name w:val="endnote text"/>
    <w:basedOn w:val="Normal"/>
    <w:link w:val="EndnoteTextChar"/>
    <w:uiPriority w:val="99"/>
    <w:semiHidden/>
    <w:unhideWhenUsed/>
    <w:rsid w:val="0049049C"/>
    <w:rPr>
      <w:sz w:val="20"/>
      <w:szCs w:val="20"/>
    </w:rPr>
  </w:style>
  <w:style w:type="character" w:customStyle="1" w:styleId="EndnoteTextChar">
    <w:name w:val="Endnote Text Char"/>
    <w:link w:val="EndnoteText"/>
    <w:uiPriority w:val="99"/>
    <w:semiHidden/>
    <w:rsid w:val="0049049C"/>
    <w:rPr>
      <w:lang w:eastAsia="ar-SA"/>
    </w:rPr>
  </w:style>
  <w:style w:type="character" w:styleId="EndnoteReference">
    <w:name w:val="endnote reference"/>
    <w:uiPriority w:val="99"/>
    <w:semiHidden/>
    <w:unhideWhenUsed/>
    <w:rsid w:val="0049049C"/>
    <w:rPr>
      <w:vertAlign w:val="superscript"/>
    </w:rPr>
  </w:style>
  <w:style w:type="paragraph" w:styleId="Revision">
    <w:name w:val="Revision"/>
    <w:hidden/>
    <w:uiPriority w:val="99"/>
    <w:semiHidden/>
    <w:rsid w:val="0076738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2589">
      <w:bodyDiv w:val="1"/>
      <w:marLeft w:val="0"/>
      <w:marRight w:val="0"/>
      <w:marTop w:val="0"/>
      <w:marBottom w:val="0"/>
      <w:divBdr>
        <w:top w:val="none" w:sz="0" w:space="0" w:color="auto"/>
        <w:left w:val="none" w:sz="0" w:space="0" w:color="auto"/>
        <w:bottom w:val="none" w:sz="0" w:space="0" w:color="auto"/>
        <w:right w:val="none" w:sz="0" w:space="0" w:color="auto"/>
      </w:divBdr>
    </w:div>
    <w:div w:id="199977915">
      <w:bodyDiv w:val="1"/>
      <w:marLeft w:val="0"/>
      <w:marRight w:val="0"/>
      <w:marTop w:val="0"/>
      <w:marBottom w:val="0"/>
      <w:divBdr>
        <w:top w:val="none" w:sz="0" w:space="0" w:color="auto"/>
        <w:left w:val="none" w:sz="0" w:space="0" w:color="auto"/>
        <w:bottom w:val="none" w:sz="0" w:space="0" w:color="auto"/>
        <w:right w:val="none" w:sz="0" w:space="0" w:color="auto"/>
      </w:divBdr>
    </w:div>
    <w:div w:id="493568773">
      <w:bodyDiv w:val="1"/>
      <w:marLeft w:val="0"/>
      <w:marRight w:val="0"/>
      <w:marTop w:val="0"/>
      <w:marBottom w:val="0"/>
      <w:divBdr>
        <w:top w:val="none" w:sz="0" w:space="0" w:color="auto"/>
        <w:left w:val="none" w:sz="0" w:space="0" w:color="auto"/>
        <w:bottom w:val="none" w:sz="0" w:space="0" w:color="auto"/>
        <w:right w:val="none" w:sz="0" w:space="0" w:color="auto"/>
      </w:divBdr>
    </w:div>
    <w:div w:id="522280931">
      <w:bodyDiv w:val="1"/>
      <w:marLeft w:val="0"/>
      <w:marRight w:val="0"/>
      <w:marTop w:val="0"/>
      <w:marBottom w:val="0"/>
      <w:divBdr>
        <w:top w:val="none" w:sz="0" w:space="0" w:color="auto"/>
        <w:left w:val="none" w:sz="0" w:space="0" w:color="auto"/>
        <w:bottom w:val="none" w:sz="0" w:space="0" w:color="auto"/>
        <w:right w:val="none" w:sz="0" w:space="0" w:color="auto"/>
      </w:divBdr>
    </w:div>
    <w:div w:id="563833417">
      <w:bodyDiv w:val="1"/>
      <w:marLeft w:val="0"/>
      <w:marRight w:val="0"/>
      <w:marTop w:val="0"/>
      <w:marBottom w:val="0"/>
      <w:divBdr>
        <w:top w:val="none" w:sz="0" w:space="0" w:color="auto"/>
        <w:left w:val="none" w:sz="0" w:space="0" w:color="auto"/>
        <w:bottom w:val="none" w:sz="0" w:space="0" w:color="auto"/>
        <w:right w:val="none" w:sz="0" w:space="0" w:color="auto"/>
      </w:divBdr>
    </w:div>
    <w:div w:id="614750976">
      <w:bodyDiv w:val="1"/>
      <w:marLeft w:val="0"/>
      <w:marRight w:val="0"/>
      <w:marTop w:val="0"/>
      <w:marBottom w:val="0"/>
      <w:divBdr>
        <w:top w:val="none" w:sz="0" w:space="0" w:color="auto"/>
        <w:left w:val="none" w:sz="0" w:space="0" w:color="auto"/>
        <w:bottom w:val="none" w:sz="0" w:space="0" w:color="auto"/>
        <w:right w:val="none" w:sz="0" w:space="0" w:color="auto"/>
      </w:divBdr>
    </w:div>
    <w:div w:id="749078940">
      <w:bodyDiv w:val="1"/>
      <w:marLeft w:val="0"/>
      <w:marRight w:val="0"/>
      <w:marTop w:val="0"/>
      <w:marBottom w:val="0"/>
      <w:divBdr>
        <w:top w:val="none" w:sz="0" w:space="0" w:color="auto"/>
        <w:left w:val="none" w:sz="0" w:space="0" w:color="auto"/>
        <w:bottom w:val="none" w:sz="0" w:space="0" w:color="auto"/>
        <w:right w:val="none" w:sz="0" w:space="0" w:color="auto"/>
      </w:divBdr>
    </w:div>
    <w:div w:id="812528094">
      <w:bodyDiv w:val="1"/>
      <w:marLeft w:val="0"/>
      <w:marRight w:val="0"/>
      <w:marTop w:val="0"/>
      <w:marBottom w:val="0"/>
      <w:divBdr>
        <w:top w:val="none" w:sz="0" w:space="0" w:color="auto"/>
        <w:left w:val="none" w:sz="0" w:space="0" w:color="auto"/>
        <w:bottom w:val="none" w:sz="0" w:space="0" w:color="auto"/>
        <w:right w:val="none" w:sz="0" w:space="0" w:color="auto"/>
      </w:divBdr>
    </w:div>
    <w:div w:id="1171719081">
      <w:bodyDiv w:val="1"/>
      <w:marLeft w:val="0"/>
      <w:marRight w:val="0"/>
      <w:marTop w:val="0"/>
      <w:marBottom w:val="0"/>
      <w:divBdr>
        <w:top w:val="none" w:sz="0" w:space="0" w:color="auto"/>
        <w:left w:val="none" w:sz="0" w:space="0" w:color="auto"/>
        <w:bottom w:val="none" w:sz="0" w:space="0" w:color="auto"/>
        <w:right w:val="none" w:sz="0" w:space="0" w:color="auto"/>
      </w:divBdr>
    </w:div>
    <w:div w:id="1464884314">
      <w:bodyDiv w:val="1"/>
      <w:marLeft w:val="0"/>
      <w:marRight w:val="0"/>
      <w:marTop w:val="0"/>
      <w:marBottom w:val="0"/>
      <w:divBdr>
        <w:top w:val="none" w:sz="0" w:space="0" w:color="auto"/>
        <w:left w:val="none" w:sz="0" w:space="0" w:color="auto"/>
        <w:bottom w:val="none" w:sz="0" w:space="0" w:color="auto"/>
        <w:right w:val="none" w:sz="0" w:space="0" w:color="auto"/>
      </w:divBdr>
    </w:div>
    <w:div w:id="1619799248">
      <w:bodyDiv w:val="1"/>
      <w:marLeft w:val="0"/>
      <w:marRight w:val="0"/>
      <w:marTop w:val="0"/>
      <w:marBottom w:val="0"/>
      <w:divBdr>
        <w:top w:val="none" w:sz="0" w:space="0" w:color="auto"/>
        <w:left w:val="none" w:sz="0" w:space="0" w:color="auto"/>
        <w:bottom w:val="none" w:sz="0" w:space="0" w:color="auto"/>
        <w:right w:val="none" w:sz="0" w:space="0" w:color="auto"/>
      </w:divBdr>
    </w:div>
    <w:div w:id="1787846970">
      <w:bodyDiv w:val="1"/>
      <w:marLeft w:val="0"/>
      <w:marRight w:val="0"/>
      <w:marTop w:val="0"/>
      <w:marBottom w:val="0"/>
      <w:divBdr>
        <w:top w:val="none" w:sz="0" w:space="0" w:color="auto"/>
        <w:left w:val="none" w:sz="0" w:space="0" w:color="auto"/>
        <w:bottom w:val="none" w:sz="0" w:space="0" w:color="auto"/>
        <w:right w:val="none" w:sz="0" w:space="0" w:color="auto"/>
      </w:divBdr>
    </w:div>
    <w:div w:id="1874271223">
      <w:bodyDiv w:val="1"/>
      <w:marLeft w:val="0"/>
      <w:marRight w:val="0"/>
      <w:marTop w:val="0"/>
      <w:marBottom w:val="0"/>
      <w:divBdr>
        <w:top w:val="none" w:sz="0" w:space="0" w:color="auto"/>
        <w:left w:val="none" w:sz="0" w:space="0" w:color="auto"/>
        <w:bottom w:val="none" w:sz="0" w:space="0" w:color="auto"/>
        <w:right w:val="none" w:sz="0" w:space="0" w:color="auto"/>
      </w:divBdr>
    </w:div>
    <w:div w:id="21454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jpg@01DA2373.66FABAD0" TargetMode="External"/><Relationship Id="rId4" Type="http://schemas.openxmlformats.org/officeDocument/2006/relationships/settings" Target="setting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1" Type="http://schemas.openxmlformats.org/officeDocument/2006/relationships/hyperlink" Target="https://www.unrwa.org/2014-gaza-conflic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09225282548808"/>
          <c:y val="6.9073279247915231E-2"/>
          <c:w val="0.82042087021809484"/>
          <c:h val="0.47219455711035546"/>
        </c:manualLayout>
      </c:layout>
      <c:barChart>
        <c:barDir val="col"/>
        <c:grouping val="clustered"/>
        <c:varyColors val="0"/>
        <c:ser>
          <c:idx val="0"/>
          <c:order val="0"/>
          <c:tx>
            <c:strRef>
              <c:f>Sheet1!$B$1</c:f>
              <c:strCache>
                <c:ptCount val="1"/>
                <c:pt idx="0">
                  <c:v>أعداد الأطفال 2-17</c:v>
                </c:pt>
              </c:strCache>
            </c:strRef>
          </c:tx>
          <c:spPr>
            <a:solidFill>
              <a:srgbClr val="5B9BD5"/>
            </a:solidFill>
            <a:ln w="25351">
              <a:noFill/>
            </a:ln>
          </c:spPr>
          <c:invertIfNegative val="0"/>
          <c:dLbls>
            <c:spPr>
              <a:noFill/>
              <a:ln w="25351">
                <a:noFill/>
              </a:ln>
            </c:spPr>
            <c:txPr>
              <a:bodyPr wrap="square" lIns="38100" tIns="19050" rIns="38100" bIns="19050" anchor="ctr">
                <a:spAutoFit/>
              </a:bodyPr>
              <a:lstStyle/>
              <a:p>
                <a:pPr>
                  <a:defRPr sz="898" b="0" i="0" u="none" strike="noStrike" baseline="0">
                    <a:solidFill>
                      <a:srgbClr val="000000"/>
                    </a:solidFill>
                    <a:latin typeface="Arial" panose="020B0604020202020204" pitchFamily="34" charset="0"/>
                    <a:ea typeface="Calibri"/>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Seeing</c:v>
                </c:pt>
                <c:pt idx="1">
                  <c:v>Hearing</c:v>
                </c:pt>
                <c:pt idx="2">
                  <c:v>Walking</c:v>
                </c:pt>
                <c:pt idx="3">
                  <c:v>Communication</c:v>
                </c:pt>
                <c:pt idx="4">
                  <c:v>Learning difficulties</c:v>
                </c:pt>
                <c:pt idx="5">
                  <c:v>Controlling behavior</c:v>
                </c:pt>
              </c:strCache>
            </c:strRef>
          </c:cat>
          <c:val>
            <c:numRef>
              <c:f>Sheet1!$B$2:$B$7</c:f>
              <c:numCache>
                <c:formatCode>#,##0</c:formatCode>
                <c:ptCount val="6"/>
                <c:pt idx="0">
                  <c:v>7998.3245553035167</c:v>
                </c:pt>
                <c:pt idx="1">
                  <c:v>5726.0732611831991</c:v>
                </c:pt>
                <c:pt idx="2">
                  <c:v>9089.0051764812688</c:v>
                </c:pt>
                <c:pt idx="3">
                  <c:v>7907.4345035387023</c:v>
                </c:pt>
                <c:pt idx="4">
                  <c:v>21177.382061201355</c:v>
                </c:pt>
                <c:pt idx="5">
                  <c:v>13633.507764721902</c:v>
                </c:pt>
              </c:numCache>
            </c:numRef>
          </c:val>
          <c:extLst>
            <c:ext xmlns:c16="http://schemas.microsoft.com/office/drawing/2014/chart" uri="{C3380CC4-5D6E-409C-BE32-E72D297353CC}">
              <c16:uniqueId val="{00000000-F129-4068-828D-BD189FA6AFF4}"/>
            </c:ext>
          </c:extLst>
        </c:ser>
        <c:dLbls>
          <c:showLegendKey val="0"/>
          <c:showVal val="0"/>
          <c:showCatName val="0"/>
          <c:showSerName val="0"/>
          <c:showPercent val="0"/>
          <c:showBubbleSize val="0"/>
        </c:dLbls>
        <c:gapWidth val="219"/>
        <c:overlap val="-27"/>
        <c:axId val="190320640"/>
        <c:axId val="1"/>
      </c:barChart>
      <c:catAx>
        <c:axId val="190320640"/>
        <c:scaling>
          <c:orientation val="minMax"/>
        </c:scaling>
        <c:delete val="0"/>
        <c:axPos val="b"/>
        <c:title>
          <c:tx>
            <c:rich>
              <a:bodyPr/>
              <a:lstStyle/>
              <a:p>
                <a:pPr>
                  <a:defRPr sz="898" b="0" i="0" u="none" strike="noStrike" baseline="0">
                    <a:solidFill>
                      <a:srgbClr val="000000"/>
                    </a:solidFill>
                    <a:latin typeface="Arial" panose="020B0604020202020204" pitchFamily="34" charset="0"/>
                    <a:ea typeface="Calibri"/>
                    <a:cs typeface="Arial" panose="020B0604020202020204" pitchFamily="34" charset="0"/>
                  </a:defRPr>
                </a:pPr>
                <a:r>
                  <a:rPr lang="en-US" sz="898">
                    <a:latin typeface="Arial" panose="020B0604020202020204" pitchFamily="34" charset="0"/>
                    <a:cs typeface="Arial" panose="020B0604020202020204" pitchFamily="34" charset="0"/>
                  </a:rPr>
                  <a:t>Type of Disapility</a:t>
                </a:r>
              </a:p>
            </c:rich>
          </c:tx>
          <c:layout>
            <c:manualLayout>
              <c:xMode val="edge"/>
              <c:yMode val="edge"/>
              <c:x val="0.39607124837550645"/>
              <c:y val="0.90804868417996432"/>
            </c:manualLayout>
          </c:layout>
          <c:overlay val="0"/>
          <c:spPr>
            <a:noFill/>
            <a:ln w="25351">
              <a:noFill/>
            </a:ln>
          </c:spPr>
        </c:title>
        <c:numFmt formatCode="General" sourceLinked="1"/>
        <c:majorTickMark val="none"/>
        <c:minorTickMark val="none"/>
        <c:tickLblPos val="nextTo"/>
        <c:spPr>
          <a:noFill/>
          <a:ln w="9507" cap="flat" cmpd="sng" algn="ctr">
            <a:solidFill>
              <a:schemeClr val="tx1">
                <a:lumMod val="15000"/>
                <a:lumOff val="85000"/>
              </a:schemeClr>
            </a:solidFill>
            <a:round/>
          </a:ln>
          <a:effectLst/>
        </c:spPr>
        <c:txPr>
          <a:bodyPr rot="-5400000" vert="horz"/>
          <a:lstStyle/>
          <a:p>
            <a:pPr>
              <a:defRPr sz="898" b="0" i="0" u="none" strike="noStrike" baseline="0">
                <a:solidFill>
                  <a:srgbClr val="000000"/>
                </a:solidFill>
                <a:latin typeface="Arial" panose="020B0604020202020204" pitchFamily="34" charset="0"/>
                <a:ea typeface="Calibri"/>
                <a:cs typeface="Arial" panose="020B0604020202020204" pitchFamily="34" charset="0"/>
              </a:defRPr>
            </a:pPr>
            <a:endParaRPr lang="ar-SA"/>
          </a:p>
        </c:txPr>
        <c:crossAx val="1"/>
        <c:crosses val="autoZero"/>
        <c:auto val="1"/>
        <c:lblAlgn val="ctr"/>
        <c:lblOffset val="100"/>
        <c:noMultiLvlLbl val="0"/>
      </c:catAx>
      <c:valAx>
        <c:axId val="1"/>
        <c:scaling>
          <c:orientation val="minMax"/>
        </c:scaling>
        <c:delete val="0"/>
        <c:axPos val="l"/>
        <c:title>
          <c:tx>
            <c:rich>
              <a:bodyPr/>
              <a:lstStyle/>
              <a:p>
                <a:pPr>
                  <a:defRPr sz="898" b="0" i="0" u="none" strike="noStrike" baseline="0">
                    <a:solidFill>
                      <a:srgbClr val="000000"/>
                    </a:solidFill>
                    <a:latin typeface="Arial" panose="020B0604020202020204" pitchFamily="34" charset="0"/>
                    <a:ea typeface="Calibri"/>
                    <a:cs typeface="Arial" panose="020B0604020202020204" pitchFamily="34" charset="0"/>
                  </a:defRPr>
                </a:pPr>
                <a:r>
                  <a:rPr lang="en-US" sz="898" b="0" i="0" u="none" strike="noStrike" baseline="0">
                    <a:solidFill>
                      <a:srgbClr val="000000"/>
                    </a:solidFill>
                    <a:latin typeface="Arial" panose="020B0604020202020204" pitchFamily="34" charset="0"/>
                    <a:ea typeface="Calibri"/>
                    <a:cs typeface="Arial" panose="020B0604020202020204" pitchFamily="34" charset="0"/>
                  </a:rPr>
                  <a:t>Children Number  </a:t>
                </a:r>
                <a:endParaRPr lang="en-US" sz="900" b="0" i="0" u="none" strike="noStrike" baseline="0">
                  <a:solidFill>
                    <a:srgbClr val="000000"/>
                  </a:solidFill>
                  <a:latin typeface="Arial" panose="020B0604020202020204" pitchFamily="34" charset="0"/>
                  <a:cs typeface="Arial" panose="020B0604020202020204" pitchFamily="34" charset="0"/>
                </a:endParaRPr>
              </a:p>
            </c:rich>
          </c:tx>
          <c:layout>
            <c:manualLayout>
              <c:xMode val="edge"/>
              <c:yMode val="edge"/>
              <c:x val="8.4601075351018026E-5"/>
              <c:y val="0.12744013193041134"/>
            </c:manualLayout>
          </c:layout>
          <c:overlay val="0"/>
          <c:spPr>
            <a:noFill/>
            <a:ln w="25351">
              <a:noFill/>
            </a:ln>
          </c:spPr>
        </c:title>
        <c:numFmt formatCode="#,##0" sourceLinked="1"/>
        <c:majorTickMark val="none"/>
        <c:minorTickMark val="none"/>
        <c:tickLblPos val="nextTo"/>
        <c:spPr>
          <a:noFill/>
          <a:ln>
            <a:solidFill>
              <a:schemeClr val="bg2">
                <a:lumMod val="90000"/>
              </a:schemeClr>
            </a:solidFill>
          </a:ln>
          <a:effectLst/>
        </c:spPr>
        <c:txPr>
          <a:bodyPr rot="0" vert="horz"/>
          <a:lstStyle/>
          <a:p>
            <a:pPr>
              <a:defRPr sz="898" b="0" i="0" u="none" strike="noStrike" baseline="0">
                <a:solidFill>
                  <a:srgbClr val="000000"/>
                </a:solidFill>
                <a:latin typeface="Arial" panose="020B0604020202020204" pitchFamily="34" charset="0"/>
                <a:ea typeface="Calibri"/>
                <a:cs typeface="Arial" panose="020B0604020202020204" pitchFamily="34" charset="0"/>
              </a:defRPr>
            </a:pPr>
            <a:endParaRPr lang="ar-SA"/>
          </a:p>
        </c:txPr>
        <c:crossAx val="190320640"/>
        <c:crossesAt val="1"/>
        <c:crossBetween val="between"/>
      </c:valAx>
      <c:spPr>
        <a:noFill/>
        <a:ln w="25351">
          <a:noFill/>
        </a:ln>
      </c:spPr>
    </c:plotArea>
    <c:plotVisOnly val="1"/>
    <c:dispBlanksAs val="gap"/>
    <c:showDLblsOverMax val="0"/>
  </c:chart>
  <c:spPr>
    <a:solidFill>
      <a:schemeClr val="bg1"/>
    </a:solidFill>
    <a:ln>
      <a:noFill/>
    </a:ln>
    <a:effectLst/>
  </c:spPr>
  <c:txPr>
    <a:bodyPr/>
    <a:lstStyle/>
    <a:p>
      <a:pPr>
        <a:defRPr sz="998" b="0" i="0" u="none" strike="noStrike" baseline="0">
          <a:solidFill>
            <a:srgbClr val="000000"/>
          </a:solidFill>
          <a:latin typeface="Calibri"/>
          <a:ea typeface="Calibri"/>
          <a:cs typeface="Calibri"/>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B057-458A-4102-B105-0CE7220C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6348</CharactersWithSpaces>
  <SharedDoc>false</SharedDoc>
  <HLinks>
    <vt:vector size="12" baseType="variant">
      <vt:variant>
        <vt:i4>131074</vt:i4>
      </vt:variant>
      <vt:variant>
        <vt:i4>0</vt:i4>
      </vt:variant>
      <vt:variant>
        <vt:i4>0</vt:i4>
      </vt:variant>
      <vt:variant>
        <vt:i4>5</vt:i4>
      </vt:variant>
      <vt:variant>
        <vt:lpwstr>https://www.unrwa.org/2014-gaza-conflict</vt:lpwstr>
      </vt:variant>
      <vt:variant>
        <vt:lpwstr/>
      </vt:variant>
      <vt:variant>
        <vt:i4>2883650</vt:i4>
      </vt:variant>
      <vt:variant>
        <vt:i4>8509</vt:i4>
      </vt:variant>
      <vt:variant>
        <vt:i4>1032</vt:i4>
      </vt:variant>
      <vt:variant>
        <vt:i4>1</vt:i4>
      </vt:variant>
      <vt:variant>
        <vt:lpwstr>cid:image001.jpg@01DA2373.66FABAD0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Hadeel Badran</cp:lastModifiedBy>
  <cp:revision>4</cp:revision>
  <cp:lastPrinted>2023-12-03T10:11:00Z</cp:lastPrinted>
  <dcterms:created xsi:type="dcterms:W3CDTF">2023-12-03T10:18:00Z</dcterms:created>
  <dcterms:modified xsi:type="dcterms:W3CDTF">2023-12-03T10:25:00Z</dcterms:modified>
</cp:coreProperties>
</file>