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7F" w:rsidRDefault="00EB337F" w:rsidP="00EB337F">
      <w:pPr>
        <w:pStyle w:val="Heading1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Palestinian Central Bureau </w:t>
      </w:r>
      <w:r>
        <w:rPr>
          <w:rFonts w:cs="Simplified Arabic"/>
          <w:sz w:val="32"/>
          <w:szCs w:val="32"/>
        </w:rPr>
        <w:t>of Statistics (PCBS)</w:t>
      </w:r>
    </w:p>
    <w:p w:rsidR="00EB337F" w:rsidRPr="00EB337F" w:rsidRDefault="00EB337F" w:rsidP="00EB337F">
      <w:pPr>
        <w:bidi w:val="0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9E172A" w:rsidRPr="00EB337F" w:rsidRDefault="004F3EB7" w:rsidP="00EB337F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B337F">
        <w:rPr>
          <w:rFonts w:asciiTheme="majorBidi" w:hAnsiTheme="majorBidi" w:cstheme="majorBidi"/>
          <w:b/>
          <w:bCs/>
          <w:sz w:val="28"/>
          <w:szCs w:val="28"/>
        </w:rPr>
        <w:t>The increase in the Consumer Price Index has accumulated over the past two years to reach 5%, by 3.74% in 2022 and by 1.24% in 2021</w:t>
      </w:r>
    </w:p>
    <w:p w:rsidR="004F3EB7" w:rsidRPr="00EB337F" w:rsidRDefault="004F3EB7" w:rsidP="00EB337F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4B2600" w:rsidRPr="00EB337F" w:rsidRDefault="00EC7CFA" w:rsidP="009E172A">
      <w:pPr>
        <w:bidi w:val="0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  <w:r w:rsidRPr="00EB337F">
        <w:rPr>
          <w:rFonts w:asciiTheme="majorBidi" w:hAnsiTheme="majorBidi" w:cstheme="majorBidi"/>
          <w:b/>
          <w:bCs/>
          <w:color w:val="000000"/>
          <w:sz w:val="26"/>
          <w:szCs w:val="26"/>
        </w:rPr>
        <w:t>Sharp i</w:t>
      </w:r>
      <w:r w:rsidR="0032303E" w:rsidRPr="00EB337F">
        <w:rPr>
          <w:rFonts w:asciiTheme="majorBidi" w:hAnsiTheme="majorBidi" w:cstheme="majorBidi"/>
          <w:b/>
          <w:bCs/>
          <w:color w:val="000000"/>
          <w:sz w:val="26"/>
          <w:szCs w:val="26"/>
        </w:rPr>
        <w:t>ncrease</w:t>
      </w:r>
      <w:r w:rsidR="001F4A1C" w:rsidRPr="00EB337F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in the </w:t>
      </w:r>
      <w:r w:rsidR="00945DA2" w:rsidRPr="00EB337F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Consumer Price Index (CPI) </w:t>
      </w:r>
      <w:r w:rsidR="00594A59" w:rsidRPr="00EB337F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in Palestine </w:t>
      </w:r>
      <w:r w:rsidR="00945DA2" w:rsidRPr="00EB337F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during </w:t>
      </w:r>
      <w:r w:rsidRPr="00EB337F">
        <w:rPr>
          <w:rFonts w:asciiTheme="majorBidi" w:hAnsiTheme="majorBidi" w:cstheme="majorBidi"/>
          <w:b/>
          <w:bCs/>
          <w:color w:val="000000"/>
          <w:sz w:val="26"/>
          <w:szCs w:val="26"/>
        </w:rPr>
        <w:t>2022</w:t>
      </w:r>
      <w:r w:rsidR="00066981" w:rsidRPr="00EB337F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by </w:t>
      </w:r>
      <w:r w:rsidRPr="00EB337F">
        <w:rPr>
          <w:rFonts w:asciiTheme="majorBidi" w:hAnsiTheme="majorBidi" w:cstheme="majorBidi"/>
          <w:b/>
          <w:bCs/>
          <w:color w:val="000000"/>
          <w:sz w:val="26"/>
          <w:szCs w:val="26"/>
        </w:rPr>
        <w:t>3.74</w:t>
      </w:r>
      <w:r w:rsidR="00066981" w:rsidRPr="00EB337F">
        <w:rPr>
          <w:rFonts w:asciiTheme="majorBidi" w:hAnsiTheme="majorBidi" w:cstheme="majorBidi"/>
          <w:b/>
          <w:bCs/>
          <w:color w:val="000000"/>
          <w:sz w:val="26"/>
          <w:szCs w:val="26"/>
        </w:rPr>
        <w:t>%</w:t>
      </w:r>
      <w:r w:rsidR="0049279D" w:rsidRPr="00EB337F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compared with 2021</w:t>
      </w:r>
    </w:p>
    <w:p w:rsidR="004B2600" w:rsidRPr="00EB337F" w:rsidRDefault="004B2600" w:rsidP="004B2600">
      <w:pPr>
        <w:bidi w:val="0"/>
        <w:jc w:val="both"/>
        <w:rPr>
          <w:rFonts w:asciiTheme="majorBidi" w:hAnsiTheme="majorBidi" w:cstheme="majorBidi"/>
          <w:b/>
          <w:bCs/>
          <w:color w:val="000000"/>
          <w:sz w:val="16"/>
          <w:szCs w:val="16"/>
        </w:rPr>
      </w:pPr>
    </w:p>
    <w:p w:rsidR="00517FF6" w:rsidRPr="00EB337F" w:rsidRDefault="00517FF6" w:rsidP="00EC7CFA">
      <w:pPr>
        <w:bidi w:val="0"/>
        <w:spacing w:line="360" w:lineRule="auto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EB337F">
        <w:rPr>
          <w:rFonts w:asciiTheme="majorBidi" w:hAnsiTheme="majorBidi" w:cstheme="majorBidi"/>
          <w:sz w:val="26"/>
          <w:szCs w:val="26"/>
        </w:rPr>
        <w:t xml:space="preserve">The overall CPI for Palestine during </w:t>
      </w:r>
      <w:r w:rsidR="00EC7CFA" w:rsidRPr="00EB337F">
        <w:rPr>
          <w:rFonts w:asciiTheme="majorBidi" w:hAnsiTheme="majorBidi" w:cstheme="majorBidi"/>
          <w:sz w:val="26"/>
          <w:szCs w:val="26"/>
        </w:rPr>
        <w:t>2022</w:t>
      </w:r>
      <w:r w:rsidRPr="00EB337F">
        <w:rPr>
          <w:rFonts w:asciiTheme="majorBidi" w:hAnsiTheme="majorBidi" w:cstheme="majorBidi"/>
          <w:b/>
          <w:bCs/>
          <w:sz w:val="26"/>
          <w:szCs w:val="26"/>
        </w:rPr>
        <w:t xml:space="preserve"> Recorded a</w:t>
      </w:r>
      <w:r w:rsidR="00EC7CFA" w:rsidRPr="00EB337F">
        <w:rPr>
          <w:rFonts w:asciiTheme="majorBidi" w:hAnsiTheme="majorBidi" w:cstheme="majorBidi"/>
          <w:b/>
          <w:bCs/>
          <w:sz w:val="26"/>
          <w:szCs w:val="26"/>
        </w:rPr>
        <w:t xml:space="preserve"> sharp</w:t>
      </w:r>
      <w:r w:rsidRPr="00EB337F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32303E" w:rsidRPr="00EB337F">
        <w:rPr>
          <w:rFonts w:asciiTheme="majorBidi" w:hAnsiTheme="majorBidi" w:cstheme="majorBidi"/>
          <w:b/>
          <w:bCs/>
          <w:sz w:val="26"/>
          <w:szCs w:val="26"/>
        </w:rPr>
        <w:t>In</w:t>
      </w:r>
      <w:r w:rsidRPr="00EB337F">
        <w:rPr>
          <w:rFonts w:asciiTheme="majorBidi" w:hAnsiTheme="majorBidi" w:cstheme="majorBidi"/>
          <w:b/>
          <w:bCs/>
          <w:sz w:val="26"/>
          <w:szCs w:val="26"/>
        </w:rPr>
        <w:t xml:space="preserve">crease by </w:t>
      </w:r>
      <w:r w:rsidR="00EC7CFA" w:rsidRPr="00EB337F">
        <w:rPr>
          <w:rFonts w:asciiTheme="majorBidi" w:hAnsiTheme="majorBidi" w:cstheme="majorBidi"/>
          <w:b/>
          <w:bCs/>
          <w:sz w:val="26"/>
          <w:szCs w:val="26"/>
        </w:rPr>
        <w:t>3.74</w:t>
      </w:r>
      <w:r w:rsidRPr="00EB337F">
        <w:rPr>
          <w:rFonts w:asciiTheme="majorBidi" w:hAnsiTheme="majorBidi" w:cstheme="majorBidi"/>
          <w:b/>
          <w:bCs/>
          <w:sz w:val="26"/>
          <w:szCs w:val="26"/>
        </w:rPr>
        <w:t xml:space="preserve">% </w:t>
      </w:r>
      <w:r w:rsidRPr="00EB337F">
        <w:rPr>
          <w:rFonts w:asciiTheme="majorBidi" w:hAnsiTheme="majorBidi" w:cstheme="majorBidi"/>
          <w:sz w:val="26"/>
          <w:szCs w:val="26"/>
        </w:rPr>
        <w:t xml:space="preserve">compared with </w:t>
      </w:r>
      <w:r w:rsidR="00EC7CFA" w:rsidRPr="00EB337F">
        <w:rPr>
          <w:rFonts w:asciiTheme="majorBidi" w:hAnsiTheme="majorBidi" w:cstheme="majorBidi"/>
          <w:sz w:val="26"/>
          <w:szCs w:val="26"/>
        </w:rPr>
        <w:t>2021</w:t>
      </w:r>
      <w:r w:rsidR="000131BF" w:rsidRPr="00EB337F">
        <w:rPr>
          <w:rFonts w:asciiTheme="majorBidi" w:hAnsiTheme="majorBidi" w:cstheme="majorBidi"/>
          <w:sz w:val="26"/>
          <w:szCs w:val="26"/>
        </w:rPr>
        <w:t xml:space="preserve"> (</w:t>
      </w:r>
      <w:r w:rsidR="00EC7CFA" w:rsidRPr="00EB337F">
        <w:rPr>
          <w:rFonts w:asciiTheme="majorBidi" w:hAnsiTheme="majorBidi" w:cstheme="majorBidi"/>
          <w:sz w:val="26"/>
          <w:szCs w:val="26"/>
        </w:rPr>
        <w:t>4.70</w:t>
      </w:r>
      <w:r w:rsidRPr="00EB337F">
        <w:rPr>
          <w:rFonts w:asciiTheme="majorBidi" w:hAnsiTheme="majorBidi" w:cstheme="majorBidi"/>
          <w:sz w:val="26"/>
          <w:szCs w:val="26"/>
        </w:rPr>
        <w:t>% in</w:t>
      </w:r>
      <w:r w:rsidR="0032303E" w:rsidRPr="00EB337F">
        <w:rPr>
          <w:rFonts w:asciiTheme="majorBidi" w:hAnsiTheme="majorBidi" w:cstheme="majorBidi"/>
          <w:sz w:val="26"/>
          <w:szCs w:val="26"/>
        </w:rPr>
        <w:t xml:space="preserve"> Jerusalem J1*</w:t>
      </w:r>
      <w:r w:rsidRPr="00EB337F">
        <w:rPr>
          <w:rFonts w:asciiTheme="majorBidi" w:hAnsiTheme="majorBidi" w:cstheme="majorBidi"/>
          <w:sz w:val="26"/>
          <w:szCs w:val="26"/>
        </w:rPr>
        <w:t xml:space="preserve">, </w:t>
      </w:r>
      <w:r w:rsidR="00EC7CFA" w:rsidRPr="00EB337F">
        <w:rPr>
          <w:rFonts w:asciiTheme="majorBidi" w:hAnsiTheme="majorBidi" w:cstheme="majorBidi"/>
          <w:sz w:val="26"/>
          <w:szCs w:val="26"/>
        </w:rPr>
        <w:t>3.74</w:t>
      </w:r>
      <w:r w:rsidRPr="00EB337F">
        <w:rPr>
          <w:rFonts w:asciiTheme="majorBidi" w:hAnsiTheme="majorBidi" w:cstheme="majorBidi"/>
          <w:sz w:val="26"/>
          <w:szCs w:val="26"/>
        </w:rPr>
        <w:t xml:space="preserve">% in </w:t>
      </w:r>
      <w:r w:rsidR="0032303E" w:rsidRPr="00EB337F">
        <w:rPr>
          <w:rFonts w:asciiTheme="majorBidi" w:hAnsiTheme="majorBidi" w:cstheme="majorBidi"/>
          <w:sz w:val="26"/>
          <w:szCs w:val="26"/>
        </w:rPr>
        <w:t>the West Bank**</w:t>
      </w:r>
      <w:r w:rsidRPr="00EB337F">
        <w:rPr>
          <w:rFonts w:asciiTheme="majorBidi" w:hAnsiTheme="majorBidi" w:cstheme="majorBidi"/>
          <w:sz w:val="26"/>
          <w:szCs w:val="26"/>
        </w:rPr>
        <w:t xml:space="preserve">, </w:t>
      </w:r>
      <w:r w:rsidR="0032303E" w:rsidRPr="00EB337F">
        <w:rPr>
          <w:rFonts w:asciiTheme="majorBidi" w:hAnsiTheme="majorBidi" w:cstheme="majorBidi"/>
          <w:sz w:val="26"/>
          <w:szCs w:val="26"/>
        </w:rPr>
        <w:t>and</w:t>
      </w:r>
      <w:r w:rsidR="0049279D" w:rsidRPr="00EB337F">
        <w:rPr>
          <w:rFonts w:asciiTheme="majorBidi" w:hAnsiTheme="majorBidi" w:cstheme="majorBidi"/>
          <w:sz w:val="26"/>
          <w:szCs w:val="26"/>
        </w:rPr>
        <w:t xml:space="preserve"> by</w:t>
      </w:r>
      <w:r w:rsidR="0032303E" w:rsidRPr="00EB337F">
        <w:rPr>
          <w:rFonts w:asciiTheme="majorBidi" w:hAnsiTheme="majorBidi" w:cstheme="majorBidi"/>
          <w:sz w:val="26"/>
          <w:szCs w:val="26"/>
        </w:rPr>
        <w:t xml:space="preserve"> </w:t>
      </w:r>
      <w:r w:rsidR="00EC7CFA" w:rsidRPr="00EB337F">
        <w:rPr>
          <w:rFonts w:asciiTheme="majorBidi" w:hAnsiTheme="majorBidi" w:cstheme="majorBidi"/>
          <w:sz w:val="26"/>
          <w:szCs w:val="26"/>
        </w:rPr>
        <w:t>3.16</w:t>
      </w:r>
      <w:r w:rsidRPr="00EB337F">
        <w:rPr>
          <w:rFonts w:asciiTheme="majorBidi" w:hAnsiTheme="majorBidi" w:cstheme="majorBidi"/>
          <w:sz w:val="26"/>
          <w:szCs w:val="26"/>
        </w:rPr>
        <w:t>% in</w:t>
      </w:r>
      <w:r w:rsidR="0032303E" w:rsidRPr="00EB337F">
        <w:rPr>
          <w:rFonts w:asciiTheme="majorBidi" w:hAnsiTheme="majorBidi" w:cstheme="majorBidi"/>
          <w:sz w:val="26"/>
          <w:szCs w:val="26"/>
        </w:rPr>
        <w:t xml:space="preserve"> Gaza Strip</w:t>
      </w:r>
      <w:r w:rsidRPr="00EB337F">
        <w:rPr>
          <w:rFonts w:asciiTheme="majorBidi" w:hAnsiTheme="majorBidi" w:cstheme="majorBidi"/>
          <w:sz w:val="26"/>
          <w:szCs w:val="26"/>
        </w:rPr>
        <w:t xml:space="preserve">). </w:t>
      </w:r>
      <w:r w:rsidRPr="00EB337F">
        <w:rPr>
          <w:rFonts w:asciiTheme="majorBidi" w:hAnsiTheme="majorBidi" w:cstheme="majorBidi"/>
          <w:b/>
          <w:bCs/>
          <w:sz w:val="26"/>
          <w:szCs w:val="26"/>
        </w:rPr>
        <w:t xml:space="preserve">  </w:t>
      </w:r>
    </w:p>
    <w:p w:rsidR="00517FF6" w:rsidRPr="00EB337F" w:rsidRDefault="00517FF6" w:rsidP="00517FF6">
      <w:pPr>
        <w:bidi w:val="0"/>
        <w:spacing w:line="360" w:lineRule="auto"/>
        <w:jc w:val="lowKashida"/>
        <w:rPr>
          <w:rFonts w:asciiTheme="majorBidi" w:hAnsiTheme="majorBidi" w:cstheme="majorBidi"/>
          <w:sz w:val="16"/>
          <w:szCs w:val="16"/>
        </w:rPr>
      </w:pPr>
    </w:p>
    <w:p w:rsidR="00CE0D6C" w:rsidRPr="00EB337F" w:rsidRDefault="00517FF6" w:rsidP="00EC7CFA">
      <w:pPr>
        <w:bidi w:val="0"/>
        <w:spacing w:line="360" w:lineRule="auto"/>
        <w:jc w:val="lowKashida"/>
        <w:rPr>
          <w:rFonts w:asciiTheme="majorBidi" w:hAnsiTheme="majorBidi" w:cstheme="majorBidi"/>
          <w:color w:val="000000"/>
          <w:sz w:val="26"/>
          <w:szCs w:val="26"/>
        </w:rPr>
      </w:pPr>
      <w:r w:rsidRPr="00EB337F">
        <w:rPr>
          <w:rFonts w:asciiTheme="majorBidi" w:hAnsiTheme="majorBidi" w:cstheme="majorBidi"/>
          <w:sz w:val="26"/>
          <w:szCs w:val="26"/>
        </w:rPr>
        <w:t xml:space="preserve">The changes in Palestinian CPI for </w:t>
      </w:r>
      <w:r w:rsidR="00EC7CFA" w:rsidRPr="00EB337F">
        <w:rPr>
          <w:rFonts w:asciiTheme="majorBidi" w:hAnsiTheme="majorBidi" w:cstheme="majorBidi"/>
          <w:sz w:val="26"/>
          <w:szCs w:val="26"/>
        </w:rPr>
        <w:t>2022</w:t>
      </w:r>
      <w:r w:rsidRPr="00EB337F">
        <w:rPr>
          <w:rFonts w:asciiTheme="majorBidi" w:hAnsiTheme="majorBidi" w:cstheme="majorBidi"/>
          <w:sz w:val="26"/>
          <w:szCs w:val="26"/>
        </w:rPr>
        <w:t xml:space="preserve"> were</w:t>
      </w:r>
      <w:r w:rsidR="008E790B" w:rsidRPr="00EB337F">
        <w:rPr>
          <w:rFonts w:asciiTheme="majorBidi" w:hAnsiTheme="majorBidi" w:cstheme="majorBidi"/>
          <w:sz w:val="26"/>
          <w:szCs w:val="26"/>
        </w:rPr>
        <w:t xml:space="preserve"> </w:t>
      </w:r>
      <w:r w:rsidRPr="00EB337F">
        <w:rPr>
          <w:rFonts w:asciiTheme="majorBidi" w:hAnsiTheme="majorBidi" w:cstheme="majorBidi"/>
          <w:sz w:val="26"/>
          <w:szCs w:val="26"/>
        </w:rPr>
        <w:t xml:space="preserve">traced back to changes in prices of the following expenditure </w:t>
      </w:r>
      <w:r w:rsidRPr="00EB337F">
        <w:rPr>
          <w:rFonts w:asciiTheme="majorBidi" w:hAnsiTheme="majorBidi" w:cstheme="majorBidi"/>
          <w:color w:val="000000"/>
          <w:sz w:val="26"/>
          <w:szCs w:val="26"/>
        </w:rPr>
        <w:t xml:space="preserve">major </w:t>
      </w:r>
      <w:r w:rsidRPr="00EB337F">
        <w:rPr>
          <w:rFonts w:asciiTheme="majorBidi" w:hAnsiTheme="majorBidi" w:cstheme="majorBidi"/>
          <w:sz w:val="26"/>
          <w:szCs w:val="26"/>
        </w:rPr>
        <w:t>and sub groups compared with previous year:</w:t>
      </w:r>
    </w:p>
    <w:p w:rsidR="00CE0D6C" w:rsidRPr="00EB337F" w:rsidRDefault="00CE0D6C" w:rsidP="00CE0D6C">
      <w:pPr>
        <w:jc w:val="both"/>
        <w:rPr>
          <w:rFonts w:asciiTheme="majorBidi" w:hAnsiTheme="majorBidi" w:cstheme="majorBidi"/>
          <w:sz w:val="10"/>
          <w:szCs w:val="10"/>
        </w:rPr>
      </w:pPr>
    </w:p>
    <w:tbl>
      <w:tblPr>
        <w:tblW w:w="6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5"/>
        <w:gridCol w:w="2392"/>
      </w:tblGrid>
      <w:tr w:rsidR="00CE0D6C" w:rsidRPr="00EB337F" w:rsidTr="00EB337F">
        <w:trPr>
          <w:trHeight w:hRule="exact" w:val="386"/>
          <w:tblHeader/>
          <w:jc w:val="center"/>
        </w:trPr>
        <w:tc>
          <w:tcPr>
            <w:tcW w:w="4095" w:type="dxa"/>
            <w:vAlign w:val="center"/>
          </w:tcPr>
          <w:p w:rsidR="00CE0D6C" w:rsidRPr="00EB337F" w:rsidRDefault="00CE0D6C" w:rsidP="00EB337F">
            <w:pPr>
              <w:pStyle w:val="BodyText3"/>
              <w:bidi w:val="0"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337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Major and Sub Groups</w:t>
            </w:r>
          </w:p>
        </w:tc>
        <w:tc>
          <w:tcPr>
            <w:tcW w:w="2392" w:type="dxa"/>
            <w:vAlign w:val="center"/>
          </w:tcPr>
          <w:p w:rsidR="00CE0D6C" w:rsidRPr="00EB337F" w:rsidRDefault="00CE0D6C" w:rsidP="00EB337F">
            <w:pPr>
              <w:pStyle w:val="BodyText3"/>
              <w:bidi w:val="0"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337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%Change</w:t>
            </w:r>
          </w:p>
        </w:tc>
      </w:tr>
      <w:tr w:rsidR="00EC7CFA" w:rsidRPr="00EB337F" w:rsidTr="00EB337F">
        <w:trPr>
          <w:trHeight w:hRule="exact" w:val="407"/>
          <w:jc w:val="center"/>
        </w:trPr>
        <w:tc>
          <w:tcPr>
            <w:tcW w:w="4095" w:type="dxa"/>
            <w:vAlign w:val="center"/>
          </w:tcPr>
          <w:p w:rsidR="00EC7CFA" w:rsidRPr="00EB337F" w:rsidRDefault="00EC7CFA" w:rsidP="00EB337F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EB337F">
              <w:rPr>
                <w:rFonts w:asciiTheme="majorBidi" w:hAnsiTheme="majorBidi" w:cstheme="majorBidi"/>
                <w:b/>
                <w:bCs/>
              </w:rPr>
              <w:t>Food and Non-Alcoholic Beverages</w:t>
            </w:r>
          </w:p>
        </w:tc>
        <w:tc>
          <w:tcPr>
            <w:tcW w:w="2392" w:type="dxa"/>
            <w:vAlign w:val="center"/>
          </w:tcPr>
          <w:p w:rsidR="00EC7CFA" w:rsidRPr="00EB337F" w:rsidRDefault="00EC7CFA" w:rsidP="00EB337F">
            <w:pPr>
              <w:tabs>
                <w:tab w:val="right" w:pos="338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B337F">
              <w:rPr>
                <w:rFonts w:asciiTheme="majorBidi" w:hAnsiTheme="majorBidi" w:cstheme="majorBidi"/>
                <w:b/>
                <w:bCs/>
              </w:rPr>
              <w:t>+ 6.74%</w:t>
            </w:r>
          </w:p>
        </w:tc>
      </w:tr>
      <w:tr w:rsidR="00EC7CFA" w:rsidRPr="00EB337F" w:rsidTr="00EB337F">
        <w:trPr>
          <w:trHeight w:hRule="exact" w:val="484"/>
          <w:jc w:val="center"/>
        </w:trPr>
        <w:tc>
          <w:tcPr>
            <w:tcW w:w="4095" w:type="dxa"/>
            <w:vAlign w:val="center"/>
          </w:tcPr>
          <w:p w:rsidR="00EC7CFA" w:rsidRPr="00EB337F" w:rsidRDefault="00EC7CFA" w:rsidP="00EB337F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EB337F">
              <w:rPr>
                <w:rFonts w:asciiTheme="majorBidi" w:hAnsiTheme="majorBidi" w:cstheme="majorBidi"/>
              </w:rPr>
              <w:t xml:space="preserve">Corn </w:t>
            </w:r>
            <w:r w:rsidR="008F3CD0" w:rsidRPr="00EB337F">
              <w:rPr>
                <w:rFonts w:asciiTheme="majorBidi" w:hAnsiTheme="majorBidi" w:cstheme="majorBidi"/>
              </w:rPr>
              <w:t>O</w:t>
            </w:r>
            <w:r w:rsidRPr="00EB337F">
              <w:rPr>
                <w:rFonts w:asciiTheme="majorBidi" w:hAnsiTheme="majorBidi" w:cstheme="majorBidi"/>
              </w:rPr>
              <w:t>il</w:t>
            </w:r>
          </w:p>
        </w:tc>
        <w:tc>
          <w:tcPr>
            <w:tcW w:w="2392" w:type="dxa"/>
            <w:vAlign w:val="center"/>
          </w:tcPr>
          <w:p w:rsidR="00EC7CFA" w:rsidRPr="00EB337F" w:rsidRDefault="00EC7CFA" w:rsidP="00EB337F">
            <w:pPr>
              <w:tabs>
                <w:tab w:val="right" w:pos="338"/>
              </w:tabs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B337F">
              <w:rPr>
                <w:rFonts w:asciiTheme="majorBidi" w:hAnsiTheme="majorBidi" w:cstheme="majorBidi"/>
              </w:rPr>
              <w:t>+ 20.81%</w:t>
            </w:r>
          </w:p>
        </w:tc>
      </w:tr>
      <w:tr w:rsidR="00EC7CFA" w:rsidRPr="00EB337F" w:rsidTr="00EB337F">
        <w:trPr>
          <w:trHeight w:hRule="exact" w:val="420"/>
          <w:jc w:val="center"/>
        </w:trPr>
        <w:tc>
          <w:tcPr>
            <w:tcW w:w="4095" w:type="dxa"/>
            <w:vAlign w:val="center"/>
          </w:tcPr>
          <w:p w:rsidR="00EC7CFA" w:rsidRPr="00EB337F" w:rsidRDefault="00EC7CFA" w:rsidP="00EB337F">
            <w:pPr>
              <w:spacing w:line="276" w:lineRule="auto"/>
              <w:jc w:val="right"/>
              <w:rPr>
                <w:rFonts w:asciiTheme="majorBidi" w:hAnsiTheme="majorBidi" w:cstheme="majorBidi"/>
              </w:rPr>
            </w:pPr>
            <w:r w:rsidRPr="00EB337F">
              <w:rPr>
                <w:rFonts w:asciiTheme="majorBidi" w:hAnsiTheme="majorBidi" w:cstheme="majorBidi"/>
              </w:rPr>
              <w:t>Fresh Vegetables</w:t>
            </w:r>
          </w:p>
        </w:tc>
        <w:tc>
          <w:tcPr>
            <w:tcW w:w="2392" w:type="dxa"/>
            <w:vAlign w:val="center"/>
          </w:tcPr>
          <w:p w:rsidR="00EC7CFA" w:rsidRPr="00EB337F" w:rsidRDefault="00EC7CFA" w:rsidP="00EB337F">
            <w:pPr>
              <w:tabs>
                <w:tab w:val="right" w:pos="338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EB337F">
              <w:rPr>
                <w:rFonts w:asciiTheme="majorBidi" w:hAnsiTheme="majorBidi" w:cstheme="majorBidi"/>
              </w:rPr>
              <w:t>+ 19.55%</w:t>
            </w:r>
          </w:p>
        </w:tc>
      </w:tr>
      <w:tr w:rsidR="00EC7CFA" w:rsidRPr="00EB337F" w:rsidTr="00EB337F">
        <w:trPr>
          <w:trHeight w:hRule="exact" w:val="407"/>
          <w:jc w:val="center"/>
        </w:trPr>
        <w:tc>
          <w:tcPr>
            <w:tcW w:w="4095" w:type="dxa"/>
            <w:vAlign w:val="center"/>
          </w:tcPr>
          <w:p w:rsidR="00EC7CFA" w:rsidRPr="00EB337F" w:rsidRDefault="00EF40CD" w:rsidP="00EB337F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EB337F">
              <w:rPr>
                <w:rFonts w:asciiTheme="majorBidi" w:hAnsiTheme="majorBidi" w:cstheme="majorBidi"/>
              </w:rPr>
              <w:t xml:space="preserve">Other </w:t>
            </w:r>
            <w:r w:rsidR="008F3CD0" w:rsidRPr="00EB337F">
              <w:rPr>
                <w:rFonts w:asciiTheme="majorBidi" w:hAnsiTheme="majorBidi" w:cstheme="majorBidi"/>
              </w:rPr>
              <w:t>S</w:t>
            </w:r>
            <w:r w:rsidRPr="00EB337F">
              <w:rPr>
                <w:rFonts w:asciiTheme="majorBidi" w:hAnsiTheme="majorBidi" w:cstheme="majorBidi"/>
              </w:rPr>
              <w:t xml:space="preserve">ugar and </w:t>
            </w:r>
            <w:r w:rsidR="008F3CD0" w:rsidRPr="00EB337F">
              <w:rPr>
                <w:rFonts w:asciiTheme="majorBidi" w:hAnsiTheme="majorBidi" w:cstheme="majorBidi"/>
              </w:rPr>
              <w:t>S</w:t>
            </w:r>
            <w:r w:rsidRPr="00EB337F">
              <w:rPr>
                <w:rFonts w:asciiTheme="majorBidi" w:hAnsiTheme="majorBidi" w:cstheme="majorBidi"/>
              </w:rPr>
              <w:t xml:space="preserve">ugar </w:t>
            </w:r>
            <w:r w:rsidR="008F3CD0" w:rsidRPr="00EB337F">
              <w:rPr>
                <w:rFonts w:asciiTheme="majorBidi" w:hAnsiTheme="majorBidi" w:cstheme="majorBidi"/>
              </w:rPr>
              <w:t>S</w:t>
            </w:r>
            <w:r w:rsidRPr="00EB337F">
              <w:rPr>
                <w:rFonts w:asciiTheme="majorBidi" w:hAnsiTheme="majorBidi" w:cstheme="majorBidi"/>
              </w:rPr>
              <w:t>ubstitutes</w:t>
            </w:r>
          </w:p>
        </w:tc>
        <w:tc>
          <w:tcPr>
            <w:tcW w:w="2392" w:type="dxa"/>
            <w:vAlign w:val="center"/>
          </w:tcPr>
          <w:p w:rsidR="00EC7CFA" w:rsidRPr="00EB337F" w:rsidRDefault="00EF40CD" w:rsidP="00EB337F">
            <w:pPr>
              <w:tabs>
                <w:tab w:val="right" w:pos="338"/>
              </w:tabs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B337F">
              <w:rPr>
                <w:rFonts w:asciiTheme="majorBidi" w:hAnsiTheme="majorBidi" w:cstheme="majorBidi"/>
              </w:rPr>
              <w:t>+ 16.39%</w:t>
            </w:r>
          </w:p>
        </w:tc>
      </w:tr>
      <w:tr w:rsidR="00EF40CD" w:rsidRPr="00EB337F" w:rsidTr="00EB337F">
        <w:trPr>
          <w:trHeight w:hRule="exact" w:val="305"/>
          <w:jc w:val="center"/>
        </w:trPr>
        <w:tc>
          <w:tcPr>
            <w:tcW w:w="4095" w:type="dxa"/>
            <w:vAlign w:val="center"/>
          </w:tcPr>
          <w:p w:rsidR="00EF40CD" w:rsidRPr="00EB337F" w:rsidRDefault="00EF40CD" w:rsidP="00EB337F">
            <w:pPr>
              <w:spacing w:line="276" w:lineRule="auto"/>
              <w:jc w:val="right"/>
              <w:rPr>
                <w:rFonts w:asciiTheme="majorBidi" w:hAnsiTheme="majorBidi" w:cstheme="majorBidi"/>
                <w:rtl/>
              </w:rPr>
            </w:pPr>
            <w:r w:rsidRPr="00EB337F">
              <w:rPr>
                <w:rFonts w:asciiTheme="majorBidi" w:hAnsiTheme="majorBidi" w:cstheme="majorBidi"/>
              </w:rPr>
              <w:t>Eggs</w:t>
            </w:r>
          </w:p>
        </w:tc>
        <w:tc>
          <w:tcPr>
            <w:tcW w:w="2392" w:type="dxa"/>
            <w:vAlign w:val="center"/>
          </w:tcPr>
          <w:p w:rsidR="00EF40CD" w:rsidRPr="00EB337F" w:rsidRDefault="00EF40CD" w:rsidP="00EB337F">
            <w:pPr>
              <w:tabs>
                <w:tab w:val="right" w:pos="338"/>
              </w:tabs>
              <w:spacing w:line="276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EB337F">
              <w:rPr>
                <w:rFonts w:asciiTheme="majorBidi" w:hAnsiTheme="majorBidi" w:cstheme="majorBidi"/>
              </w:rPr>
              <w:t>+ 16.13%</w:t>
            </w:r>
          </w:p>
        </w:tc>
      </w:tr>
      <w:tr w:rsidR="00EF40CD" w:rsidRPr="00EB337F" w:rsidTr="00EB337F">
        <w:trPr>
          <w:trHeight w:hRule="exact" w:val="423"/>
          <w:jc w:val="center"/>
        </w:trPr>
        <w:tc>
          <w:tcPr>
            <w:tcW w:w="4095" w:type="dxa"/>
            <w:vAlign w:val="center"/>
          </w:tcPr>
          <w:p w:rsidR="00EF40CD" w:rsidRPr="00EB337F" w:rsidRDefault="00EF40CD" w:rsidP="00EB337F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EB337F">
              <w:rPr>
                <w:rFonts w:asciiTheme="majorBidi" w:hAnsiTheme="majorBidi" w:cstheme="majorBidi"/>
              </w:rPr>
              <w:t xml:space="preserve">Flour of </w:t>
            </w:r>
            <w:r w:rsidR="008F3CD0" w:rsidRPr="00EB337F">
              <w:rPr>
                <w:rFonts w:asciiTheme="majorBidi" w:hAnsiTheme="majorBidi" w:cstheme="majorBidi"/>
              </w:rPr>
              <w:t>C</w:t>
            </w:r>
            <w:r w:rsidRPr="00EB337F">
              <w:rPr>
                <w:rFonts w:asciiTheme="majorBidi" w:hAnsiTheme="majorBidi" w:cstheme="majorBidi"/>
              </w:rPr>
              <w:t>ereals</w:t>
            </w:r>
            <w:r w:rsidR="009E172A" w:rsidRPr="00EB337F">
              <w:rPr>
                <w:rFonts w:asciiTheme="majorBidi" w:hAnsiTheme="majorBidi" w:cstheme="majorBidi"/>
              </w:rPr>
              <w:t xml:space="preserve"> "White Flour"</w:t>
            </w:r>
          </w:p>
        </w:tc>
        <w:tc>
          <w:tcPr>
            <w:tcW w:w="2392" w:type="dxa"/>
            <w:vAlign w:val="center"/>
          </w:tcPr>
          <w:p w:rsidR="00EF40CD" w:rsidRPr="00EB337F" w:rsidRDefault="00EF40CD" w:rsidP="00EB337F">
            <w:pPr>
              <w:tabs>
                <w:tab w:val="right" w:pos="338"/>
              </w:tabs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B337F">
              <w:rPr>
                <w:rFonts w:asciiTheme="majorBidi" w:hAnsiTheme="majorBidi" w:cstheme="majorBidi"/>
              </w:rPr>
              <w:t xml:space="preserve">+ </w:t>
            </w:r>
            <w:r w:rsidR="008F3CD0" w:rsidRPr="00EB337F">
              <w:rPr>
                <w:rFonts w:asciiTheme="majorBidi" w:hAnsiTheme="majorBidi" w:cstheme="majorBidi"/>
              </w:rPr>
              <w:t>14.36</w:t>
            </w:r>
            <w:r w:rsidRPr="00EB337F">
              <w:rPr>
                <w:rFonts w:asciiTheme="majorBidi" w:hAnsiTheme="majorBidi" w:cstheme="majorBidi"/>
              </w:rPr>
              <w:t>%</w:t>
            </w:r>
          </w:p>
        </w:tc>
      </w:tr>
      <w:tr w:rsidR="008F3CD0" w:rsidRPr="00EB337F" w:rsidTr="00EB337F">
        <w:trPr>
          <w:trHeight w:hRule="exact" w:val="349"/>
          <w:jc w:val="center"/>
        </w:trPr>
        <w:tc>
          <w:tcPr>
            <w:tcW w:w="4095" w:type="dxa"/>
            <w:vAlign w:val="center"/>
          </w:tcPr>
          <w:p w:rsidR="008F3CD0" w:rsidRPr="00EB337F" w:rsidRDefault="008F3CD0" w:rsidP="00EB337F">
            <w:pPr>
              <w:spacing w:line="276" w:lineRule="auto"/>
              <w:jc w:val="right"/>
              <w:rPr>
                <w:rFonts w:asciiTheme="majorBidi" w:hAnsiTheme="majorBidi" w:cstheme="majorBidi"/>
              </w:rPr>
            </w:pPr>
            <w:r w:rsidRPr="00EB337F">
              <w:rPr>
                <w:rFonts w:asciiTheme="majorBidi" w:hAnsiTheme="majorBidi" w:cstheme="majorBidi"/>
              </w:rPr>
              <w:t>Potatoes and Other Tubers</w:t>
            </w:r>
          </w:p>
        </w:tc>
        <w:tc>
          <w:tcPr>
            <w:tcW w:w="2392" w:type="dxa"/>
            <w:vAlign w:val="center"/>
          </w:tcPr>
          <w:p w:rsidR="008F3CD0" w:rsidRPr="00EB337F" w:rsidRDefault="008F3CD0" w:rsidP="00EB337F">
            <w:pPr>
              <w:tabs>
                <w:tab w:val="right" w:pos="338"/>
              </w:tabs>
              <w:spacing w:line="276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EB337F">
              <w:rPr>
                <w:rFonts w:asciiTheme="majorBidi" w:hAnsiTheme="majorBidi" w:cstheme="majorBidi"/>
              </w:rPr>
              <w:t>+ 13.29%</w:t>
            </w:r>
          </w:p>
        </w:tc>
      </w:tr>
      <w:tr w:rsidR="008F3CD0" w:rsidRPr="00EB337F" w:rsidTr="00EB337F">
        <w:trPr>
          <w:trHeight w:hRule="exact" w:val="375"/>
          <w:jc w:val="center"/>
        </w:trPr>
        <w:tc>
          <w:tcPr>
            <w:tcW w:w="4095" w:type="dxa"/>
            <w:vAlign w:val="center"/>
          </w:tcPr>
          <w:p w:rsidR="008F3CD0" w:rsidRPr="00EB337F" w:rsidRDefault="008F3CD0" w:rsidP="00EB337F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EB337F">
              <w:rPr>
                <w:rFonts w:asciiTheme="majorBidi" w:hAnsiTheme="majorBidi" w:cstheme="majorBidi"/>
              </w:rPr>
              <w:t>Bread</w:t>
            </w:r>
          </w:p>
        </w:tc>
        <w:tc>
          <w:tcPr>
            <w:tcW w:w="2392" w:type="dxa"/>
            <w:vAlign w:val="center"/>
          </w:tcPr>
          <w:p w:rsidR="008F3CD0" w:rsidRPr="00EB337F" w:rsidRDefault="008F3CD0" w:rsidP="00EB337F">
            <w:pPr>
              <w:tabs>
                <w:tab w:val="right" w:pos="338"/>
              </w:tabs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B337F">
              <w:rPr>
                <w:rFonts w:asciiTheme="majorBidi" w:hAnsiTheme="majorBidi" w:cstheme="majorBidi"/>
              </w:rPr>
              <w:t>+ 12.02%</w:t>
            </w:r>
          </w:p>
        </w:tc>
      </w:tr>
      <w:tr w:rsidR="008F3CD0" w:rsidRPr="00EB337F" w:rsidTr="00EB337F">
        <w:trPr>
          <w:trHeight w:hRule="exact" w:val="508"/>
          <w:jc w:val="center"/>
        </w:trPr>
        <w:tc>
          <w:tcPr>
            <w:tcW w:w="4095" w:type="dxa"/>
            <w:vAlign w:val="center"/>
          </w:tcPr>
          <w:p w:rsidR="008F3CD0" w:rsidRPr="00EB337F" w:rsidRDefault="008F3CD0" w:rsidP="00EB337F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EB337F">
              <w:rPr>
                <w:rFonts w:asciiTheme="majorBidi" w:hAnsiTheme="majorBidi" w:cstheme="majorBidi"/>
              </w:rPr>
              <w:t>Other Non-Alcoholic Beverages</w:t>
            </w:r>
            <w:r w:rsidR="009E172A" w:rsidRPr="00EB337F">
              <w:rPr>
                <w:rFonts w:asciiTheme="majorBidi" w:hAnsiTheme="majorBidi" w:cstheme="majorBidi"/>
              </w:rPr>
              <w:t xml:space="preserve"> "Juice"</w:t>
            </w:r>
          </w:p>
        </w:tc>
        <w:tc>
          <w:tcPr>
            <w:tcW w:w="2392" w:type="dxa"/>
            <w:vAlign w:val="center"/>
          </w:tcPr>
          <w:p w:rsidR="008F3CD0" w:rsidRPr="00EB337F" w:rsidRDefault="008F3CD0" w:rsidP="00EB337F">
            <w:pPr>
              <w:tabs>
                <w:tab w:val="right" w:pos="338"/>
              </w:tabs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B337F">
              <w:rPr>
                <w:rFonts w:asciiTheme="majorBidi" w:hAnsiTheme="majorBidi" w:cstheme="majorBidi"/>
              </w:rPr>
              <w:t>+ 10.91%</w:t>
            </w:r>
          </w:p>
        </w:tc>
      </w:tr>
      <w:tr w:rsidR="008F3CD0" w:rsidRPr="00EB337F" w:rsidTr="00EB337F">
        <w:trPr>
          <w:trHeight w:hRule="exact" w:val="364"/>
          <w:jc w:val="center"/>
        </w:trPr>
        <w:tc>
          <w:tcPr>
            <w:tcW w:w="4095" w:type="dxa"/>
            <w:vAlign w:val="center"/>
          </w:tcPr>
          <w:p w:rsidR="008F3CD0" w:rsidRPr="00EB337F" w:rsidRDefault="008F3CD0" w:rsidP="00EB337F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EB337F">
              <w:rPr>
                <w:rFonts w:asciiTheme="majorBidi" w:hAnsiTheme="majorBidi" w:cstheme="majorBidi"/>
              </w:rPr>
              <w:t>Fresh Chicken</w:t>
            </w:r>
          </w:p>
        </w:tc>
        <w:tc>
          <w:tcPr>
            <w:tcW w:w="2392" w:type="dxa"/>
            <w:vAlign w:val="center"/>
          </w:tcPr>
          <w:p w:rsidR="008F3CD0" w:rsidRPr="00EB337F" w:rsidRDefault="008F3CD0" w:rsidP="00EB337F">
            <w:pPr>
              <w:tabs>
                <w:tab w:val="right" w:pos="338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EB337F">
              <w:rPr>
                <w:rFonts w:asciiTheme="majorBidi" w:hAnsiTheme="majorBidi" w:cstheme="majorBidi"/>
              </w:rPr>
              <w:t>+ 9.46%</w:t>
            </w:r>
          </w:p>
        </w:tc>
      </w:tr>
      <w:tr w:rsidR="008F3CD0" w:rsidRPr="00EB337F" w:rsidTr="00EB337F">
        <w:trPr>
          <w:trHeight w:hRule="exact" w:val="393"/>
          <w:jc w:val="center"/>
        </w:trPr>
        <w:tc>
          <w:tcPr>
            <w:tcW w:w="4095" w:type="dxa"/>
            <w:vAlign w:val="center"/>
          </w:tcPr>
          <w:p w:rsidR="008F3CD0" w:rsidRPr="00EB337F" w:rsidRDefault="008F3CD0" w:rsidP="00EB337F">
            <w:pPr>
              <w:spacing w:line="276" w:lineRule="auto"/>
              <w:jc w:val="right"/>
              <w:rPr>
                <w:rFonts w:asciiTheme="majorBidi" w:hAnsiTheme="majorBidi" w:cstheme="majorBidi"/>
              </w:rPr>
            </w:pPr>
            <w:r w:rsidRPr="00EB337F">
              <w:rPr>
                <w:rFonts w:asciiTheme="majorBidi" w:hAnsiTheme="majorBidi" w:cstheme="majorBidi"/>
              </w:rPr>
              <w:t>Rice</w:t>
            </w:r>
          </w:p>
        </w:tc>
        <w:tc>
          <w:tcPr>
            <w:tcW w:w="2392" w:type="dxa"/>
            <w:vAlign w:val="center"/>
          </w:tcPr>
          <w:p w:rsidR="008F3CD0" w:rsidRPr="00EB337F" w:rsidRDefault="008F3CD0" w:rsidP="00EB337F">
            <w:pPr>
              <w:tabs>
                <w:tab w:val="right" w:pos="338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EB337F">
              <w:rPr>
                <w:rFonts w:asciiTheme="majorBidi" w:hAnsiTheme="majorBidi" w:cstheme="majorBidi"/>
              </w:rPr>
              <w:t>+ 6.07%</w:t>
            </w:r>
          </w:p>
        </w:tc>
      </w:tr>
      <w:tr w:rsidR="008F3CD0" w:rsidRPr="00EB337F" w:rsidTr="00EB337F">
        <w:trPr>
          <w:trHeight w:hRule="exact" w:val="441"/>
          <w:jc w:val="center"/>
        </w:trPr>
        <w:tc>
          <w:tcPr>
            <w:tcW w:w="4095" w:type="dxa"/>
            <w:vAlign w:val="center"/>
          </w:tcPr>
          <w:p w:rsidR="008F3CD0" w:rsidRPr="00EB337F" w:rsidRDefault="008F3CD0" w:rsidP="00EB337F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EB337F">
              <w:rPr>
                <w:rFonts w:asciiTheme="majorBidi" w:hAnsiTheme="majorBidi" w:cstheme="majorBidi"/>
              </w:rPr>
              <w:t>Soft Drinks</w:t>
            </w:r>
          </w:p>
        </w:tc>
        <w:tc>
          <w:tcPr>
            <w:tcW w:w="2392" w:type="dxa"/>
            <w:vAlign w:val="center"/>
          </w:tcPr>
          <w:p w:rsidR="008F3CD0" w:rsidRPr="00EB337F" w:rsidRDefault="008F3CD0" w:rsidP="00EB337F">
            <w:pPr>
              <w:tabs>
                <w:tab w:val="right" w:pos="338"/>
              </w:tabs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B337F">
              <w:rPr>
                <w:rFonts w:asciiTheme="majorBidi" w:hAnsiTheme="majorBidi" w:cstheme="majorBidi"/>
              </w:rPr>
              <w:t>+ 4.86%</w:t>
            </w:r>
          </w:p>
        </w:tc>
      </w:tr>
      <w:tr w:rsidR="008F3CD0" w:rsidRPr="00EB337F" w:rsidTr="00EB337F">
        <w:trPr>
          <w:trHeight w:hRule="exact" w:val="405"/>
          <w:jc w:val="center"/>
        </w:trPr>
        <w:tc>
          <w:tcPr>
            <w:tcW w:w="4095" w:type="dxa"/>
            <w:vAlign w:val="center"/>
          </w:tcPr>
          <w:p w:rsidR="008F3CD0" w:rsidRPr="00EB337F" w:rsidRDefault="008F3CD0" w:rsidP="00EB337F">
            <w:pPr>
              <w:spacing w:line="276" w:lineRule="auto"/>
              <w:jc w:val="right"/>
              <w:rPr>
                <w:rFonts w:asciiTheme="majorBidi" w:hAnsiTheme="majorBidi" w:cstheme="majorBidi"/>
              </w:rPr>
            </w:pPr>
            <w:r w:rsidRPr="00EB337F">
              <w:rPr>
                <w:rFonts w:asciiTheme="majorBidi" w:hAnsiTheme="majorBidi" w:cstheme="majorBidi"/>
              </w:rPr>
              <w:t>Fresh Meat</w:t>
            </w:r>
          </w:p>
        </w:tc>
        <w:tc>
          <w:tcPr>
            <w:tcW w:w="2392" w:type="dxa"/>
            <w:vAlign w:val="center"/>
          </w:tcPr>
          <w:p w:rsidR="008F3CD0" w:rsidRPr="00EB337F" w:rsidRDefault="008F3CD0" w:rsidP="00EB337F">
            <w:pPr>
              <w:tabs>
                <w:tab w:val="right" w:pos="338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EB337F">
              <w:rPr>
                <w:rFonts w:asciiTheme="majorBidi" w:hAnsiTheme="majorBidi" w:cstheme="majorBidi"/>
              </w:rPr>
              <w:t>+ 2.48%</w:t>
            </w:r>
          </w:p>
        </w:tc>
      </w:tr>
      <w:tr w:rsidR="008F3CD0" w:rsidRPr="00EB337F" w:rsidTr="00EB337F">
        <w:trPr>
          <w:trHeight w:hRule="exact" w:val="425"/>
          <w:jc w:val="center"/>
        </w:trPr>
        <w:tc>
          <w:tcPr>
            <w:tcW w:w="4095" w:type="dxa"/>
            <w:vAlign w:val="center"/>
          </w:tcPr>
          <w:p w:rsidR="008F3CD0" w:rsidRPr="00EB337F" w:rsidRDefault="008F3CD0" w:rsidP="00EB337F">
            <w:pPr>
              <w:spacing w:line="276" w:lineRule="auto"/>
              <w:jc w:val="right"/>
              <w:rPr>
                <w:rFonts w:asciiTheme="majorBidi" w:hAnsiTheme="majorBidi" w:cstheme="majorBidi"/>
              </w:rPr>
            </w:pPr>
            <w:r w:rsidRPr="00EB337F">
              <w:rPr>
                <w:rFonts w:asciiTheme="majorBidi" w:hAnsiTheme="majorBidi" w:cstheme="majorBidi"/>
              </w:rPr>
              <w:t>Dried Vegetables</w:t>
            </w:r>
          </w:p>
        </w:tc>
        <w:tc>
          <w:tcPr>
            <w:tcW w:w="2392" w:type="dxa"/>
            <w:vAlign w:val="center"/>
          </w:tcPr>
          <w:p w:rsidR="008F3CD0" w:rsidRPr="00EB337F" w:rsidRDefault="008F3CD0" w:rsidP="00EB337F">
            <w:pPr>
              <w:tabs>
                <w:tab w:val="right" w:pos="338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EB337F">
              <w:rPr>
                <w:rFonts w:asciiTheme="majorBidi" w:hAnsiTheme="majorBidi" w:cstheme="majorBidi"/>
              </w:rPr>
              <w:t>- 5.03%</w:t>
            </w:r>
          </w:p>
        </w:tc>
      </w:tr>
      <w:tr w:rsidR="008F3CD0" w:rsidRPr="00EB337F" w:rsidTr="00EB337F">
        <w:trPr>
          <w:trHeight w:hRule="exact" w:val="430"/>
          <w:jc w:val="center"/>
        </w:trPr>
        <w:tc>
          <w:tcPr>
            <w:tcW w:w="4095" w:type="dxa"/>
            <w:vAlign w:val="center"/>
          </w:tcPr>
          <w:p w:rsidR="008F3CD0" w:rsidRPr="00EB337F" w:rsidRDefault="008F3CD0" w:rsidP="00EB337F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EB337F">
              <w:rPr>
                <w:rFonts w:asciiTheme="majorBidi" w:hAnsiTheme="majorBidi" w:cstheme="majorBidi"/>
              </w:rPr>
              <w:t>Fresh Fruit</w:t>
            </w:r>
          </w:p>
        </w:tc>
        <w:tc>
          <w:tcPr>
            <w:tcW w:w="2392" w:type="dxa"/>
            <w:vAlign w:val="center"/>
          </w:tcPr>
          <w:p w:rsidR="008F3CD0" w:rsidRPr="00EB337F" w:rsidRDefault="008F3CD0" w:rsidP="00EB337F">
            <w:pPr>
              <w:tabs>
                <w:tab w:val="right" w:pos="338"/>
              </w:tabs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B337F">
              <w:rPr>
                <w:rFonts w:asciiTheme="majorBidi" w:hAnsiTheme="majorBidi" w:cstheme="majorBidi"/>
              </w:rPr>
              <w:t>- 2.25%</w:t>
            </w:r>
          </w:p>
        </w:tc>
      </w:tr>
      <w:tr w:rsidR="008F3CD0" w:rsidRPr="00EB337F" w:rsidTr="00EB337F">
        <w:trPr>
          <w:trHeight w:hRule="exact" w:val="435"/>
          <w:jc w:val="center"/>
        </w:trPr>
        <w:tc>
          <w:tcPr>
            <w:tcW w:w="4095" w:type="dxa"/>
            <w:vAlign w:val="center"/>
          </w:tcPr>
          <w:p w:rsidR="008F3CD0" w:rsidRPr="00EB337F" w:rsidRDefault="008F3CD0" w:rsidP="00EB337F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EB337F">
              <w:rPr>
                <w:rFonts w:asciiTheme="majorBidi" w:hAnsiTheme="majorBidi" w:cstheme="majorBidi"/>
                <w:b/>
                <w:bCs/>
              </w:rPr>
              <w:t>Transport</w:t>
            </w:r>
          </w:p>
        </w:tc>
        <w:tc>
          <w:tcPr>
            <w:tcW w:w="2392" w:type="dxa"/>
            <w:vAlign w:val="center"/>
          </w:tcPr>
          <w:p w:rsidR="008F3CD0" w:rsidRPr="00EB337F" w:rsidRDefault="008F3CD0" w:rsidP="00EB337F">
            <w:pPr>
              <w:tabs>
                <w:tab w:val="right" w:pos="338"/>
              </w:tabs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B337F">
              <w:rPr>
                <w:rFonts w:asciiTheme="majorBidi" w:hAnsiTheme="majorBidi" w:cstheme="majorBidi"/>
                <w:b/>
                <w:bCs/>
              </w:rPr>
              <w:t>+ 3.05%</w:t>
            </w:r>
          </w:p>
        </w:tc>
      </w:tr>
      <w:tr w:rsidR="008F3CD0" w:rsidRPr="00EB337F" w:rsidTr="00EB337F">
        <w:trPr>
          <w:trHeight w:hRule="exact" w:val="427"/>
          <w:jc w:val="center"/>
        </w:trPr>
        <w:tc>
          <w:tcPr>
            <w:tcW w:w="4095" w:type="dxa"/>
            <w:vAlign w:val="center"/>
          </w:tcPr>
          <w:p w:rsidR="008F3CD0" w:rsidRPr="00EB337F" w:rsidRDefault="008F3CD0" w:rsidP="00EB337F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EB337F">
              <w:rPr>
                <w:rFonts w:asciiTheme="majorBidi" w:hAnsiTheme="majorBidi" w:cstheme="majorBidi"/>
              </w:rPr>
              <w:t>Liquid Fuel for Car "Diesel"</w:t>
            </w:r>
          </w:p>
        </w:tc>
        <w:tc>
          <w:tcPr>
            <w:tcW w:w="2392" w:type="dxa"/>
            <w:vAlign w:val="center"/>
          </w:tcPr>
          <w:p w:rsidR="008F3CD0" w:rsidRPr="00EB337F" w:rsidRDefault="008F3CD0" w:rsidP="00EB337F">
            <w:pPr>
              <w:tabs>
                <w:tab w:val="right" w:pos="338"/>
              </w:tabs>
              <w:bidi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EB337F">
              <w:rPr>
                <w:rFonts w:asciiTheme="majorBidi" w:hAnsiTheme="majorBidi" w:cstheme="majorBidi"/>
              </w:rPr>
              <w:t>+ 13.89%</w:t>
            </w:r>
          </w:p>
        </w:tc>
      </w:tr>
      <w:tr w:rsidR="008F3CD0" w:rsidRPr="00EB337F" w:rsidTr="00EB337F">
        <w:trPr>
          <w:trHeight w:hRule="exact" w:val="419"/>
          <w:jc w:val="center"/>
        </w:trPr>
        <w:tc>
          <w:tcPr>
            <w:tcW w:w="4095" w:type="dxa"/>
            <w:vAlign w:val="center"/>
          </w:tcPr>
          <w:p w:rsidR="008F3CD0" w:rsidRPr="00EB337F" w:rsidRDefault="008F3CD0" w:rsidP="00EB337F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EB337F">
              <w:rPr>
                <w:rFonts w:asciiTheme="majorBidi" w:hAnsiTheme="majorBidi" w:cstheme="majorBidi"/>
              </w:rPr>
              <w:t>Liquid Fuel for Car "Petrol"</w:t>
            </w:r>
          </w:p>
        </w:tc>
        <w:tc>
          <w:tcPr>
            <w:tcW w:w="2392" w:type="dxa"/>
            <w:vAlign w:val="center"/>
          </w:tcPr>
          <w:p w:rsidR="008F3CD0" w:rsidRPr="00EB337F" w:rsidRDefault="008F3CD0" w:rsidP="00EB337F">
            <w:pPr>
              <w:tabs>
                <w:tab w:val="right" w:pos="338"/>
              </w:tabs>
              <w:bidi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EB337F">
              <w:rPr>
                <w:rFonts w:asciiTheme="majorBidi" w:hAnsiTheme="majorBidi" w:cstheme="majorBidi"/>
              </w:rPr>
              <w:t>+ 8.49%</w:t>
            </w:r>
          </w:p>
        </w:tc>
      </w:tr>
      <w:tr w:rsidR="008F3CD0" w:rsidRPr="00EB337F" w:rsidTr="00EB337F">
        <w:trPr>
          <w:trHeight w:hRule="exact" w:val="563"/>
          <w:jc w:val="center"/>
        </w:trPr>
        <w:tc>
          <w:tcPr>
            <w:tcW w:w="4095" w:type="dxa"/>
            <w:vAlign w:val="center"/>
          </w:tcPr>
          <w:p w:rsidR="008F3CD0" w:rsidRPr="00EB337F" w:rsidRDefault="008F3CD0" w:rsidP="00EB337F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EB337F">
              <w:rPr>
                <w:rFonts w:asciiTheme="majorBidi" w:hAnsiTheme="majorBidi" w:cstheme="majorBidi"/>
                <w:b/>
                <w:bCs/>
              </w:rPr>
              <w:t>Housing, Water, Electricity, Gas and Other Fuels</w:t>
            </w:r>
          </w:p>
        </w:tc>
        <w:tc>
          <w:tcPr>
            <w:tcW w:w="2392" w:type="dxa"/>
            <w:vAlign w:val="center"/>
          </w:tcPr>
          <w:p w:rsidR="008F3CD0" w:rsidRPr="00EB337F" w:rsidRDefault="008F3CD0" w:rsidP="00EB337F">
            <w:pPr>
              <w:tabs>
                <w:tab w:val="right" w:pos="338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B337F">
              <w:rPr>
                <w:rFonts w:asciiTheme="majorBidi" w:hAnsiTheme="majorBidi" w:cstheme="majorBidi"/>
                <w:b/>
                <w:bCs/>
              </w:rPr>
              <w:t>+ 2.74%</w:t>
            </w:r>
          </w:p>
        </w:tc>
      </w:tr>
      <w:tr w:rsidR="008F3CD0" w:rsidRPr="00EB337F" w:rsidTr="00EB337F">
        <w:trPr>
          <w:trHeight w:hRule="exact" w:val="319"/>
          <w:jc w:val="center"/>
        </w:trPr>
        <w:tc>
          <w:tcPr>
            <w:tcW w:w="4095" w:type="dxa"/>
            <w:vAlign w:val="center"/>
          </w:tcPr>
          <w:p w:rsidR="008F3CD0" w:rsidRPr="00EB337F" w:rsidRDefault="008F3CD0" w:rsidP="00EB337F">
            <w:pPr>
              <w:spacing w:line="276" w:lineRule="auto"/>
              <w:jc w:val="right"/>
              <w:rPr>
                <w:rFonts w:asciiTheme="majorBidi" w:hAnsiTheme="majorBidi" w:cstheme="majorBidi"/>
              </w:rPr>
            </w:pPr>
            <w:r w:rsidRPr="00EB337F">
              <w:rPr>
                <w:rFonts w:asciiTheme="majorBidi" w:hAnsiTheme="majorBidi" w:cstheme="majorBidi"/>
              </w:rPr>
              <w:t>Gas</w:t>
            </w:r>
          </w:p>
        </w:tc>
        <w:tc>
          <w:tcPr>
            <w:tcW w:w="2392" w:type="dxa"/>
            <w:vAlign w:val="center"/>
          </w:tcPr>
          <w:p w:rsidR="008F3CD0" w:rsidRPr="00EB337F" w:rsidRDefault="008F3CD0" w:rsidP="00EB337F">
            <w:pPr>
              <w:tabs>
                <w:tab w:val="right" w:pos="338"/>
              </w:tabs>
              <w:spacing w:line="276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EB337F">
              <w:rPr>
                <w:rFonts w:asciiTheme="majorBidi" w:hAnsiTheme="majorBidi" w:cstheme="majorBidi"/>
              </w:rPr>
              <w:t>+ 6.51%</w:t>
            </w:r>
          </w:p>
        </w:tc>
      </w:tr>
      <w:tr w:rsidR="008F3CD0" w:rsidRPr="00EB337F" w:rsidTr="00EB337F">
        <w:trPr>
          <w:trHeight w:hRule="exact" w:val="395"/>
          <w:jc w:val="center"/>
        </w:trPr>
        <w:tc>
          <w:tcPr>
            <w:tcW w:w="4095" w:type="dxa"/>
            <w:vAlign w:val="center"/>
          </w:tcPr>
          <w:p w:rsidR="008F3CD0" w:rsidRPr="00EB337F" w:rsidRDefault="008F3CD0" w:rsidP="00EB337F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EB337F">
              <w:rPr>
                <w:rFonts w:asciiTheme="majorBidi" w:hAnsiTheme="majorBidi" w:cstheme="majorBidi"/>
              </w:rPr>
              <w:t>Actual Rentals for Housing</w:t>
            </w:r>
          </w:p>
        </w:tc>
        <w:tc>
          <w:tcPr>
            <w:tcW w:w="2392" w:type="dxa"/>
            <w:vAlign w:val="center"/>
          </w:tcPr>
          <w:p w:rsidR="008F3CD0" w:rsidRPr="00EB337F" w:rsidRDefault="008F3CD0" w:rsidP="00EB337F">
            <w:pPr>
              <w:tabs>
                <w:tab w:val="right" w:pos="338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EB337F">
              <w:rPr>
                <w:rFonts w:asciiTheme="majorBidi" w:hAnsiTheme="majorBidi" w:cstheme="majorBidi"/>
              </w:rPr>
              <w:t>+ 2.23%</w:t>
            </w:r>
          </w:p>
        </w:tc>
      </w:tr>
      <w:tr w:rsidR="008F3CD0" w:rsidRPr="00EB337F" w:rsidTr="00EB337F">
        <w:trPr>
          <w:trHeight w:hRule="exact" w:val="273"/>
          <w:jc w:val="center"/>
        </w:trPr>
        <w:tc>
          <w:tcPr>
            <w:tcW w:w="4095" w:type="dxa"/>
            <w:vAlign w:val="center"/>
          </w:tcPr>
          <w:p w:rsidR="008F3CD0" w:rsidRPr="00EB337F" w:rsidRDefault="008F3CD0" w:rsidP="00EB337F">
            <w:pPr>
              <w:spacing w:line="276" w:lineRule="auto"/>
              <w:jc w:val="right"/>
              <w:rPr>
                <w:rFonts w:asciiTheme="majorBidi" w:hAnsiTheme="majorBidi" w:cstheme="majorBidi"/>
              </w:rPr>
            </w:pPr>
            <w:r w:rsidRPr="00EB337F">
              <w:rPr>
                <w:rFonts w:asciiTheme="majorBidi" w:hAnsiTheme="majorBidi" w:cstheme="majorBidi"/>
              </w:rPr>
              <w:t>Electricity Tariff</w:t>
            </w:r>
          </w:p>
        </w:tc>
        <w:tc>
          <w:tcPr>
            <w:tcW w:w="2392" w:type="dxa"/>
            <w:vAlign w:val="center"/>
          </w:tcPr>
          <w:p w:rsidR="008F3CD0" w:rsidRPr="00EB337F" w:rsidRDefault="008F3CD0" w:rsidP="00EB337F">
            <w:pPr>
              <w:tabs>
                <w:tab w:val="right" w:pos="338"/>
              </w:tabs>
              <w:spacing w:line="276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EB337F">
              <w:rPr>
                <w:rFonts w:asciiTheme="majorBidi" w:hAnsiTheme="majorBidi" w:cstheme="majorBidi"/>
              </w:rPr>
              <w:t>+ 1.58%</w:t>
            </w:r>
          </w:p>
        </w:tc>
      </w:tr>
      <w:tr w:rsidR="008F3CD0" w:rsidRPr="00EB337F" w:rsidTr="00EB337F">
        <w:trPr>
          <w:trHeight w:hRule="exact" w:val="557"/>
          <w:jc w:val="center"/>
        </w:trPr>
        <w:tc>
          <w:tcPr>
            <w:tcW w:w="4095" w:type="dxa"/>
            <w:vAlign w:val="center"/>
          </w:tcPr>
          <w:p w:rsidR="008F3CD0" w:rsidRPr="00EB337F" w:rsidRDefault="008F3CD0" w:rsidP="00EB337F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EB337F">
              <w:rPr>
                <w:rFonts w:asciiTheme="majorBidi" w:hAnsiTheme="majorBidi" w:cstheme="majorBidi"/>
                <w:b/>
                <w:bCs/>
              </w:rPr>
              <w:t>Alcholoic</w:t>
            </w:r>
            <w:proofErr w:type="spellEnd"/>
            <w:r w:rsidRPr="00EB337F">
              <w:rPr>
                <w:rFonts w:asciiTheme="majorBidi" w:hAnsiTheme="majorBidi" w:cstheme="majorBidi"/>
                <w:b/>
                <w:bCs/>
              </w:rPr>
              <w:t xml:space="preserve"> Beverages, Tobacco and Narcotics</w:t>
            </w:r>
          </w:p>
        </w:tc>
        <w:tc>
          <w:tcPr>
            <w:tcW w:w="2392" w:type="dxa"/>
            <w:vAlign w:val="center"/>
          </w:tcPr>
          <w:p w:rsidR="008F3CD0" w:rsidRPr="00EB337F" w:rsidRDefault="00614528" w:rsidP="00EB337F">
            <w:pPr>
              <w:tabs>
                <w:tab w:val="right" w:pos="338"/>
              </w:tabs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B337F">
              <w:rPr>
                <w:rFonts w:asciiTheme="majorBidi" w:hAnsiTheme="majorBidi" w:cstheme="majorBidi"/>
                <w:b/>
                <w:bCs/>
              </w:rPr>
              <w:t>+ 3.47%</w:t>
            </w:r>
          </w:p>
        </w:tc>
      </w:tr>
      <w:tr w:rsidR="008F3CD0" w:rsidRPr="00EB337F" w:rsidTr="00EB337F">
        <w:trPr>
          <w:trHeight w:hRule="exact" w:val="313"/>
          <w:jc w:val="center"/>
        </w:trPr>
        <w:tc>
          <w:tcPr>
            <w:tcW w:w="4095" w:type="dxa"/>
            <w:vAlign w:val="center"/>
          </w:tcPr>
          <w:p w:rsidR="00BE76AE" w:rsidRDefault="00614528" w:rsidP="008F3CD0">
            <w:pPr>
              <w:jc w:val="right"/>
              <w:rPr>
                <w:rFonts w:asciiTheme="majorBidi" w:hAnsiTheme="majorBidi" w:cstheme="majorBidi" w:hint="cs"/>
                <w:rtl/>
              </w:rPr>
            </w:pPr>
            <w:r w:rsidRPr="00EB337F">
              <w:rPr>
                <w:rFonts w:asciiTheme="majorBidi" w:hAnsiTheme="majorBidi" w:cstheme="majorBidi"/>
              </w:rPr>
              <w:t>Cigarettes</w:t>
            </w:r>
          </w:p>
          <w:p w:rsidR="00BE76AE" w:rsidRPr="00BE76AE" w:rsidRDefault="00BE76AE" w:rsidP="00BE76AE">
            <w:pPr>
              <w:rPr>
                <w:rFonts w:asciiTheme="majorBidi" w:hAnsiTheme="majorBidi" w:cstheme="majorBidi"/>
              </w:rPr>
            </w:pPr>
          </w:p>
          <w:p w:rsidR="00BE76AE" w:rsidRDefault="00BE76AE" w:rsidP="00BE76AE">
            <w:pPr>
              <w:rPr>
                <w:rFonts w:asciiTheme="majorBidi" w:hAnsiTheme="majorBidi" w:cstheme="majorBidi"/>
              </w:rPr>
            </w:pPr>
          </w:p>
          <w:p w:rsidR="008F3CD0" w:rsidRPr="00BE76AE" w:rsidRDefault="008F3CD0" w:rsidP="00BE76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92" w:type="dxa"/>
            <w:vAlign w:val="center"/>
          </w:tcPr>
          <w:p w:rsidR="008F3CD0" w:rsidRPr="00EB337F" w:rsidRDefault="0049279D" w:rsidP="00EB337F">
            <w:pPr>
              <w:tabs>
                <w:tab w:val="right" w:pos="338"/>
              </w:tabs>
              <w:jc w:val="center"/>
              <w:rPr>
                <w:rFonts w:asciiTheme="majorBidi" w:hAnsiTheme="majorBidi" w:cstheme="majorBidi"/>
              </w:rPr>
            </w:pPr>
            <w:r w:rsidRPr="00EB337F">
              <w:rPr>
                <w:rFonts w:asciiTheme="majorBidi" w:hAnsiTheme="majorBidi" w:cstheme="majorBidi"/>
              </w:rPr>
              <w:t>+ 3.61%</w:t>
            </w:r>
          </w:p>
        </w:tc>
      </w:tr>
    </w:tbl>
    <w:p w:rsidR="001F0975" w:rsidRPr="00EB337F" w:rsidRDefault="001F0975" w:rsidP="00EB337F">
      <w:pPr>
        <w:jc w:val="right"/>
        <w:rPr>
          <w:rFonts w:asciiTheme="majorBidi" w:hAnsiTheme="majorBidi" w:cstheme="majorBidi"/>
          <w:b/>
          <w:bCs/>
          <w:color w:val="000000"/>
          <w:sz w:val="16"/>
          <w:szCs w:val="16"/>
        </w:rPr>
      </w:pPr>
    </w:p>
    <w:p w:rsidR="00EB337F" w:rsidRDefault="00EB337F" w:rsidP="00136ECF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BE76AE" w:rsidRDefault="00BE76AE" w:rsidP="00EB337F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136ECF" w:rsidRPr="00EB337F" w:rsidRDefault="00136ECF" w:rsidP="00BE76AE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bookmarkStart w:id="0" w:name="_GoBack"/>
      <w:bookmarkEnd w:id="0"/>
      <w:r w:rsidRPr="00EB337F">
        <w:rPr>
          <w:rFonts w:asciiTheme="majorBidi" w:hAnsiTheme="majorBidi" w:cstheme="majorBidi"/>
          <w:b/>
          <w:bCs/>
          <w:sz w:val="26"/>
          <w:szCs w:val="26"/>
        </w:rPr>
        <w:t>Consumer Price Index increased by 114% in 1996 and until 2022; an increase of 1,136 NIS/ 1,000 NIS of the monthly wages, and if it is calculated since 2004, the CPI is increased by 56%; an increase of 559 NIS/ 1,000 NIS of the monthly wages.</w:t>
      </w:r>
    </w:p>
    <w:p w:rsidR="00A50219" w:rsidRPr="00EB337F" w:rsidRDefault="00A50219" w:rsidP="00A50219">
      <w:pPr>
        <w:jc w:val="right"/>
        <w:rPr>
          <w:rFonts w:asciiTheme="majorBidi" w:hAnsiTheme="majorBidi" w:cstheme="majorBidi"/>
          <w:b/>
          <w:bCs/>
          <w:color w:val="000000"/>
          <w:rtl/>
        </w:rPr>
      </w:pPr>
    </w:p>
    <w:p w:rsidR="00E5231D" w:rsidRDefault="004B2600" w:rsidP="00EB337F">
      <w:pPr>
        <w:jc w:val="center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  <w:r w:rsidRPr="00EB337F">
        <w:rPr>
          <w:rFonts w:asciiTheme="majorBidi" w:hAnsiTheme="majorBidi" w:cstheme="majorBidi"/>
          <w:b/>
          <w:bCs/>
          <w:color w:val="000000"/>
          <w:sz w:val="26"/>
          <w:szCs w:val="26"/>
        </w:rPr>
        <w:t>Yearly percent change</w:t>
      </w:r>
      <w:r w:rsidR="00A10A5B" w:rsidRPr="00EB337F">
        <w:rPr>
          <w:rFonts w:asciiTheme="majorBidi" w:hAnsiTheme="majorBidi" w:cstheme="majorBidi"/>
          <w:b/>
          <w:bCs/>
          <w:color w:val="000000"/>
          <w:sz w:val="26"/>
          <w:szCs w:val="26"/>
        </w:rPr>
        <w:t>s</w:t>
      </w:r>
      <w:r w:rsidRPr="00EB337F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in Consumer price index in Palestine for</w:t>
      </w:r>
      <w:r w:rsidR="0086364F" w:rsidRPr="00EB337F">
        <w:rPr>
          <w:rFonts w:asciiTheme="majorBidi" w:hAnsiTheme="majorBidi" w:cstheme="majorBidi"/>
          <w:b/>
          <w:bCs/>
          <w:color w:val="000000"/>
          <w:sz w:val="26"/>
          <w:szCs w:val="26"/>
        </w:rPr>
        <w:t>:</w:t>
      </w:r>
      <w:r w:rsidRPr="00EB337F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</w:t>
      </w:r>
      <w:r w:rsidR="0049279D" w:rsidRPr="00EB337F">
        <w:rPr>
          <w:rFonts w:asciiTheme="majorBidi" w:hAnsiTheme="majorBidi" w:cstheme="majorBidi"/>
          <w:b/>
          <w:bCs/>
          <w:color w:val="000000"/>
          <w:sz w:val="26"/>
          <w:szCs w:val="26"/>
        </w:rPr>
        <w:t>2004</w:t>
      </w:r>
      <w:r w:rsidRPr="00EB337F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– </w:t>
      </w:r>
      <w:r w:rsidR="00614528" w:rsidRPr="00EB337F">
        <w:rPr>
          <w:rFonts w:asciiTheme="majorBidi" w:hAnsiTheme="majorBidi" w:cstheme="majorBidi"/>
          <w:b/>
          <w:bCs/>
          <w:color w:val="000000"/>
          <w:sz w:val="26"/>
          <w:szCs w:val="26"/>
        </w:rPr>
        <w:t>2022</w:t>
      </w:r>
    </w:p>
    <w:p w:rsidR="00BE76AE" w:rsidRPr="00BE76AE" w:rsidRDefault="00BE76AE" w:rsidP="00EB337F">
      <w:pPr>
        <w:jc w:val="center"/>
        <w:rPr>
          <w:rFonts w:asciiTheme="majorBidi" w:hAnsiTheme="majorBidi" w:cstheme="majorBidi"/>
          <w:b/>
          <w:bCs/>
          <w:color w:val="000000"/>
          <w:sz w:val="16"/>
          <w:szCs w:val="16"/>
        </w:rPr>
      </w:pPr>
    </w:p>
    <w:p w:rsidR="00CE0D6C" w:rsidRPr="00EB337F" w:rsidRDefault="00EB337F" w:rsidP="00E5231D">
      <w:pPr>
        <w:bidi w:val="0"/>
        <w:jc w:val="center"/>
        <w:rPr>
          <w:rFonts w:asciiTheme="majorBidi" w:hAnsiTheme="majorBidi" w:cstheme="majorBidi"/>
          <w:color w:val="000000"/>
        </w:rPr>
      </w:pPr>
      <w:r w:rsidRPr="00EB337F">
        <w:rPr>
          <w:rFonts w:asciiTheme="majorBidi" w:hAnsiTheme="majorBidi" w:cstheme="majorBidi"/>
          <w:noProof/>
          <w:color w:val="000000"/>
          <w:lang w:eastAsia="en-US"/>
        </w:rPr>
        <w:drawing>
          <wp:inline distT="0" distB="0" distL="0" distR="0">
            <wp:extent cx="3171825" cy="2085975"/>
            <wp:effectExtent l="0" t="0" r="9525" b="9525"/>
            <wp:docPr id="9" name="Objec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E76AE" w:rsidRPr="00BE76AE" w:rsidRDefault="00BE76AE" w:rsidP="00EB337F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snapToGrid w:val="0"/>
          <w:color w:val="000000"/>
          <w:sz w:val="16"/>
          <w:szCs w:val="16"/>
        </w:rPr>
      </w:pPr>
    </w:p>
    <w:p w:rsidR="00197A7D" w:rsidRDefault="00594A59" w:rsidP="00BE76AE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snapToGrid w:val="0"/>
          <w:color w:val="000000"/>
          <w:sz w:val="26"/>
          <w:szCs w:val="26"/>
        </w:rPr>
      </w:pPr>
      <w:r w:rsidRPr="00EB337F">
        <w:rPr>
          <w:rFonts w:asciiTheme="majorBidi" w:hAnsiTheme="majorBidi" w:cstheme="majorBidi"/>
          <w:b/>
          <w:bCs/>
          <w:snapToGrid w:val="0"/>
          <w:color w:val="000000"/>
          <w:sz w:val="26"/>
          <w:szCs w:val="26"/>
        </w:rPr>
        <w:t>Monthly percent changes in</w:t>
      </w:r>
      <w:r w:rsidR="008911CD" w:rsidRPr="00EB337F">
        <w:rPr>
          <w:rFonts w:asciiTheme="majorBidi" w:hAnsiTheme="majorBidi" w:cstheme="majorBidi"/>
          <w:b/>
          <w:bCs/>
          <w:snapToGrid w:val="0"/>
          <w:color w:val="000000"/>
          <w:sz w:val="26"/>
          <w:szCs w:val="26"/>
        </w:rPr>
        <w:t xml:space="preserve"> </w:t>
      </w:r>
      <w:r w:rsidR="00230FBE" w:rsidRPr="00EB337F">
        <w:rPr>
          <w:rFonts w:asciiTheme="majorBidi" w:hAnsiTheme="majorBidi" w:cstheme="majorBidi"/>
          <w:b/>
          <w:bCs/>
          <w:snapToGrid w:val="0"/>
          <w:color w:val="000000"/>
          <w:sz w:val="26"/>
          <w:szCs w:val="26"/>
        </w:rPr>
        <w:t>C</w:t>
      </w:r>
      <w:r w:rsidR="00FE126D" w:rsidRPr="00EB337F">
        <w:rPr>
          <w:rFonts w:asciiTheme="majorBidi" w:hAnsiTheme="majorBidi" w:cstheme="majorBidi"/>
          <w:b/>
          <w:bCs/>
          <w:snapToGrid w:val="0"/>
          <w:color w:val="000000"/>
          <w:sz w:val="26"/>
          <w:szCs w:val="26"/>
        </w:rPr>
        <w:t xml:space="preserve">onsumer </w:t>
      </w:r>
      <w:r w:rsidRPr="00EB337F">
        <w:rPr>
          <w:rFonts w:asciiTheme="majorBidi" w:hAnsiTheme="majorBidi" w:cstheme="majorBidi"/>
          <w:b/>
          <w:bCs/>
          <w:snapToGrid w:val="0"/>
          <w:color w:val="000000"/>
          <w:sz w:val="26"/>
          <w:szCs w:val="26"/>
        </w:rPr>
        <w:t>p</w:t>
      </w:r>
      <w:r w:rsidR="00633E0A" w:rsidRPr="00EB337F">
        <w:rPr>
          <w:rFonts w:asciiTheme="majorBidi" w:hAnsiTheme="majorBidi" w:cstheme="majorBidi"/>
          <w:b/>
          <w:bCs/>
          <w:snapToGrid w:val="0"/>
          <w:color w:val="000000"/>
          <w:sz w:val="26"/>
          <w:szCs w:val="26"/>
        </w:rPr>
        <w:t xml:space="preserve">rice </w:t>
      </w:r>
      <w:r w:rsidRPr="00EB337F">
        <w:rPr>
          <w:rFonts w:asciiTheme="majorBidi" w:hAnsiTheme="majorBidi" w:cstheme="majorBidi"/>
          <w:b/>
          <w:bCs/>
          <w:snapToGrid w:val="0"/>
          <w:color w:val="000000"/>
          <w:sz w:val="26"/>
          <w:szCs w:val="26"/>
        </w:rPr>
        <w:t>i</w:t>
      </w:r>
      <w:r w:rsidR="00B27CFC" w:rsidRPr="00EB337F">
        <w:rPr>
          <w:rFonts w:asciiTheme="majorBidi" w:hAnsiTheme="majorBidi" w:cstheme="majorBidi"/>
          <w:b/>
          <w:bCs/>
          <w:snapToGrid w:val="0"/>
          <w:color w:val="000000"/>
          <w:sz w:val="26"/>
          <w:szCs w:val="26"/>
        </w:rPr>
        <w:t>ndex</w:t>
      </w:r>
      <w:r w:rsidR="00230FBE" w:rsidRPr="00EB337F">
        <w:rPr>
          <w:rFonts w:asciiTheme="majorBidi" w:hAnsiTheme="majorBidi" w:cstheme="majorBidi"/>
          <w:b/>
          <w:bCs/>
          <w:snapToGrid w:val="0"/>
          <w:color w:val="000000"/>
          <w:sz w:val="26"/>
          <w:szCs w:val="26"/>
        </w:rPr>
        <w:t xml:space="preserve"> </w:t>
      </w:r>
      <w:r w:rsidR="00D46FAD" w:rsidRPr="00EB337F">
        <w:rPr>
          <w:rFonts w:asciiTheme="majorBidi" w:hAnsiTheme="majorBidi" w:cstheme="majorBidi"/>
          <w:b/>
          <w:bCs/>
          <w:snapToGrid w:val="0"/>
          <w:color w:val="000000"/>
          <w:sz w:val="26"/>
          <w:szCs w:val="26"/>
        </w:rPr>
        <w:t>in</w:t>
      </w:r>
      <w:r w:rsidRPr="00EB337F">
        <w:rPr>
          <w:rFonts w:asciiTheme="majorBidi" w:hAnsiTheme="majorBidi" w:cstheme="majorBidi"/>
          <w:b/>
          <w:bCs/>
          <w:snapToGrid w:val="0"/>
          <w:color w:val="000000"/>
          <w:sz w:val="26"/>
          <w:szCs w:val="26"/>
        </w:rPr>
        <w:t xml:space="preserve"> </w:t>
      </w:r>
      <w:r w:rsidR="00D46FAD" w:rsidRPr="00EB337F">
        <w:rPr>
          <w:rFonts w:asciiTheme="majorBidi" w:hAnsiTheme="majorBidi" w:cstheme="majorBidi"/>
          <w:b/>
          <w:bCs/>
          <w:snapToGrid w:val="0"/>
          <w:color w:val="000000"/>
          <w:sz w:val="26"/>
          <w:szCs w:val="26"/>
        </w:rPr>
        <w:t>Palestine for</w:t>
      </w:r>
      <w:r w:rsidR="006134BE" w:rsidRPr="00EB337F">
        <w:rPr>
          <w:rFonts w:asciiTheme="majorBidi" w:hAnsiTheme="majorBidi" w:cstheme="majorBidi"/>
          <w:b/>
          <w:bCs/>
          <w:snapToGrid w:val="0"/>
          <w:color w:val="000000"/>
          <w:sz w:val="26"/>
          <w:szCs w:val="26"/>
        </w:rPr>
        <w:t xml:space="preserve"> the </w:t>
      </w:r>
      <w:r w:rsidR="003B3A03" w:rsidRPr="00EB337F">
        <w:rPr>
          <w:rFonts w:asciiTheme="majorBidi" w:hAnsiTheme="majorBidi" w:cstheme="majorBidi"/>
          <w:b/>
          <w:bCs/>
          <w:snapToGrid w:val="0"/>
          <w:color w:val="000000"/>
          <w:sz w:val="26"/>
          <w:szCs w:val="26"/>
        </w:rPr>
        <w:t xml:space="preserve">months of </w:t>
      </w:r>
      <w:r w:rsidR="0003502B" w:rsidRPr="00EB337F">
        <w:rPr>
          <w:rFonts w:asciiTheme="majorBidi" w:hAnsiTheme="majorBidi" w:cstheme="majorBidi"/>
          <w:b/>
          <w:bCs/>
          <w:snapToGrid w:val="0"/>
          <w:color w:val="000000"/>
          <w:sz w:val="26"/>
          <w:szCs w:val="26"/>
        </w:rPr>
        <w:t>2022</w:t>
      </w:r>
    </w:p>
    <w:p w:rsidR="009A7E1A" w:rsidRDefault="009A7E1A" w:rsidP="00EB337F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snapToGrid w:val="0"/>
          <w:color w:val="000000"/>
          <w:sz w:val="16"/>
          <w:szCs w:val="16"/>
        </w:rPr>
      </w:pPr>
    </w:p>
    <w:p w:rsidR="00EB337F" w:rsidRPr="00EB337F" w:rsidRDefault="00EB337F" w:rsidP="00EB337F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snapToGrid w:val="0"/>
          <w:color w:val="000000"/>
          <w:sz w:val="8"/>
          <w:szCs w:val="8"/>
        </w:rPr>
      </w:pPr>
    </w:p>
    <w:p w:rsidR="00CE0D6C" w:rsidRPr="00EB337F" w:rsidRDefault="00EB337F" w:rsidP="006D77E3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snapToGrid w:val="0"/>
          <w:color w:val="000000"/>
          <w:sz w:val="20"/>
          <w:szCs w:val="20"/>
        </w:rPr>
      </w:pPr>
      <w:r w:rsidRPr="00EB337F">
        <w:rPr>
          <w:rFonts w:asciiTheme="majorBidi" w:hAnsiTheme="majorBidi" w:cstheme="majorBidi"/>
          <w:b/>
          <w:bCs/>
          <w:noProof/>
          <w:snapToGrid w:val="0"/>
          <w:color w:val="000000"/>
          <w:sz w:val="20"/>
          <w:szCs w:val="20"/>
          <w:lang w:eastAsia="en-US"/>
        </w:rPr>
        <w:drawing>
          <wp:inline distT="0" distB="0" distL="0" distR="0">
            <wp:extent cx="3171825" cy="2486025"/>
            <wp:effectExtent l="0" t="0" r="9525" b="9525"/>
            <wp:docPr id="3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3016B" w:rsidRPr="00EB337F" w:rsidRDefault="0053016B" w:rsidP="0053016B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napToGrid w:val="0"/>
          <w:sz w:val="20"/>
          <w:szCs w:val="20"/>
        </w:rPr>
      </w:pPr>
    </w:p>
    <w:p w:rsidR="00EB337F" w:rsidRPr="00EB337F" w:rsidRDefault="00EB337F" w:rsidP="0053016B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napToGrid w:val="0"/>
          <w:sz w:val="20"/>
          <w:szCs w:val="20"/>
        </w:rPr>
      </w:pPr>
    </w:p>
    <w:p w:rsidR="0053016B" w:rsidRPr="00EB337F" w:rsidRDefault="0053016B" w:rsidP="00EB337F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napToGrid w:val="0"/>
          <w:sz w:val="22"/>
          <w:szCs w:val="22"/>
        </w:rPr>
      </w:pPr>
      <w:r w:rsidRPr="00EB337F">
        <w:rPr>
          <w:rFonts w:asciiTheme="majorBidi" w:hAnsiTheme="majorBidi" w:cstheme="majorBidi"/>
          <w:b/>
          <w:bCs/>
          <w:snapToGrid w:val="0"/>
          <w:sz w:val="22"/>
          <w:szCs w:val="22"/>
        </w:rPr>
        <w:t>Notes</w:t>
      </w:r>
      <w:r w:rsidRPr="00EB337F">
        <w:rPr>
          <w:rFonts w:asciiTheme="majorBidi" w:hAnsiTheme="majorBidi" w:cstheme="majorBidi"/>
          <w:snapToGrid w:val="0"/>
          <w:sz w:val="22"/>
          <w:szCs w:val="22"/>
        </w:rPr>
        <w:t>:</w:t>
      </w:r>
    </w:p>
    <w:p w:rsidR="0053016B" w:rsidRPr="00EB337F" w:rsidRDefault="0053016B" w:rsidP="00EB337F">
      <w:pPr>
        <w:bidi w:val="0"/>
        <w:jc w:val="both"/>
        <w:rPr>
          <w:rFonts w:asciiTheme="majorBidi" w:hAnsiTheme="majorBidi" w:cstheme="majorBidi"/>
          <w:sz w:val="22"/>
          <w:szCs w:val="22"/>
        </w:rPr>
      </w:pPr>
      <w:r w:rsidRPr="00EB337F">
        <w:rPr>
          <w:rFonts w:asciiTheme="majorBidi" w:hAnsiTheme="majorBidi" w:cstheme="majorBidi"/>
          <w:sz w:val="22"/>
          <w:szCs w:val="22"/>
        </w:rPr>
        <w:t>*Data represent those parts of Jerusalem, which were annexed</w:t>
      </w:r>
      <w:r w:rsidR="00EB337F">
        <w:rPr>
          <w:rFonts w:asciiTheme="majorBidi" w:hAnsiTheme="majorBidi" w:cstheme="majorBidi"/>
          <w:sz w:val="22"/>
          <w:szCs w:val="22"/>
        </w:rPr>
        <w:t xml:space="preserve"> by Israeli Occupation in 1967.</w:t>
      </w:r>
    </w:p>
    <w:p w:rsidR="0053016B" w:rsidRPr="00EB337F" w:rsidRDefault="0053016B" w:rsidP="00EB337F">
      <w:pPr>
        <w:bidi w:val="0"/>
        <w:jc w:val="both"/>
        <w:rPr>
          <w:rFonts w:asciiTheme="majorBidi" w:hAnsiTheme="majorBidi" w:cstheme="majorBidi"/>
          <w:sz w:val="22"/>
          <w:szCs w:val="22"/>
        </w:rPr>
      </w:pPr>
      <w:r w:rsidRPr="00EB337F">
        <w:rPr>
          <w:rFonts w:asciiTheme="majorBidi" w:hAnsiTheme="majorBidi" w:cstheme="majorBidi"/>
          <w:sz w:val="22"/>
          <w:szCs w:val="22"/>
        </w:rPr>
        <w:t>**Data exclude those parts of Jerusalem, which were annexed</w:t>
      </w:r>
      <w:r w:rsidR="00EB337F">
        <w:rPr>
          <w:rFonts w:asciiTheme="majorBidi" w:hAnsiTheme="majorBidi" w:cstheme="majorBidi"/>
          <w:sz w:val="22"/>
          <w:szCs w:val="22"/>
        </w:rPr>
        <w:t xml:space="preserve"> by Israeli Occupation in 1967.</w:t>
      </w:r>
    </w:p>
    <w:p w:rsidR="00EB337F" w:rsidRDefault="00EB337F" w:rsidP="0053016B">
      <w:pPr>
        <w:pStyle w:val="ListParagraph"/>
        <w:bidi w:val="0"/>
        <w:ind w:left="0"/>
        <w:jc w:val="both"/>
        <w:rPr>
          <w:rFonts w:asciiTheme="majorBidi" w:hAnsiTheme="majorBidi" w:cstheme="majorBidi"/>
          <w:sz w:val="22"/>
          <w:szCs w:val="22"/>
        </w:rPr>
      </w:pPr>
    </w:p>
    <w:p w:rsidR="00EB337F" w:rsidRDefault="00EB337F" w:rsidP="00EB337F">
      <w:pPr>
        <w:pStyle w:val="ListParagraph"/>
        <w:bidi w:val="0"/>
        <w:ind w:left="0"/>
        <w:jc w:val="both"/>
        <w:rPr>
          <w:rFonts w:asciiTheme="majorBidi" w:hAnsiTheme="majorBidi" w:cstheme="majorBidi"/>
          <w:sz w:val="22"/>
          <w:szCs w:val="22"/>
        </w:rPr>
      </w:pPr>
    </w:p>
    <w:p w:rsidR="0053016B" w:rsidRPr="00EB337F" w:rsidRDefault="0053016B" w:rsidP="00EB337F">
      <w:pPr>
        <w:pStyle w:val="ListParagraph"/>
        <w:bidi w:val="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EB337F">
        <w:rPr>
          <w:rFonts w:asciiTheme="majorBidi" w:hAnsiTheme="majorBidi" w:cstheme="majorBidi"/>
          <w:sz w:val="22"/>
          <w:szCs w:val="22"/>
        </w:rPr>
        <w:t>Please note that the press release in English is brief compared to the Arabic version</w:t>
      </w:r>
    </w:p>
    <w:p w:rsidR="0053016B" w:rsidRPr="00EB337F" w:rsidRDefault="0053016B" w:rsidP="0053016B">
      <w:pPr>
        <w:bidi w:val="0"/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p w:rsidR="003A15CE" w:rsidRPr="00EB337F" w:rsidRDefault="003A15CE" w:rsidP="003A15CE">
      <w:pPr>
        <w:bidi w:val="0"/>
        <w:jc w:val="both"/>
        <w:rPr>
          <w:rFonts w:asciiTheme="majorBidi" w:hAnsiTheme="majorBidi" w:cstheme="majorBidi"/>
          <w:sz w:val="22"/>
          <w:szCs w:val="22"/>
        </w:rPr>
      </w:pPr>
    </w:p>
    <w:sectPr w:rsidR="003A15CE" w:rsidRPr="00EB337F" w:rsidSect="00BE76AE">
      <w:footerReference w:type="even" r:id="rId10"/>
      <w:footerReference w:type="default" r:id="rId11"/>
      <w:pgSz w:w="11907" w:h="16840" w:code="9"/>
      <w:pgMar w:top="851" w:right="851" w:bottom="851" w:left="851" w:header="720" w:footer="414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DFF" w:rsidRDefault="00C12DFF">
      <w:r>
        <w:separator/>
      </w:r>
    </w:p>
  </w:endnote>
  <w:endnote w:type="continuationSeparator" w:id="0">
    <w:p w:rsidR="00C12DFF" w:rsidRDefault="00C1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106" w:rsidRDefault="00BF210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F2106" w:rsidRDefault="00BF2106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37F" w:rsidRDefault="00EB337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76AE">
      <w:rPr>
        <w:noProof/>
        <w:rtl/>
      </w:rPr>
      <w:t>1</w:t>
    </w:r>
    <w:r>
      <w:rPr>
        <w:noProof/>
      </w:rPr>
      <w:fldChar w:fldCharType="end"/>
    </w:r>
  </w:p>
  <w:p w:rsidR="00EB337F" w:rsidRDefault="00EB33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DFF" w:rsidRDefault="00C12DFF">
      <w:r>
        <w:separator/>
      </w:r>
    </w:p>
  </w:footnote>
  <w:footnote w:type="continuationSeparator" w:id="0">
    <w:p w:rsidR="00C12DFF" w:rsidRDefault="00C12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0833593"/>
    <w:multiLevelType w:val="hybridMultilevel"/>
    <w:tmpl w:val="0F14AFEC"/>
    <w:lvl w:ilvl="0" w:tplc="7D22F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68E6795"/>
    <w:multiLevelType w:val="hybridMultilevel"/>
    <w:tmpl w:val="F77AAF0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 w15:restartNumberingAfterBreak="0">
    <w:nsid w:val="1A1133BB"/>
    <w:multiLevelType w:val="hybridMultilevel"/>
    <w:tmpl w:val="44E0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214E5"/>
    <w:multiLevelType w:val="hybridMultilevel"/>
    <w:tmpl w:val="B44C6C18"/>
    <w:lvl w:ilvl="0" w:tplc="4E6A8BE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86FC4"/>
    <w:multiLevelType w:val="hybridMultilevel"/>
    <w:tmpl w:val="D1CC02B2"/>
    <w:lvl w:ilvl="0" w:tplc="F3C20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D65E2"/>
    <w:multiLevelType w:val="hybridMultilevel"/>
    <w:tmpl w:val="4C1410A0"/>
    <w:lvl w:ilvl="0" w:tplc="A232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35276A24"/>
    <w:multiLevelType w:val="hybridMultilevel"/>
    <w:tmpl w:val="F45E55E8"/>
    <w:lvl w:ilvl="0" w:tplc="2B8E67B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DF80C7A"/>
    <w:multiLevelType w:val="hybridMultilevel"/>
    <w:tmpl w:val="8F38C374"/>
    <w:lvl w:ilvl="0" w:tplc="F260C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76DAD"/>
    <w:multiLevelType w:val="hybridMultilevel"/>
    <w:tmpl w:val="8B34EDD4"/>
    <w:lvl w:ilvl="0" w:tplc="10607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B5DA1"/>
    <w:multiLevelType w:val="hybridMultilevel"/>
    <w:tmpl w:val="170C6562"/>
    <w:lvl w:ilvl="0" w:tplc="3EF0F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C5002"/>
    <w:multiLevelType w:val="hybridMultilevel"/>
    <w:tmpl w:val="412A5C26"/>
    <w:lvl w:ilvl="0" w:tplc="FFEA4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2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1" w15:restartNumberingAfterBreak="0">
    <w:nsid w:val="74650B81"/>
    <w:multiLevelType w:val="hybridMultilevel"/>
    <w:tmpl w:val="92429A66"/>
    <w:lvl w:ilvl="0" w:tplc="11787CEA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2" w15:restartNumberingAfterBreak="0">
    <w:nsid w:val="750C0E24"/>
    <w:multiLevelType w:val="hybridMultilevel"/>
    <w:tmpl w:val="C8D416BE"/>
    <w:lvl w:ilvl="0" w:tplc="8D847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7"/>
  </w:num>
  <w:num w:numId="7">
    <w:abstractNumId w:val="19"/>
  </w:num>
  <w:num w:numId="8">
    <w:abstractNumId w:val="18"/>
  </w:num>
  <w:num w:numId="9">
    <w:abstractNumId w:val="14"/>
  </w:num>
  <w:num w:numId="10">
    <w:abstractNumId w:val="12"/>
  </w:num>
  <w:num w:numId="11">
    <w:abstractNumId w:val="6"/>
  </w:num>
  <w:num w:numId="12">
    <w:abstractNumId w:val="10"/>
  </w:num>
  <w:num w:numId="13">
    <w:abstractNumId w:val="22"/>
  </w:num>
  <w:num w:numId="14">
    <w:abstractNumId w:val="16"/>
  </w:num>
  <w:num w:numId="15">
    <w:abstractNumId w:val="15"/>
  </w:num>
  <w:num w:numId="16">
    <w:abstractNumId w:val="21"/>
  </w:num>
  <w:num w:numId="17">
    <w:abstractNumId w:val="13"/>
  </w:num>
  <w:num w:numId="18">
    <w:abstractNumId w:val="9"/>
  </w:num>
  <w:num w:numId="19">
    <w:abstractNumId w:val="5"/>
  </w:num>
  <w:num w:numId="20">
    <w:abstractNumId w:val="8"/>
  </w:num>
  <w:num w:numId="21">
    <w:abstractNumId w:val="1"/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A0"/>
    <w:rsid w:val="000005BB"/>
    <w:rsid w:val="00003BE4"/>
    <w:rsid w:val="00012B32"/>
    <w:rsid w:val="000131BF"/>
    <w:rsid w:val="0001657F"/>
    <w:rsid w:val="0002050A"/>
    <w:rsid w:val="0002118E"/>
    <w:rsid w:val="0002119F"/>
    <w:rsid w:val="00021F9A"/>
    <w:rsid w:val="000221D3"/>
    <w:rsid w:val="000257D5"/>
    <w:rsid w:val="0002644D"/>
    <w:rsid w:val="000264BF"/>
    <w:rsid w:val="000313CF"/>
    <w:rsid w:val="000332DA"/>
    <w:rsid w:val="0003502B"/>
    <w:rsid w:val="00035706"/>
    <w:rsid w:val="00035F12"/>
    <w:rsid w:val="0004173B"/>
    <w:rsid w:val="000427E2"/>
    <w:rsid w:val="000427FC"/>
    <w:rsid w:val="00045CBA"/>
    <w:rsid w:val="0005017A"/>
    <w:rsid w:val="00054B17"/>
    <w:rsid w:val="00055B54"/>
    <w:rsid w:val="00055BAB"/>
    <w:rsid w:val="00057B4E"/>
    <w:rsid w:val="00060ED9"/>
    <w:rsid w:val="000656AA"/>
    <w:rsid w:val="00066981"/>
    <w:rsid w:val="00067CB2"/>
    <w:rsid w:val="00071304"/>
    <w:rsid w:val="00071F37"/>
    <w:rsid w:val="00073642"/>
    <w:rsid w:val="00073AC7"/>
    <w:rsid w:val="00074704"/>
    <w:rsid w:val="00076F07"/>
    <w:rsid w:val="00081872"/>
    <w:rsid w:val="00081D53"/>
    <w:rsid w:val="000824DE"/>
    <w:rsid w:val="00083865"/>
    <w:rsid w:val="00086547"/>
    <w:rsid w:val="00095C98"/>
    <w:rsid w:val="000A188D"/>
    <w:rsid w:val="000A3D00"/>
    <w:rsid w:val="000A52EB"/>
    <w:rsid w:val="000A7A9A"/>
    <w:rsid w:val="000B62D7"/>
    <w:rsid w:val="000C17B3"/>
    <w:rsid w:val="000C2153"/>
    <w:rsid w:val="000C3942"/>
    <w:rsid w:val="000C5E2A"/>
    <w:rsid w:val="000C6CBB"/>
    <w:rsid w:val="000D1511"/>
    <w:rsid w:val="000D683E"/>
    <w:rsid w:val="000E0C0A"/>
    <w:rsid w:val="000E2C3E"/>
    <w:rsid w:val="000E7DAD"/>
    <w:rsid w:val="000F11E6"/>
    <w:rsid w:val="00101548"/>
    <w:rsid w:val="001023B4"/>
    <w:rsid w:val="00104985"/>
    <w:rsid w:val="001051B8"/>
    <w:rsid w:val="0010551F"/>
    <w:rsid w:val="00105F12"/>
    <w:rsid w:val="00110E17"/>
    <w:rsid w:val="00113085"/>
    <w:rsid w:val="0011347B"/>
    <w:rsid w:val="0011407F"/>
    <w:rsid w:val="00120C7D"/>
    <w:rsid w:val="00123C56"/>
    <w:rsid w:val="001277CD"/>
    <w:rsid w:val="00127CF6"/>
    <w:rsid w:val="001306BC"/>
    <w:rsid w:val="00131306"/>
    <w:rsid w:val="001321FD"/>
    <w:rsid w:val="001361D9"/>
    <w:rsid w:val="00136CE0"/>
    <w:rsid w:val="00136ECF"/>
    <w:rsid w:val="00137239"/>
    <w:rsid w:val="0013724F"/>
    <w:rsid w:val="00140ECF"/>
    <w:rsid w:val="001456F8"/>
    <w:rsid w:val="00147B13"/>
    <w:rsid w:val="00147C75"/>
    <w:rsid w:val="001517FA"/>
    <w:rsid w:val="001538E7"/>
    <w:rsid w:val="00153DAA"/>
    <w:rsid w:val="001557E3"/>
    <w:rsid w:val="0015686C"/>
    <w:rsid w:val="001601C9"/>
    <w:rsid w:val="001603A4"/>
    <w:rsid w:val="00162984"/>
    <w:rsid w:val="00164C8C"/>
    <w:rsid w:val="00164E97"/>
    <w:rsid w:val="001678C1"/>
    <w:rsid w:val="001718B1"/>
    <w:rsid w:val="00174A87"/>
    <w:rsid w:val="0017649B"/>
    <w:rsid w:val="001812E1"/>
    <w:rsid w:val="00181DA3"/>
    <w:rsid w:val="00184D07"/>
    <w:rsid w:val="001867F0"/>
    <w:rsid w:val="00193F9A"/>
    <w:rsid w:val="00194913"/>
    <w:rsid w:val="001956DE"/>
    <w:rsid w:val="001957C3"/>
    <w:rsid w:val="00196754"/>
    <w:rsid w:val="00197A7D"/>
    <w:rsid w:val="00197C47"/>
    <w:rsid w:val="001A1C4F"/>
    <w:rsid w:val="001A227B"/>
    <w:rsid w:val="001A7768"/>
    <w:rsid w:val="001A7B62"/>
    <w:rsid w:val="001C008E"/>
    <w:rsid w:val="001C0AFF"/>
    <w:rsid w:val="001C3DB7"/>
    <w:rsid w:val="001C461C"/>
    <w:rsid w:val="001C73AE"/>
    <w:rsid w:val="001D1C4A"/>
    <w:rsid w:val="001E1B48"/>
    <w:rsid w:val="001E2526"/>
    <w:rsid w:val="001E2609"/>
    <w:rsid w:val="001F0975"/>
    <w:rsid w:val="001F29DB"/>
    <w:rsid w:val="001F4A1C"/>
    <w:rsid w:val="001F6D26"/>
    <w:rsid w:val="001F7A63"/>
    <w:rsid w:val="00200044"/>
    <w:rsid w:val="002011B9"/>
    <w:rsid w:val="00201C7A"/>
    <w:rsid w:val="00203289"/>
    <w:rsid w:val="002038C3"/>
    <w:rsid w:val="00203A90"/>
    <w:rsid w:val="0020470D"/>
    <w:rsid w:val="00205D65"/>
    <w:rsid w:val="002060F4"/>
    <w:rsid w:val="002126C2"/>
    <w:rsid w:val="002140F2"/>
    <w:rsid w:val="0021540D"/>
    <w:rsid w:val="00216370"/>
    <w:rsid w:val="002163FD"/>
    <w:rsid w:val="00216EB5"/>
    <w:rsid w:val="00217ED6"/>
    <w:rsid w:val="00221761"/>
    <w:rsid w:val="00224EF6"/>
    <w:rsid w:val="00224F72"/>
    <w:rsid w:val="00226AAB"/>
    <w:rsid w:val="002274ED"/>
    <w:rsid w:val="0023050B"/>
    <w:rsid w:val="00230579"/>
    <w:rsid w:val="00230EF5"/>
    <w:rsid w:val="00230FBE"/>
    <w:rsid w:val="002343AC"/>
    <w:rsid w:val="00235C24"/>
    <w:rsid w:val="00240D9B"/>
    <w:rsid w:val="00241C90"/>
    <w:rsid w:val="00247498"/>
    <w:rsid w:val="002513A4"/>
    <w:rsid w:val="002518F7"/>
    <w:rsid w:val="00254219"/>
    <w:rsid w:val="0025580A"/>
    <w:rsid w:val="0025601B"/>
    <w:rsid w:val="0025780B"/>
    <w:rsid w:val="00257A70"/>
    <w:rsid w:val="00261355"/>
    <w:rsid w:val="00261A6D"/>
    <w:rsid w:val="00271672"/>
    <w:rsid w:val="00273615"/>
    <w:rsid w:val="00273BE1"/>
    <w:rsid w:val="00277D49"/>
    <w:rsid w:val="00281B0C"/>
    <w:rsid w:val="0028252A"/>
    <w:rsid w:val="00282C6F"/>
    <w:rsid w:val="00285074"/>
    <w:rsid w:val="00285781"/>
    <w:rsid w:val="00285A6B"/>
    <w:rsid w:val="00286D24"/>
    <w:rsid w:val="00290A9B"/>
    <w:rsid w:val="0029127E"/>
    <w:rsid w:val="0029310D"/>
    <w:rsid w:val="00297E1C"/>
    <w:rsid w:val="002A1337"/>
    <w:rsid w:val="002A1536"/>
    <w:rsid w:val="002A6EAD"/>
    <w:rsid w:val="002B420C"/>
    <w:rsid w:val="002B5395"/>
    <w:rsid w:val="002C17FF"/>
    <w:rsid w:val="002C4652"/>
    <w:rsid w:val="002C48F3"/>
    <w:rsid w:val="002C4A4E"/>
    <w:rsid w:val="002C7AE7"/>
    <w:rsid w:val="002D06D9"/>
    <w:rsid w:val="002D238F"/>
    <w:rsid w:val="002D4815"/>
    <w:rsid w:val="002D4BA7"/>
    <w:rsid w:val="002D6B81"/>
    <w:rsid w:val="002E071A"/>
    <w:rsid w:val="002E09DE"/>
    <w:rsid w:val="002E19ED"/>
    <w:rsid w:val="002E1E45"/>
    <w:rsid w:val="002E4BC6"/>
    <w:rsid w:val="002E51BD"/>
    <w:rsid w:val="002F1812"/>
    <w:rsid w:val="002F444A"/>
    <w:rsid w:val="002F4A1D"/>
    <w:rsid w:val="002F6F7A"/>
    <w:rsid w:val="002F7973"/>
    <w:rsid w:val="002F7F70"/>
    <w:rsid w:val="003035B8"/>
    <w:rsid w:val="00305B59"/>
    <w:rsid w:val="0030687B"/>
    <w:rsid w:val="00306885"/>
    <w:rsid w:val="00306913"/>
    <w:rsid w:val="00306CD0"/>
    <w:rsid w:val="00310D59"/>
    <w:rsid w:val="00314E6B"/>
    <w:rsid w:val="0031748D"/>
    <w:rsid w:val="00320EDF"/>
    <w:rsid w:val="00320FBF"/>
    <w:rsid w:val="0032303E"/>
    <w:rsid w:val="00324287"/>
    <w:rsid w:val="00324F15"/>
    <w:rsid w:val="0032561D"/>
    <w:rsid w:val="00325E9D"/>
    <w:rsid w:val="00330DB1"/>
    <w:rsid w:val="003324D6"/>
    <w:rsid w:val="00334ABB"/>
    <w:rsid w:val="00337239"/>
    <w:rsid w:val="00337618"/>
    <w:rsid w:val="00337DDF"/>
    <w:rsid w:val="003428AB"/>
    <w:rsid w:val="0034350C"/>
    <w:rsid w:val="00343DB3"/>
    <w:rsid w:val="0034683D"/>
    <w:rsid w:val="0034750E"/>
    <w:rsid w:val="00350EC3"/>
    <w:rsid w:val="00353D01"/>
    <w:rsid w:val="00354131"/>
    <w:rsid w:val="00354B17"/>
    <w:rsid w:val="00360CBA"/>
    <w:rsid w:val="00362760"/>
    <w:rsid w:val="00363CF0"/>
    <w:rsid w:val="003676FB"/>
    <w:rsid w:val="003732C9"/>
    <w:rsid w:val="00376A22"/>
    <w:rsid w:val="00381952"/>
    <w:rsid w:val="003822EE"/>
    <w:rsid w:val="00384C8F"/>
    <w:rsid w:val="00384D2F"/>
    <w:rsid w:val="00385BF4"/>
    <w:rsid w:val="00386AB7"/>
    <w:rsid w:val="00387149"/>
    <w:rsid w:val="00390535"/>
    <w:rsid w:val="00391C42"/>
    <w:rsid w:val="00392038"/>
    <w:rsid w:val="0039399F"/>
    <w:rsid w:val="003A0009"/>
    <w:rsid w:val="003A08B3"/>
    <w:rsid w:val="003A15CD"/>
    <w:rsid w:val="003A15CE"/>
    <w:rsid w:val="003A267E"/>
    <w:rsid w:val="003A471C"/>
    <w:rsid w:val="003A4932"/>
    <w:rsid w:val="003A5BA8"/>
    <w:rsid w:val="003A7BF1"/>
    <w:rsid w:val="003B3A03"/>
    <w:rsid w:val="003B50B4"/>
    <w:rsid w:val="003B5322"/>
    <w:rsid w:val="003C1727"/>
    <w:rsid w:val="003C3381"/>
    <w:rsid w:val="003C5597"/>
    <w:rsid w:val="003C7CF1"/>
    <w:rsid w:val="003D1652"/>
    <w:rsid w:val="003D273B"/>
    <w:rsid w:val="003D3B0C"/>
    <w:rsid w:val="003D4CB4"/>
    <w:rsid w:val="003D73E5"/>
    <w:rsid w:val="003D7FDC"/>
    <w:rsid w:val="003E4D3F"/>
    <w:rsid w:val="003E5706"/>
    <w:rsid w:val="003E635D"/>
    <w:rsid w:val="003E7556"/>
    <w:rsid w:val="003E78FC"/>
    <w:rsid w:val="003F2797"/>
    <w:rsid w:val="003F4B94"/>
    <w:rsid w:val="003F5DF5"/>
    <w:rsid w:val="003F798B"/>
    <w:rsid w:val="00400135"/>
    <w:rsid w:val="0040056A"/>
    <w:rsid w:val="00401692"/>
    <w:rsid w:val="00405115"/>
    <w:rsid w:val="00406DA3"/>
    <w:rsid w:val="004073E2"/>
    <w:rsid w:val="004079A5"/>
    <w:rsid w:val="00410549"/>
    <w:rsid w:val="00412F3D"/>
    <w:rsid w:val="00413519"/>
    <w:rsid w:val="00415020"/>
    <w:rsid w:val="00415025"/>
    <w:rsid w:val="0041507C"/>
    <w:rsid w:val="00416A05"/>
    <w:rsid w:val="00417F81"/>
    <w:rsid w:val="00420D32"/>
    <w:rsid w:val="00422C13"/>
    <w:rsid w:val="004232C7"/>
    <w:rsid w:val="00424057"/>
    <w:rsid w:val="00430B67"/>
    <w:rsid w:val="004312BE"/>
    <w:rsid w:val="00431925"/>
    <w:rsid w:val="004331D9"/>
    <w:rsid w:val="00440546"/>
    <w:rsid w:val="00441187"/>
    <w:rsid w:val="00443E02"/>
    <w:rsid w:val="00446033"/>
    <w:rsid w:val="00447D4A"/>
    <w:rsid w:val="004501C4"/>
    <w:rsid w:val="00450325"/>
    <w:rsid w:val="004505AF"/>
    <w:rsid w:val="0045193D"/>
    <w:rsid w:val="0045306E"/>
    <w:rsid w:val="004533AF"/>
    <w:rsid w:val="00453596"/>
    <w:rsid w:val="004564C5"/>
    <w:rsid w:val="00456C86"/>
    <w:rsid w:val="00462287"/>
    <w:rsid w:val="00463584"/>
    <w:rsid w:val="00467377"/>
    <w:rsid w:val="004713B2"/>
    <w:rsid w:val="004717E5"/>
    <w:rsid w:val="00471DC4"/>
    <w:rsid w:val="00472C77"/>
    <w:rsid w:val="0047305D"/>
    <w:rsid w:val="00473FAB"/>
    <w:rsid w:val="00474501"/>
    <w:rsid w:val="004772E2"/>
    <w:rsid w:val="0047734A"/>
    <w:rsid w:val="0047735D"/>
    <w:rsid w:val="004777DC"/>
    <w:rsid w:val="00480977"/>
    <w:rsid w:val="004818E4"/>
    <w:rsid w:val="00481E9F"/>
    <w:rsid w:val="0048231B"/>
    <w:rsid w:val="00483D62"/>
    <w:rsid w:val="00485EA9"/>
    <w:rsid w:val="00486A15"/>
    <w:rsid w:val="00490525"/>
    <w:rsid w:val="0049279D"/>
    <w:rsid w:val="00492ABB"/>
    <w:rsid w:val="00494FEE"/>
    <w:rsid w:val="004A2645"/>
    <w:rsid w:val="004A26E9"/>
    <w:rsid w:val="004A3C0C"/>
    <w:rsid w:val="004A4901"/>
    <w:rsid w:val="004B2215"/>
    <w:rsid w:val="004B2600"/>
    <w:rsid w:val="004B4673"/>
    <w:rsid w:val="004C0507"/>
    <w:rsid w:val="004C2832"/>
    <w:rsid w:val="004C4533"/>
    <w:rsid w:val="004C52A0"/>
    <w:rsid w:val="004C7A45"/>
    <w:rsid w:val="004D0A8B"/>
    <w:rsid w:val="004D4443"/>
    <w:rsid w:val="004D5007"/>
    <w:rsid w:val="004E10CB"/>
    <w:rsid w:val="004E1FA0"/>
    <w:rsid w:val="004E2334"/>
    <w:rsid w:val="004E242F"/>
    <w:rsid w:val="004E3782"/>
    <w:rsid w:val="004E3FF7"/>
    <w:rsid w:val="004E56FB"/>
    <w:rsid w:val="004E6A9D"/>
    <w:rsid w:val="004E71C4"/>
    <w:rsid w:val="004E75FD"/>
    <w:rsid w:val="004F3EB7"/>
    <w:rsid w:val="004F40FB"/>
    <w:rsid w:val="004F6FFC"/>
    <w:rsid w:val="00500224"/>
    <w:rsid w:val="00500B2A"/>
    <w:rsid w:val="00501F7F"/>
    <w:rsid w:val="00505582"/>
    <w:rsid w:val="00505BB5"/>
    <w:rsid w:val="005100F6"/>
    <w:rsid w:val="0051243E"/>
    <w:rsid w:val="005134BC"/>
    <w:rsid w:val="00514B79"/>
    <w:rsid w:val="00517FF6"/>
    <w:rsid w:val="00520718"/>
    <w:rsid w:val="00520DDA"/>
    <w:rsid w:val="005228CD"/>
    <w:rsid w:val="00523CB6"/>
    <w:rsid w:val="0053016B"/>
    <w:rsid w:val="005314E2"/>
    <w:rsid w:val="00532237"/>
    <w:rsid w:val="005334EF"/>
    <w:rsid w:val="0053383D"/>
    <w:rsid w:val="0053469F"/>
    <w:rsid w:val="005364E4"/>
    <w:rsid w:val="005365E0"/>
    <w:rsid w:val="00540D52"/>
    <w:rsid w:val="005416F3"/>
    <w:rsid w:val="00541E23"/>
    <w:rsid w:val="00542058"/>
    <w:rsid w:val="00543ECF"/>
    <w:rsid w:val="005455B7"/>
    <w:rsid w:val="00545BFA"/>
    <w:rsid w:val="0054634A"/>
    <w:rsid w:val="0054778A"/>
    <w:rsid w:val="00550D10"/>
    <w:rsid w:val="00554720"/>
    <w:rsid w:val="00554EC1"/>
    <w:rsid w:val="00556A77"/>
    <w:rsid w:val="005575DE"/>
    <w:rsid w:val="005612A7"/>
    <w:rsid w:val="005615D9"/>
    <w:rsid w:val="005628EE"/>
    <w:rsid w:val="00565980"/>
    <w:rsid w:val="00566612"/>
    <w:rsid w:val="0057006B"/>
    <w:rsid w:val="005707CB"/>
    <w:rsid w:val="0057347A"/>
    <w:rsid w:val="0057732C"/>
    <w:rsid w:val="005809F7"/>
    <w:rsid w:val="00581279"/>
    <w:rsid w:val="00583827"/>
    <w:rsid w:val="00583D03"/>
    <w:rsid w:val="005842D1"/>
    <w:rsid w:val="00584519"/>
    <w:rsid w:val="00585303"/>
    <w:rsid w:val="005855B9"/>
    <w:rsid w:val="005856D9"/>
    <w:rsid w:val="005863CE"/>
    <w:rsid w:val="0058668E"/>
    <w:rsid w:val="00590D62"/>
    <w:rsid w:val="00590F34"/>
    <w:rsid w:val="00594349"/>
    <w:rsid w:val="00594A59"/>
    <w:rsid w:val="00596EF4"/>
    <w:rsid w:val="005973B4"/>
    <w:rsid w:val="005B0C57"/>
    <w:rsid w:val="005C01F5"/>
    <w:rsid w:val="005C035D"/>
    <w:rsid w:val="005C281B"/>
    <w:rsid w:val="005D137C"/>
    <w:rsid w:val="005D1D24"/>
    <w:rsid w:val="005D51EB"/>
    <w:rsid w:val="005E126D"/>
    <w:rsid w:val="005E136C"/>
    <w:rsid w:val="005E1C54"/>
    <w:rsid w:val="005E1F36"/>
    <w:rsid w:val="005E386B"/>
    <w:rsid w:val="005E3CD8"/>
    <w:rsid w:val="005E6838"/>
    <w:rsid w:val="005F06BD"/>
    <w:rsid w:val="005F2FD4"/>
    <w:rsid w:val="005F39C9"/>
    <w:rsid w:val="005F62F0"/>
    <w:rsid w:val="005F63FA"/>
    <w:rsid w:val="005F692F"/>
    <w:rsid w:val="005F71C3"/>
    <w:rsid w:val="006020AD"/>
    <w:rsid w:val="00604ED1"/>
    <w:rsid w:val="00606E22"/>
    <w:rsid w:val="00607BE9"/>
    <w:rsid w:val="00610F2D"/>
    <w:rsid w:val="00611D8F"/>
    <w:rsid w:val="006134BE"/>
    <w:rsid w:val="00614528"/>
    <w:rsid w:val="00614ACC"/>
    <w:rsid w:val="006206BF"/>
    <w:rsid w:val="00620B70"/>
    <w:rsid w:val="00621743"/>
    <w:rsid w:val="00624C7C"/>
    <w:rsid w:val="00631430"/>
    <w:rsid w:val="006316F0"/>
    <w:rsid w:val="00631FE2"/>
    <w:rsid w:val="00633E0A"/>
    <w:rsid w:val="00636A34"/>
    <w:rsid w:val="006440B5"/>
    <w:rsid w:val="0064457F"/>
    <w:rsid w:val="00645E11"/>
    <w:rsid w:val="00650175"/>
    <w:rsid w:val="0065037A"/>
    <w:rsid w:val="006510BC"/>
    <w:rsid w:val="00651150"/>
    <w:rsid w:val="006516CA"/>
    <w:rsid w:val="00653516"/>
    <w:rsid w:val="00655992"/>
    <w:rsid w:val="00655B22"/>
    <w:rsid w:val="00656E1C"/>
    <w:rsid w:val="006575F6"/>
    <w:rsid w:val="00660036"/>
    <w:rsid w:val="0066046C"/>
    <w:rsid w:val="006604AE"/>
    <w:rsid w:val="0066531F"/>
    <w:rsid w:val="00665330"/>
    <w:rsid w:val="00665E04"/>
    <w:rsid w:val="00665FDB"/>
    <w:rsid w:val="00667D32"/>
    <w:rsid w:val="006728A0"/>
    <w:rsid w:val="00674D09"/>
    <w:rsid w:val="006756C2"/>
    <w:rsid w:val="006757DF"/>
    <w:rsid w:val="0067610E"/>
    <w:rsid w:val="006833E5"/>
    <w:rsid w:val="00684409"/>
    <w:rsid w:val="006852D2"/>
    <w:rsid w:val="0069024A"/>
    <w:rsid w:val="00691CC4"/>
    <w:rsid w:val="00691D09"/>
    <w:rsid w:val="0069462D"/>
    <w:rsid w:val="00694699"/>
    <w:rsid w:val="006A0EB7"/>
    <w:rsid w:val="006A205F"/>
    <w:rsid w:val="006A4CF6"/>
    <w:rsid w:val="006A52B5"/>
    <w:rsid w:val="006A6401"/>
    <w:rsid w:val="006A6B78"/>
    <w:rsid w:val="006B0DD7"/>
    <w:rsid w:val="006B1D22"/>
    <w:rsid w:val="006B3039"/>
    <w:rsid w:val="006B3ED6"/>
    <w:rsid w:val="006C036D"/>
    <w:rsid w:val="006C191A"/>
    <w:rsid w:val="006C2D55"/>
    <w:rsid w:val="006C7C02"/>
    <w:rsid w:val="006D25A7"/>
    <w:rsid w:val="006D33F5"/>
    <w:rsid w:val="006D552D"/>
    <w:rsid w:val="006D77E3"/>
    <w:rsid w:val="006D7861"/>
    <w:rsid w:val="006D7C3F"/>
    <w:rsid w:val="006E1B33"/>
    <w:rsid w:val="006E3B40"/>
    <w:rsid w:val="006E470E"/>
    <w:rsid w:val="006E4BFB"/>
    <w:rsid w:val="006E4F8B"/>
    <w:rsid w:val="006F0B8C"/>
    <w:rsid w:val="006F19D3"/>
    <w:rsid w:val="006F39BF"/>
    <w:rsid w:val="006F621E"/>
    <w:rsid w:val="00700557"/>
    <w:rsid w:val="00704D44"/>
    <w:rsid w:val="00704D92"/>
    <w:rsid w:val="00704F7E"/>
    <w:rsid w:val="007071F1"/>
    <w:rsid w:val="007079AF"/>
    <w:rsid w:val="0071002E"/>
    <w:rsid w:val="00710455"/>
    <w:rsid w:val="00710513"/>
    <w:rsid w:val="00711112"/>
    <w:rsid w:val="00711B69"/>
    <w:rsid w:val="00711DE1"/>
    <w:rsid w:val="00711EE6"/>
    <w:rsid w:val="00714F53"/>
    <w:rsid w:val="007154D4"/>
    <w:rsid w:val="00715B91"/>
    <w:rsid w:val="007203EB"/>
    <w:rsid w:val="00723558"/>
    <w:rsid w:val="00726D9F"/>
    <w:rsid w:val="00727837"/>
    <w:rsid w:val="00727C33"/>
    <w:rsid w:val="00727F58"/>
    <w:rsid w:val="00730C43"/>
    <w:rsid w:val="00731B15"/>
    <w:rsid w:val="00735E2C"/>
    <w:rsid w:val="007365C3"/>
    <w:rsid w:val="0074044F"/>
    <w:rsid w:val="007404B8"/>
    <w:rsid w:val="00742E7B"/>
    <w:rsid w:val="007440B0"/>
    <w:rsid w:val="00744D2D"/>
    <w:rsid w:val="00746B46"/>
    <w:rsid w:val="007474B1"/>
    <w:rsid w:val="00747D99"/>
    <w:rsid w:val="007511A6"/>
    <w:rsid w:val="00751F55"/>
    <w:rsid w:val="00754CE6"/>
    <w:rsid w:val="0075710D"/>
    <w:rsid w:val="0076133A"/>
    <w:rsid w:val="007632DC"/>
    <w:rsid w:val="007657D0"/>
    <w:rsid w:val="007703BA"/>
    <w:rsid w:val="007724B1"/>
    <w:rsid w:val="00772878"/>
    <w:rsid w:val="007809C3"/>
    <w:rsid w:val="00780F93"/>
    <w:rsid w:val="00782704"/>
    <w:rsid w:val="0078459D"/>
    <w:rsid w:val="00785398"/>
    <w:rsid w:val="00785CFC"/>
    <w:rsid w:val="007911C1"/>
    <w:rsid w:val="00791AAF"/>
    <w:rsid w:val="00794943"/>
    <w:rsid w:val="007A0688"/>
    <w:rsid w:val="007A090F"/>
    <w:rsid w:val="007A1E51"/>
    <w:rsid w:val="007A4FA2"/>
    <w:rsid w:val="007B12A7"/>
    <w:rsid w:val="007B3D3A"/>
    <w:rsid w:val="007B466C"/>
    <w:rsid w:val="007B545E"/>
    <w:rsid w:val="007B5757"/>
    <w:rsid w:val="007B5816"/>
    <w:rsid w:val="007B6235"/>
    <w:rsid w:val="007C01F9"/>
    <w:rsid w:val="007C464C"/>
    <w:rsid w:val="007C5981"/>
    <w:rsid w:val="007C6DF3"/>
    <w:rsid w:val="007D0600"/>
    <w:rsid w:val="007D0808"/>
    <w:rsid w:val="007D33E5"/>
    <w:rsid w:val="007D482F"/>
    <w:rsid w:val="007E13BE"/>
    <w:rsid w:val="007E1E8E"/>
    <w:rsid w:val="007E28A7"/>
    <w:rsid w:val="007E6F73"/>
    <w:rsid w:val="007F185C"/>
    <w:rsid w:val="007F296C"/>
    <w:rsid w:val="007F383D"/>
    <w:rsid w:val="007F617B"/>
    <w:rsid w:val="007F6F5C"/>
    <w:rsid w:val="00800658"/>
    <w:rsid w:val="00801379"/>
    <w:rsid w:val="00806C30"/>
    <w:rsid w:val="00810309"/>
    <w:rsid w:val="008150DA"/>
    <w:rsid w:val="00816776"/>
    <w:rsid w:val="00817374"/>
    <w:rsid w:val="0082041A"/>
    <w:rsid w:val="00823906"/>
    <w:rsid w:val="008265C1"/>
    <w:rsid w:val="0082774C"/>
    <w:rsid w:val="00830E10"/>
    <w:rsid w:val="00832584"/>
    <w:rsid w:val="0084056D"/>
    <w:rsid w:val="00840DC2"/>
    <w:rsid w:val="0084280E"/>
    <w:rsid w:val="00843C51"/>
    <w:rsid w:val="00844EED"/>
    <w:rsid w:val="00845C63"/>
    <w:rsid w:val="008463A9"/>
    <w:rsid w:val="0085590E"/>
    <w:rsid w:val="00855EF9"/>
    <w:rsid w:val="0085794F"/>
    <w:rsid w:val="008620B4"/>
    <w:rsid w:val="00862C65"/>
    <w:rsid w:val="0086364F"/>
    <w:rsid w:val="00863977"/>
    <w:rsid w:val="008640E2"/>
    <w:rsid w:val="00866EEB"/>
    <w:rsid w:val="00867989"/>
    <w:rsid w:val="00867E26"/>
    <w:rsid w:val="00870F63"/>
    <w:rsid w:val="00872EA6"/>
    <w:rsid w:val="00874F4B"/>
    <w:rsid w:val="00875791"/>
    <w:rsid w:val="00875AB7"/>
    <w:rsid w:val="008762AC"/>
    <w:rsid w:val="0087646B"/>
    <w:rsid w:val="0087748E"/>
    <w:rsid w:val="00877B5D"/>
    <w:rsid w:val="00881110"/>
    <w:rsid w:val="008836E6"/>
    <w:rsid w:val="00883E76"/>
    <w:rsid w:val="008847A8"/>
    <w:rsid w:val="008864F6"/>
    <w:rsid w:val="0088662B"/>
    <w:rsid w:val="00890130"/>
    <w:rsid w:val="008911CD"/>
    <w:rsid w:val="00896235"/>
    <w:rsid w:val="00897887"/>
    <w:rsid w:val="008A0F72"/>
    <w:rsid w:val="008A2CB2"/>
    <w:rsid w:val="008A4931"/>
    <w:rsid w:val="008B0063"/>
    <w:rsid w:val="008B0BB8"/>
    <w:rsid w:val="008B1405"/>
    <w:rsid w:val="008B1486"/>
    <w:rsid w:val="008B1BFA"/>
    <w:rsid w:val="008B1F6D"/>
    <w:rsid w:val="008B2195"/>
    <w:rsid w:val="008B36AF"/>
    <w:rsid w:val="008B3B56"/>
    <w:rsid w:val="008B6F51"/>
    <w:rsid w:val="008C0C3C"/>
    <w:rsid w:val="008C2DA6"/>
    <w:rsid w:val="008C2F38"/>
    <w:rsid w:val="008C362F"/>
    <w:rsid w:val="008C4528"/>
    <w:rsid w:val="008D0F50"/>
    <w:rsid w:val="008D10A4"/>
    <w:rsid w:val="008D3E95"/>
    <w:rsid w:val="008D473E"/>
    <w:rsid w:val="008D5C26"/>
    <w:rsid w:val="008D664F"/>
    <w:rsid w:val="008D7FCD"/>
    <w:rsid w:val="008E105D"/>
    <w:rsid w:val="008E12FB"/>
    <w:rsid w:val="008E13F9"/>
    <w:rsid w:val="008E1E70"/>
    <w:rsid w:val="008E4D2B"/>
    <w:rsid w:val="008E6AD1"/>
    <w:rsid w:val="008E790B"/>
    <w:rsid w:val="008F035B"/>
    <w:rsid w:val="008F0C38"/>
    <w:rsid w:val="008F221F"/>
    <w:rsid w:val="008F3CD0"/>
    <w:rsid w:val="008F5F7D"/>
    <w:rsid w:val="008F7853"/>
    <w:rsid w:val="008F7942"/>
    <w:rsid w:val="009001CF"/>
    <w:rsid w:val="0090451F"/>
    <w:rsid w:val="009071CC"/>
    <w:rsid w:val="00910888"/>
    <w:rsid w:val="009145C9"/>
    <w:rsid w:val="00921A63"/>
    <w:rsid w:val="00927F4B"/>
    <w:rsid w:val="00931E03"/>
    <w:rsid w:val="00933C6C"/>
    <w:rsid w:val="00935712"/>
    <w:rsid w:val="0094013C"/>
    <w:rsid w:val="00942892"/>
    <w:rsid w:val="009444C9"/>
    <w:rsid w:val="00945DA2"/>
    <w:rsid w:val="00950D4C"/>
    <w:rsid w:val="009517BF"/>
    <w:rsid w:val="009542B3"/>
    <w:rsid w:val="009579DD"/>
    <w:rsid w:val="00960ED4"/>
    <w:rsid w:val="009614D6"/>
    <w:rsid w:val="00961DB6"/>
    <w:rsid w:val="00962B55"/>
    <w:rsid w:val="00966359"/>
    <w:rsid w:val="00966BDE"/>
    <w:rsid w:val="009670DA"/>
    <w:rsid w:val="00967A43"/>
    <w:rsid w:val="00972C5C"/>
    <w:rsid w:val="00973B19"/>
    <w:rsid w:val="009756E9"/>
    <w:rsid w:val="00977B6C"/>
    <w:rsid w:val="00980861"/>
    <w:rsid w:val="00981EEB"/>
    <w:rsid w:val="00982B79"/>
    <w:rsid w:val="0098432D"/>
    <w:rsid w:val="00984F80"/>
    <w:rsid w:val="009861E7"/>
    <w:rsid w:val="009863EA"/>
    <w:rsid w:val="009864FC"/>
    <w:rsid w:val="00987571"/>
    <w:rsid w:val="00991C82"/>
    <w:rsid w:val="009A0EC0"/>
    <w:rsid w:val="009A2F5B"/>
    <w:rsid w:val="009A43B4"/>
    <w:rsid w:val="009A5AB3"/>
    <w:rsid w:val="009A6E26"/>
    <w:rsid w:val="009A77B9"/>
    <w:rsid w:val="009A7E1A"/>
    <w:rsid w:val="009B21F7"/>
    <w:rsid w:val="009B2767"/>
    <w:rsid w:val="009B4F52"/>
    <w:rsid w:val="009B5B35"/>
    <w:rsid w:val="009B6709"/>
    <w:rsid w:val="009B7446"/>
    <w:rsid w:val="009B7A90"/>
    <w:rsid w:val="009C0E31"/>
    <w:rsid w:val="009C58A8"/>
    <w:rsid w:val="009C6FB7"/>
    <w:rsid w:val="009C7FC6"/>
    <w:rsid w:val="009D51D6"/>
    <w:rsid w:val="009D597A"/>
    <w:rsid w:val="009D61DF"/>
    <w:rsid w:val="009E03E3"/>
    <w:rsid w:val="009E172A"/>
    <w:rsid w:val="009E1901"/>
    <w:rsid w:val="009E30C4"/>
    <w:rsid w:val="009E3B0A"/>
    <w:rsid w:val="009E484A"/>
    <w:rsid w:val="009E4C60"/>
    <w:rsid w:val="009E5F70"/>
    <w:rsid w:val="009E6338"/>
    <w:rsid w:val="009E78F5"/>
    <w:rsid w:val="009F0CE1"/>
    <w:rsid w:val="009F2D36"/>
    <w:rsid w:val="009F37F3"/>
    <w:rsid w:val="00A00D74"/>
    <w:rsid w:val="00A01E03"/>
    <w:rsid w:val="00A03CC6"/>
    <w:rsid w:val="00A051E5"/>
    <w:rsid w:val="00A06C02"/>
    <w:rsid w:val="00A0722B"/>
    <w:rsid w:val="00A10A5B"/>
    <w:rsid w:val="00A122F8"/>
    <w:rsid w:val="00A12D01"/>
    <w:rsid w:val="00A141C6"/>
    <w:rsid w:val="00A206CF"/>
    <w:rsid w:val="00A20FC6"/>
    <w:rsid w:val="00A21FD6"/>
    <w:rsid w:val="00A24F27"/>
    <w:rsid w:val="00A25A9D"/>
    <w:rsid w:val="00A25F2E"/>
    <w:rsid w:val="00A27364"/>
    <w:rsid w:val="00A30C09"/>
    <w:rsid w:val="00A31479"/>
    <w:rsid w:val="00A3278E"/>
    <w:rsid w:val="00A34CC2"/>
    <w:rsid w:val="00A359A6"/>
    <w:rsid w:val="00A37D60"/>
    <w:rsid w:val="00A437FE"/>
    <w:rsid w:val="00A45B36"/>
    <w:rsid w:val="00A50219"/>
    <w:rsid w:val="00A50807"/>
    <w:rsid w:val="00A54F7F"/>
    <w:rsid w:val="00A575D4"/>
    <w:rsid w:val="00A600E3"/>
    <w:rsid w:val="00A613A8"/>
    <w:rsid w:val="00A6185A"/>
    <w:rsid w:val="00A63AEF"/>
    <w:rsid w:val="00A65025"/>
    <w:rsid w:val="00A66846"/>
    <w:rsid w:val="00A668AB"/>
    <w:rsid w:val="00A66E91"/>
    <w:rsid w:val="00A701AE"/>
    <w:rsid w:val="00A737D2"/>
    <w:rsid w:val="00A739F8"/>
    <w:rsid w:val="00A755B8"/>
    <w:rsid w:val="00A759F3"/>
    <w:rsid w:val="00A764E4"/>
    <w:rsid w:val="00A80FD3"/>
    <w:rsid w:val="00A82972"/>
    <w:rsid w:val="00A8429B"/>
    <w:rsid w:val="00A92A42"/>
    <w:rsid w:val="00A95D17"/>
    <w:rsid w:val="00A96877"/>
    <w:rsid w:val="00A97112"/>
    <w:rsid w:val="00AA0475"/>
    <w:rsid w:val="00AA0478"/>
    <w:rsid w:val="00AA1334"/>
    <w:rsid w:val="00AA1A48"/>
    <w:rsid w:val="00AA2AC1"/>
    <w:rsid w:val="00AA6517"/>
    <w:rsid w:val="00AB2AA5"/>
    <w:rsid w:val="00AB3373"/>
    <w:rsid w:val="00AB433B"/>
    <w:rsid w:val="00AB4E38"/>
    <w:rsid w:val="00AC2DDC"/>
    <w:rsid w:val="00AC43F2"/>
    <w:rsid w:val="00AC4C4F"/>
    <w:rsid w:val="00AC52F0"/>
    <w:rsid w:val="00AC590D"/>
    <w:rsid w:val="00AC7033"/>
    <w:rsid w:val="00AD4F07"/>
    <w:rsid w:val="00AD5CAE"/>
    <w:rsid w:val="00AE4F59"/>
    <w:rsid w:val="00AF6D1E"/>
    <w:rsid w:val="00AF71BE"/>
    <w:rsid w:val="00AF78E6"/>
    <w:rsid w:val="00B01032"/>
    <w:rsid w:val="00B035E5"/>
    <w:rsid w:val="00B03613"/>
    <w:rsid w:val="00B059A4"/>
    <w:rsid w:val="00B074B3"/>
    <w:rsid w:val="00B13E86"/>
    <w:rsid w:val="00B15FD7"/>
    <w:rsid w:val="00B17291"/>
    <w:rsid w:val="00B22262"/>
    <w:rsid w:val="00B24FFB"/>
    <w:rsid w:val="00B25883"/>
    <w:rsid w:val="00B26D65"/>
    <w:rsid w:val="00B27CFC"/>
    <w:rsid w:val="00B31F75"/>
    <w:rsid w:val="00B32735"/>
    <w:rsid w:val="00B353C8"/>
    <w:rsid w:val="00B3554A"/>
    <w:rsid w:val="00B36BC1"/>
    <w:rsid w:val="00B36F13"/>
    <w:rsid w:val="00B40BC9"/>
    <w:rsid w:val="00B43982"/>
    <w:rsid w:val="00B45F72"/>
    <w:rsid w:val="00B47D7F"/>
    <w:rsid w:val="00B529B1"/>
    <w:rsid w:val="00B56485"/>
    <w:rsid w:val="00B56569"/>
    <w:rsid w:val="00B56855"/>
    <w:rsid w:val="00B57C26"/>
    <w:rsid w:val="00B6359E"/>
    <w:rsid w:val="00B635B8"/>
    <w:rsid w:val="00B636FA"/>
    <w:rsid w:val="00B655A2"/>
    <w:rsid w:val="00B713D3"/>
    <w:rsid w:val="00B73F80"/>
    <w:rsid w:val="00B74B04"/>
    <w:rsid w:val="00B75FF1"/>
    <w:rsid w:val="00B77307"/>
    <w:rsid w:val="00B80259"/>
    <w:rsid w:val="00B813D3"/>
    <w:rsid w:val="00B85D2A"/>
    <w:rsid w:val="00B879EA"/>
    <w:rsid w:val="00B912D1"/>
    <w:rsid w:val="00B94B9D"/>
    <w:rsid w:val="00B94F62"/>
    <w:rsid w:val="00B9681E"/>
    <w:rsid w:val="00B968C4"/>
    <w:rsid w:val="00B97121"/>
    <w:rsid w:val="00B97F6A"/>
    <w:rsid w:val="00B97F74"/>
    <w:rsid w:val="00BA05A9"/>
    <w:rsid w:val="00BA11D9"/>
    <w:rsid w:val="00BA3C69"/>
    <w:rsid w:val="00BA4AF9"/>
    <w:rsid w:val="00BA6FFE"/>
    <w:rsid w:val="00BA74DA"/>
    <w:rsid w:val="00BA7B06"/>
    <w:rsid w:val="00BB5153"/>
    <w:rsid w:val="00BB633D"/>
    <w:rsid w:val="00BB7030"/>
    <w:rsid w:val="00BB708E"/>
    <w:rsid w:val="00BB714C"/>
    <w:rsid w:val="00BB7A55"/>
    <w:rsid w:val="00BC00A7"/>
    <w:rsid w:val="00BC235B"/>
    <w:rsid w:val="00BC49FF"/>
    <w:rsid w:val="00BC5696"/>
    <w:rsid w:val="00BC5D7A"/>
    <w:rsid w:val="00BC68EC"/>
    <w:rsid w:val="00BC7CE2"/>
    <w:rsid w:val="00BD164F"/>
    <w:rsid w:val="00BD1787"/>
    <w:rsid w:val="00BD7E48"/>
    <w:rsid w:val="00BE5708"/>
    <w:rsid w:val="00BE76AE"/>
    <w:rsid w:val="00BF2106"/>
    <w:rsid w:val="00BF35DE"/>
    <w:rsid w:val="00BF3642"/>
    <w:rsid w:val="00BF7358"/>
    <w:rsid w:val="00C00100"/>
    <w:rsid w:val="00C033B7"/>
    <w:rsid w:val="00C04B00"/>
    <w:rsid w:val="00C0529F"/>
    <w:rsid w:val="00C05B60"/>
    <w:rsid w:val="00C116A5"/>
    <w:rsid w:val="00C12DFF"/>
    <w:rsid w:val="00C148C8"/>
    <w:rsid w:val="00C16F2F"/>
    <w:rsid w:val="00C170C5"/>
    <w:rsid w:val="00C1772E"/>
    <w:rsid w:val="00C17CC5"/>
    <w:rsid w:val="00C213D0"/>
    <w:rsid w:val="00C21A94"/>
    <w:rsid w:val="00C2202F"/>
    <w:rsid w:val="00C23F91"/>
    <w:rsid w:val="00C24603"/>
    <w:rsid w:val="00C247E0"/>
    <w:rsid w:val="00C27FC9"/>
    <w:rsid w:val="00C30D2A"/>
    <w:rsid w:val="00C316FC"/>
    <w:rsid w:val="00C31900"/>
    <w:rsid w:val="00C40E78"/>
    <w:rsid w:val="00C418D7"/>
    <w:rsid w:val="00C46298"/>
    <w:rsid w:val="00C47748"/>
    <w:rsid w:val="00C504F2"/>
    <w:rsid w:val="00C50517"/>
    <w:rsid w:val="00C5059B"/>
    <w:rsid w:val="00C546C4"/>
    <w:rsid w:val="00C564AB"/>
    <w:rsid w:val="00C63DDA"/>
    <w:rsid w:val="00C65FA1"/>
    <w:rsid w:val="00C711D4"/>
    <w:rsid w:val="00C7225B"/>
    <w:rsid w:val="00C73D2F"/>
    <w:rsid w:val="00C74C33"/>
    <w:rsid w:val="00C74DBE"/>
    <w:rsid w:val="00C74DD0"/>
    <w:rsid w:val="00C769E1"/>
    <w:rsid w:val="00C775C3"/>
    <w:rsid w:val="00C81088"/>
    <w:rsid w:val="00C82D9E"/>
    <w:rsid w:val="00C90CDF"/>
    <w:rsid w:val="00C91663"/>
    <w:rsid w:val="00C91EDF"/>
    <w:rsid w:val="00C93E87"/>
    <w:rsid w:val="00C95B97"/>
    <w:rsid w:val="00C970A9"/>
    <w:rsid w:val="00CA5187"/>
    <w:rsid w:val="00CA78C1"/>
    <w:rsid w:val="00CB078C"/>
    <w:rsid w:val="00CB28B8"/>
    <w:rsid w:val="00CB4C69"/>
    <w:rsid w:val="00CB60B9"/>
    <w:rsid w:val="00CB6466"/>
    <w:rsid w:val="00CB6A35"/>
    <w:rsid w:val="00CC00FE"/>
    <w:rsid w:val="00CC1D59"/>
    <w:rsid w:val="00CC3D22"/>
    <w:rsid w:val="00CC3FA8"/>
    <w:rsid w:val="00CD0417"/>
    <w:rsid w:val="00CD45C0"/>
    <w:rsid w:val="00CE0802"/>
    <w:rsid w:val="00CE0D6C"/>
    <w:rsid w:val="00CE2093"/>
    <w:rsid w:val="00CE2F21"/>
    <w:rsid w:val="00CE3FA1"/>
    <w:rsid w:val="00CE6C3D"/>
    <w:rsid w:val="00CE78F7"/>
    <w:rsid w:val="00CF006F"/>
    <w:rsid w:val="00CF456F"/>
    <w:rsid w:val="00CF7630"/>
    <w:rsid w:val="00D012DB"/>
    <w:rsid w:val="00D020A5"/>
    <w:rsid w:val="00D021C0"/>
    <w:rsid w:val="00D022A0"/>
    <w:rsid w:val="00D02F14"/>
    <w:rsid w:val="00D038A7"/>
    <w:rsid w:val="00D11778"/>
    <w:rsid w:val="00D12576"/>
    <w:rsid w:val="00D135BB"/>
    <w:rsid w:val="00D17725"/>
    <w:rsid w:val="00D17778"/>
    <w:rsid w:val="00D20CF8"/>
    <w:rsid w:val="00D223BF"/>
    <w:rsid w:val="00D24AF7"/>
    <w:rsid w:val="00D2715F"/>
    <w:rsid w:val="00D27224"/>
    <w:rsid w:val="00D30F2C"/>
    <w:rsid w:val="00D31218"/>
    <w:rsid w:val="00D3255E"/>
    <w:rsid w:val="00D338F0"/>
    <w:rsid w:val="00D346E2"/>
    <w:rsid w:val="00D34D9A"/>
    <w:rsid w:val="00D3706E"/>
    <w:rsid w:val="00D41743"/>
    <w:rsid w:val="00D442EE"/>
    <w:rsid w:val="00D46FAD"/>
    <w:rsid w:val="00D52040"/>
    <w:rsid w:val="00D53CC1"/>
    <w:rsid w:val="00D60062"/>
    <w:rsid w:val="00D60B91"/>
    <w:rsid w:val="00D620CD"/>
    <w:rsid w:val="00D63BFF"/>
    <w:rsid w:val="00D65648"/>
    <w:rsid w:val="00D65BD8"/>
    <w:rsid w:val="00D66C59"/>
    <w:rsid w:val="00D72E15"/>
    <w:rsid w:val="00D73C9A"/>
    <w:rsid w:val="00D75D0E"/>
    <w:rsid w:val="00D76B88"/>
    <w:rsid w:val="00D83330"/>
    <w:rsid w:val="00D83CA7"/>
    <w:rsid w:val="00D83DDF"/>
    <w:rsid w:val="00D844E1"/>
    <w:rsid w:val="00D869F3"/>
    <w:rsid w:val="00D90E29"/>
    <w:rsid w:val="00D93989"/>
    <w:rsid w:val="00D94912"/>
    <w:rsid w:val="00D953A1"/>
    <w:rsid w:val="00D96C4F"/>
    <w:rsid w:val="00D9742E"/>
    <w:rsid w:val="00D97635"/>
    <w:rsid w:val="00DA2726"/>
    <w:rsid w:val="00DA303F"/>
    <w:rsid w:val="00DA33EF"/>
    <w:rsid w:val="00DA3416"/>
    <w:rsid w:val="00DA7378"/>
    <w:rsid w:val="00DA7F2C"/>
    <w:rsid w:val="00DB0461"/>
    <w:rsid w:val="00DB1243"/>
    <w:rsid w:val="00DB3465"/>
    <w:rsid w:val="00DB71F5"/>
    <w:rsid w:val="00DC0B22"/>
    <w:rsid w:val="00DC0E9B"/>
    <w:rsid w:val="00DC0F83"/>
    <w:rsid w:val="00DC1047"/>
    <w:rsid w:val="00DC185B"/>
    <w:rsid w:val="00DC1C20"/>
    <w:rsid w:val="00DC2873"/>
    <w:rsid w:val="00DC6E5F"/>
    <w:rsid w:val="00DD1B15"/>
    <w:rsid w:val="00DD1C83"/>
    <w:rsid w:val="00DD4364"/>
    <w:rsid w:val="00DD4FCC"/>
    <w:rsid w:val="00DE0CC9"/>
    <w:rsid w:val="00DE26CD"/>
    <w:rsid w:val="00DE27C0"/>
    <w:rsid w:val="00DE2B11"/>
    <w:rsid w:val="00DE60F7"/>
    <w:rsid w:val="00DE618E"/>
    <w:rsid w:val="00DF37D0"/>
    <w:rsid w:val="00DF3BB1"/>
    <w:rsid w:val="00E00594"/>
    <w:rsid w:val="00E01260"/>
    <w:rsid w:val="00E02E75"/>
    <w:rsid w:val="00E03554"/>
    <w:rsid w:val="00E04C6E"/>
    <w:rsid w:val="00E04DCB"/>
    <w:rsid w:val="00E06416"/>
    <w:rsid w:val="00E0721C"/>
    <w:rsid w:val="00E075B0"/>
    <w:rsid w:val="00E12CB1"/>
    <w:rsid w:val="00E152A7"/>
    <w:rsid w:val="00E16684"/>
    <w:rsid w:val="00E16B10"/>
    <w:rsid w:val="00E1769A"/>
    <w:rsid w:val="00E2111D"/>
    <w:rsid w:val="00E219D0"/>
    <w:rsid w:val="00E21C47"/>
    <w:rsid w:val="00E2396E"/>
    <w:rsid w:val="00E2446A"/>
    <w:rsid w:val="00E25265"/>
    <w:rsid w:val="00E260C0"/>
    <w:rsid w:val="00E263D0"/>
    <w:rsid w:val="00E267AA"/>
    <w:rsid w:val="00E27D78"/>
    <w:rsid w:val="00E3125D"/>
    <w:rsid w:val="00E34015"/>
    <w:rsid w:val="00E44354"/>
    <w:rsid w:val="00E45109"/>
    <w:rsid w:val="00E46E2F"/>
    <w:rsid w:val="00E5231D"/>
    <w:rsid w:val="00E545EE"/>
    <w:rsid w:val="00E60FD9"/>
    <w:rsid w:val="00E61FA5"/>
    <w:rsid w:val="00E629F2"/>
    <w:rsid w:val="00E64C3F"/>
    <w:rsid w:val="00E65CC2"/>
    <w:rsid w:val="00E66BFC"/>
    <w:rsid w:val="00E707ED"/>
    <w:rsid w:val="00E70FC0"/>
    <w:rsid w:val="00E720FB"/>
    <w:rsid w:val="00E74C79"/>
    <w:rsid w:val="00E76D60"/>
    <w:rsid w:val="00E801C8"/>
    <w:rsid w:val="00E813D7"/>
    <w:rsid w:val="00E829DB"/>
    <w:rsid w:val="00E85A09"/>
    <w:rsid w:val="00E86D7C"/>
    <w:rsid w:val="00E91101"/>
    <w:rsid w:val="00E9231F"/>
    <w:rsid w:val="00E92F03"/>
    <w:rsid w:val="00E93619"/>
    <w:rsid w:val="00E93794"/>
    <w:rsid w:val="00E9387F"/>
    <w:rsid w:val="00E939CB"/>
    <w:rsid w:val="00E94815"/>
    <w:rsid w:val="00E94AD6"/>
    <w:rsid w:val="00E950B1"/>
    <w:rsid w:val="00EA127D"/>
    <w:rsid w:val="00EA1D0D"/>
    <w:rsid w:val="00EA438A"/>
    <w:rsid w:val="00EA5218"/>
    <w:rsid w:val="00EA56E1"/>
    <w:rsid w:val="00EA6A3B"/>
    <w:rsid w:val="00EA6C65"/>
    <w:rsid w:val="00EA7394"/>
    <w:rsid w:val="00EB27A9"/>
    <w:rsid w:val="00EB337F"/>
    <w:rsid w:val="00EC4655"/>
    <w:rsid w:val="00EC54ED"/>
    <w:rsid w:val="00EC736F"/>
    <w:rsid w:val="00EC7CFA"/>
    <w:rsid w:val="00ED12D4"/>
    <w:rsid w:val="00ED1329"/>
    <w:rsid w:val="00ED24B2"/>
    <w:rsid w:val="00ED2FA8"/>
    <w:rsid w:val="00ED3FA8"/>
    <w:rsid w:val="00ED428C"/>
    <w:rsid w:val="00ED4D00"/>
    <w:rsid w:val="00EE5B82"/>
    <w:rsid w:val="00EF2DA7"/>
    <w:rsid w:val="00EF40CD"/>
    <w:rsid w:val="00EF41FC"/>
    <w:rsid w:val="00EF476D"/>
    <w:rsid w:val="00EF54E2"/>
    <w:rsid w:val="00EF5F42"/>
    <w:rsid w:val="00F01930"/>
    <w:rsid w:val="00F061CA"/>
    <w:rsid w:val="00F11A73"/>
    <w:rsid w:val="00F13318"/>
    <w:rsid w:val="00F16049"/>
    <w:rsid w:val="00F221E2"/>
    <w:rsid w:val="00F228FD"/>
    <w:rsid w:val="00F22B3B"/>
    <w:rsid w:val="00F25157"/>
    <w:rsid w:val="00F30A77"/>
    <w:rsid w:val="00F32A6E"/>
    <w:rsid w:val="00F3384F"/>
    <w:rsid w:val="00F33FF3"/>
    <w:rsid w:val="00F36098"/>
    <w:rsid w:val="00F40B11"/>
    <w:rsid w:val="00F40B3B"/>
    <w:rsid w:val="00F43AAA"/>
    <w:rsid w:val="00F450AB"/>
    <w:rsid w:val="00F4535E"/>
    <w:rsid w:val="00F50079"/>
    <w:rsid w:val="00F5094B"/>
    <w:rsid w:val="00F50BB7"/>
    <w:rsid w:val="00F50FA5"/>
    <w:rsid w:val="00F54432"/>
    <w:rsid w:val="00F54BBB"/>
    <w:rsid w:val="00F55948"/>
    <w:rsid w:val="00F55CEA"/>
    <w:rsid w:val="00F6284A"/>
    <w:rsid w:val="00F6313C"/>
    <w:rsid w:val="00F6670B"/>
    <w:rsid w:val="00F704A8"/>
    <w:rsid w:val="00F70AB3"/>
    <w:rsid w:val="00F720CF"/>
    <w:rsid w:val="00F76CAE"/>
    <w:rsid w:val="00F76F98"/>
    <w:rsid w:val="00F7722A"/>
    <w:rsid w:val="00F806F1"/>
    <w:rsid w:val="00F80EA0"/>
    <w:rsid w:val="00F857ED"/>
    <w:rsid w:val="00F929C2"/>
    <w:rsid w:val="00F93412"/>
    <w:rsid w:val="00F93493"/>
    <w:rsid w:val="00F935F5"/>
    <w:rsid w:val="00F9407D"/>
    <w:rsid w:val="00FA0BC2"/>
    <w:rsid w:val="00FA0E64"/>
    <w:rsid w:val="00FA1428"/>
    <w:rsid w:val="00FA38D9"/>
    <w:rsid w:val="00FA6CF3"/>
    <w:rsid w:val="00FB3996"/>
    <w:rsid w:val="00FB65D8"/>
    <w:rsid w:val="00FC25D5"/>
    <w:rsid w:val="00FC6E03"/>
    <w:rsid w:val="00FC732B"/>
    <w:rsid w:val="00FD5528"/>
    <w:rsid w:val="00FE126D"/>
    <w:rsid w:val="00FE2457"/>
    <w:rsid w:val="00FE2A50"/>
    <w:rsid w:val="00FE30FA"/>
    <w:rsid w:val="00FF080C"/>
    <w:rsid w:val="00FF1374"/>
    <w:rsid w:val="00FF1760"/>
    <w:rsid w:val="00FF18E1"/>
    <w:rsid w:val="00FF1D8D"/>
    <w:rsid w:val="00FF1FD2"/>
    <w:rsid w:val="00FF5FA4"/>
    <w:rsid w:val="00FF7781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52FE6A9"/>
  <w15:chartTrackingRefBased/>
  <w15:docId w15:val="{92B00B15-9873-4A55-A54B-3DBEFA45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9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A66E9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A66E9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A66E9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A66E9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A66E9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6E9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A66E9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A66E91"/>
    <w:rPr>
      <w:vertAlign w:val="superscript"/>
    </w:rPr>
  </w:style>
  <w:style w:type="paragraph" w:styleId="BodyText">
    <w:name w:val="Body Text"/>
    <w:basedOn w:val="Normal"/>
    <w:semiHidden/>
    <w:rsid w:val="00A66E9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A66E91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A66E91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A66E91"/>
  </w:style>
  <w:style w:type="paragraph" w:styleId="BodyText2">
    <w:name w:val="Body Text 2"/>
    <w:basedOn w:val="Normal"/>
    <w:semiHidden/>
    <w:unhideWhenUsed/>
    <w:rsid w:val="00A66E91"/>
    <w:pPr>
      <w:spacing w:after="120" w:line="480" w:lineRule="auto"/>
    </w:pPr>
  </w:style>
  <w:style w:type="character" w:customStyle="1" w:styleId="BodyText2Char">
    <w:name w:val="Body Text 2 Char"/>
    <w:semiHidden/>
    <w:rsid w:val="00A66E91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A66E91"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sid w:val="00A66E91"/>
    <w:rPr>
      <w:sz w:val="16"/>
      <w:szCs w:val="16"/>
      <w:lang w:eastAsia="ar-SA"/>
    </w:rPr>
  </w:style>
  <w:style w:type="character" w:customStyle="1" w:styleId="HeaderChar">
    <w:name w:val="Header Char"/>
    <w:semiHidden/>
    <w:rsid w:val="00A66E91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A6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66E9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3706E"/>
    <w:pPr>
      <w:ind w:left="720"/>
      <w:contextualSpacing/>
    </w:pPr>
  </w:style>
  <w:style w:type="character" w:styleId="Hyperlink">
    <w:name w:val="Hyperlink"/>
    <w:uiPriority w:val="99"/>
    <w:unhideWhenUsed/>
    <w:rsid w:val="00735E2C"/>
    <w:rPr>
      <w:color w:val="0000FF"/>
      <w:u w:val="single"/>
    </w:rPr>
  </w:style>
  <w:style w:type="table" w:styleId="TableGrid">
    <w:name w:val="Table Grid"/>
    <w:basedOn w:val="TableNormal"/>
    <w:uiPriority w:val="59"/>
    <w:rsid w:val="008E12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EB337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0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7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018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17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254658385093168"/>
          <c:y val="0.1095890410958904"/>
          <c:w val="0.79503105590062106"/>
          <c:h val="0.69863013698630139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نسب التغير</c:v>
                </c:pt>
              </c:strCache>
            </c:strRef>
          </c:tx>
          <c:spPr>
            <a:ln w="12644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3364383114468728E-2"/>
                  <c:y val="5.3934409064043676E-2"/>
                </c:manualLayout>
              </c:layout>
              <c:spPr>
                <a:noFill/>
                <a:ln w="25288">
                  <a:noFill/>
                </a:ln>
              </c:spPr>
              <c:txPr>
                <a:bodyPr/>
                <a:lstStyle/>
                <a:p>
                  <a:pPr>
                    <a:defRPr sz="112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B4C-40B9-8E33-BE95F103CB7C}"/>
                </c:ext>
              </c:extLst>
            </c:dLbl>
            <c:dLbl>
              <c:idx val="4"/>
              <c:layout>
                <c:manualLayout>
                  <c:x val="-9.6515714619103854E-2"/>
                  <c:y val="-8.1692071295702329E-2"/>
                </c:manualLayout>
              </c:layout>
              <c:spPr>
                <a:noFill/>
                <a:ln w="25288">
                  <a:noFill/>
                </a:ln>
              </c:spPr>
              <c:txPr>
                <a:bodyPr/>
                <a:lstStyle/>
                <a:p>
                  <a:pPr>
                    <a:defRPr sz="112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B4C-40B9-8E33-BE95F103CB7C}"/>
                </c:ext>
              </c:extLst>
            </c:dLbl>
            <c:dLbl>
              <c:idx val="8"/>
              <c:layout>
                <c:manualLayout>
                  <c:x val="-3.7182574074049679E-2"/>
                  <c:y val="-8.9464178369196234E-2"/>
                </c:manualLayout>
              </c:layout>
              <c:spPr>
                <a:noFill/>
                <a:ln w="25288">
                  <a:noFill/>
                </a:ln>
              </c:spPr>
              <c:txPr>
                <a:bodyPr/>
                <a:lstStyle/>
                <a:p>
                  <a:pPr>
                    <a:defRPr sz="112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B4C-40B9-8E33-BE95F103CB7C}"/>
                </c:ext>
              </c:extLst>
            </c:dLbl>
            <c:dLbl>
              <c:idx val="16"/>
              <c:layout>
                <c:manualLayout>
                  <c:x val="-9.2604065894035026E-2"/>
                  <c:y val="2.9034718713513374E-2"/>
                </c:manualLayout>
              </c:layout>
              <c:spPr>
                <a:noFill/>
                <a:ln w="25288">
                  <a:noFill/>
                </a:ln>
              </c:spPr>
              <c:txPr>
                <a:bodyPr/>
                <a:lstStyle/>
                <a:p>
                  <a:pPr>
                    <a:defRPr sz="1095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B4C-40B9-8E33-BE95F103CB7C}"/>
                </c:ext>
              </c:extLst>
            </c:dLbl>
            <c:dLbl>
              <c:idx val="18"/>
              <c:layout>
                <c:manualLayout>
                  <c:x val="-3.9729170163937955E-4"/>
                  <c:y val="-5.3687541040066455E-2"/>
                </c:manualLayout>
              </c:layout>
              <c:spPr>
                <a:noFill/>
                <a:ln w="25288">
                  <a:noFill/>
                </a:ln>
              </c:spPr>
              <c:txPr>
                <a:bodyPr/>
                <a:lstStyle/>
                <a:p>
                  <a:pPr>
                    <a:defRPr sz="971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B4C-40B9-8E33-BE95F103CB7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Sheet1!$B$1:$T$1</c:f>
              <c:numCache>
                <c:formatCode>General</c:formatCode>
                <c:ptCount val="1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  <c:pt idx="16">
                  <c:v>2020</c:v>
                </c:pt>
                <c:pt idx="17">
                  <c:v>2021</c:v>
                </c:pt>
                <c:pt idx="18">
                  <c:v>2022</c:v>
                </c:pt>
              </c:numCache>
            </c:numRef>
          </c:cat>
          <c:val>
            <c:numRef>
              <c:f>Sheet1!$B$2:$T$2</c:f>
              <c:numCache>
                <c:formatCode>0.00%</c:formatCode>
                <c:ptCount val="19"/>
                <c:pt idx="0">
                  <c:v>0.03</c:v>
                </c:pt>
                <c:pt idx="1">
                  <c:v>4.1099999999999998E-2</c:v>
                </c:pt>
                <c:pt idx="2">
                  <c:v>3.8399999999999997E-2</c:v>
                </c:pt>
                <c:pt idx="3">
                  <c:v>1.8599999999999998E-2</c:v>
                </c:pt>
                <c:pt idx="4">
                  <c:v>9.8900000000000002E-2</c:v>
                </c:pt>
                <c:pt idx="5">
                  <c:v>2.75E-2</c:v>
                </c:pt>
                <c:pt idx="6">
                  <c:v>3.7499999999999999E-2</c:v>
                </c:pt>
                <c:pt idx="7">
                  <c:v>2.8799999999999999E-2</c:v>
                </c:pt>
                <c:pt idx="8">
                  <c:v>2.7799999999999998E-2</c:v>
                </c:pt>
                <c:pt idx="9">
                  <c:v>1.72E-2</c:v>
                </c:pt>
                <c:pt idx="10">
                  <c:v>1.7299999999999999E-2</c:v>
                </c:pt>
                <c:pt idx="11">
                  <c:v>1.43E-2</c:v>
                </c:pt>
                <c:pt idx="12">
                  <c:v>-2.2000000000000001E-3</c:v>
                </c:pt>
                <c:pt idx="13">
                  <c:v>2.0999999999999999E-3</c:v>
                </c:pt>
                <c:pt idx="14">
                  <c:v>-1.9E-3</c:v>
                </c:pt>
                <c:pt idx="15">
                  <c:v>1.5800000000000002E-2</c:v>
                </c:pt>
                <c:pt idx="16">
                  <c:v>-7.3000000000000001E-3</c:v>
                </c:pt>
                <c:pt idx="17">
                  <c:v>1.24E-2</c:v>
                </c:pt>
                <c:pt idx="18">
                  <c:v>3.7400000000000003E-2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0B4C-40B9-8E33-BE95F103CB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005648"/>
        <c:axId val="1"/>
      </c:lineChart>
      <c:catAx>
        <c:axId val="176005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1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7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"/>
        <c:crosses val="autoZero"/>
        <c:auto val="1"/>
        <c:lblAlgn val="ctr"/>
        <c:lblOffset val="500"/>
        <c:tickLblSkip val="2"/>
        <c:tickMarkSkip val="2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07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Yearly Percent Change %</a:t>
                </a:r>
              </a:p>
            </c:rich>
          </c:tx>
          <c:layout>
            <c:manualLayout>
              <c:xMode val="edge"/>
              <c:yMode val="edge"/>
              <c:x val="0"/>
              <c:y val="7.3059360730593603E-2"/>
            </c:manualLayout>
          </c:layout>
          <c:overlay val="0"/>
          <c:spPr>
            <a:noFill/>
            <a:ln w="25288">
              <a:noFill/>
            </a:ln>
          </c:spPr>
        </c:title>
        <c:numFmt formatCode="0%" sourceLinked="0"/>
        <c:majorTickMark val="out"/>
        <c:minorTickMark val="none"/>
        <c:tickLblPos val="nextTo"/>
        <c:spPr>
          <a:ln w="31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76005648"/>
        <c:crosses val="autoZero"/>
        <c:crossBetween val="between"/>
      </c:valAx>
      <c:spPr>
        <a:noFill/>
        <a:ln w="25288">
          <a:noFill/>
        </a:ln>
      </c:spPr>
    </c:plotArea>
    <c:plotVisOnly val="1"/>
    <c:dispBlanksAs val="gap"/>
    <c:showDLblsOverMax val="0"/>
  </c:chart>
  <c:spPr>
    <a:noFill/>
    <a:ln w="1270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2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160493827160492"/>
          <c:y val="0.10810810810810811"/>
          <c:w val="0.62654320987654322"/>
          <c:h val="0.656370656370656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cpi</c:v>
                </c:pt>
              </c:strCache>
            </c:strRef>
          </c:tx>
          <c:spPr>
            <a:solidFill>
              <a:srgbClr val="9999FF"/>
            </a:solidFill>
            <a:ln w="1266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152270380616834E-2"/>
                  <c:y val="-7.5334748232327498E-2"/>
                </c:manualLayout>
              </c:layout>
              <c:spPr>
                <a:noFill/>
                <a:ln w="25324">
                  <a:noFill/>
                </a:ln>
              </c:spPr>
              <c:txPr>
                <a:bodyPr/>
                <a:lstStyle/>
                <a:p>
                  <a:pPr>
                    <a:defRPr sz="1022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7E0-4D3B-893A-EB3EBAE87183}"/>
                </c:ext>
              </c:extLst>
            </c:dLbl>
            <c:dLbl>
              <c:idx val="3"/>
              <c:spPr>
                <a:noFill/>
                <a:ln w="25324">
                  <a:noFill/>
                </a:ln>
              </c:spPr>
              <c:txPr>
                <a:bodyPr/>
                <a:lstStyle/>
                <a:p>
                  <a:pPr>
                    <a:defRPr sz="1022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7E0-4D3B-893A-EB3EBAE87183}"/>
                </c:ext>
              </c:extLst>
            </c:dLbl>
            <c:dLbl>
              <c:idx val="5"/>
              <c:layout>
                <c:manualLayout>
                  <c:x val="1.3516876456509008E-2"/>
                  <c:y val="-7.1814628114718893E-2"/>
                </c:manualLayout>
              </c:layout>
              <c:spPr>
                <a:noFill/>
                <a:ln w="25324">
                  <a:noFill/>
                </a:ln>
              </c:spPr>
              <c:txPr>
                <a:bodyPr/>
                <a:lstStyle/>
                <a:p>
                  <a:pPr>
                    <a:defRPr sz="1022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7E0-4D3B-893A-EB3EBAE87183}"/>
                </c:ext>
              </c:extLst>
            </c:dLbl>
            <c:dLbl>
              <c:idx val="8"/>
              <c:spPr>
                <a:noFill/>
                <a:ln w="25324">
                  <a:noFill/>
                </a:ln>
              </c:spPr>
              <c:txPr>
                <a:bodyPr/>
                <a:lstStyle/>
                <a:p>
                  <a:pPr>
                    <a:defRPr sz="1022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7E0-4D3B-893A-EB3EBAE87183}"/>
                </c:ext>
              </c:extLst>
            </c:dLbl>
            <c:dLbl>
              <c:idx val="10"/>
              <c:layout>
                <c:manualLayout>
                  <c:x val="6.7142759557457854E-2"/>
                  <c:y val="0.13483673829428011"/>
                </c:manualLayout>
              </c:layout>
              <c:spPr>
                <a:noFill/>
                <a:ln w="25324">
                  <a:noFill/>
                </a:ln>
              </c:spPr>
              <c:txPr>
                <a:bodyPr/>
                <a:lstStyle/>
                <a:p>
                  <a:pPr>
                    <a:defRPr sz="1022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7E0-4D3B-893A-EB3EBAE87183}"/>
                </c:ext>
              </c:extLst>
            </c:dLbl>
            <c:dLbl>
              <c:idx val="11"/>
              <c:spPr>
                <a:noFill/>
                <a:ln w="25324">
                  <a:noFill/>
                </a:ln>
              </c:spPr>
              <c:txPr>
                <a:bodyPr/>
                <a:lstStyle/>
                <a:p>
                  <a:pPr>
                    <a:defRPr sz="1022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7E0-4D3B-893A-EB3EBAE8718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0.68</c:v>
                </c:pt>
                <c:pt idx="1">
                  <c:v>0.61</c:v>
                </c:pt>
                <c:pt idx="2">
                  <c:v>1.03</c:v>
                </c:pt>
                <c:pt idx="3">
                  <c:v>1.08</c:v>
                </c:pt>
                <c:pt idx="4">
                  <c:v>-0.27</c:v>
                </c:pt>
                <c:pt idx="5">
                  <c:v>0.38</c:v>
                </c:pt>
                <c:pt idx="6">
                  <c:v>-0.37</c:v>
                </c:pt>
                <c:pt idx="7">
                  <c:v>-0.48</c:v>
                </c:pt>
                <c:pt idx="8" formatCode="0.00">
                  <c:v>1.3</c:v>
                </c:pt>
                <c:pt idx="9">
                  <c:v>0.42</c:v>
                </c:pt>
                <c:pt idx="10">
                  <c:v>-0.36</c:v>
                </c:pt>
                <c:pt idx="11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7E0-4D3B-893A-EB3EBAE871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1675736"/>
        <c:axId val="1"/>
      </c:barChart>
      <c:catAx>
        <c:axId val="211675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3900000" vert="horz"/>
          <a:lstStyle/>
          <a:p>
            <a:pPr>
              <a:defRPr sz="107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"/>
        <c:crossesAt val="0"/>
        <c:auto val="1"/>
        <c:lblAlgn val="ctr"/>
        <c:lblOffset val="900"/>
        <c:tickLblSkip val="1"/>
        <c:tickMarkSkip val="1"/>
        <c:noMultiLvlLbl val="0"/>
      </c:catAx>
      <c:valAx>
        <c:axId val="1"/>
        <c:scaling>
          <c:orientation val="minMax"/>
          <c:max val="1.4"/>
          <c:min val="-0.6"/>
        </c:scaling>
        <c:delete val="0"/>
        <c:axPos val="l"/>
        <c:title>
          <c:tx>
            <c:rich>
              <a:bodyPr/>
              <a:lstStyle/>
              <a:p>
                <a:pPr>
                  <a:defRPr sz="1072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Monthly Percent Change %</a:t>
                </a:r>
              </a:p>
            </c:rich>
          </c:tx>
          <c:layout>
            <c:manualLayout>
              <c:xMode val="edge"/>
              <c:yMode val="edge"/>
              <c:x val="3.0864197530864196E-3"/>
              <c:y val="6.9498069498069498E-2"/>
            </c:manualLayout>
          </c:layout>
          <c:overlay val="0"/>
          <c:spPr>
            <a:noFill/>
            <a:ln w="25324">
              <a:noFill/>
            </a:ln>
          </c:spPr>
        </c:title>
        <c:numFmt formatCode="0.00" sourceLinked="0"/>
        <c:majorTickMark val="out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211675736"/>
        <c:crosses val="autoZero"/>
        <c:crossBetween val="between"/>
        <c:majorUnit val="0.2"/>
        <c:minorUnit val="0.1"/>
      </c:valAx>
      <c:spPr>
        <a:noFill/>
        <a:ln w="25324">
          <a:noFill/>
        </a:ln>
      </c:spPr>
    </c:plotArea>
    <c:plotVisOnly val="1"/>
    <c:dispBlanksAs val="gap"/>
    <c:showDLblsOverMax val="0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072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31C5E-7920-4258-9607-AC63146C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2065</CharactersWithSpaces>
  <SharedDoc>false</SharedDoc>
  <HLinks>
    <vt:vector size="12" baseType="variant">
      <vt:variant>
        <vt:i4>2424865</vt:i4>
      </vt:variant>
      <vt:variant>
        <vt:i4>6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4541</vt:i4>
      </vt:variant>
      <vt:variant>
        <vt:i4>1025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Hadeel Badran</cp:lastModifiedBy>
  <cp:revision>4</cp:revision>
  <cp:lastPrinted>2023-01-11T06:45:00Z</cp:lastPrinted>
  <dcterms:created xsi:type="dcterms:W3CDTF">2023-01-11T11:16:00Z</dcterms:created>
  <dcterms:modified xsi:type="dcterms:W3CDTF">2023-01-11T11:25:00Z</dcterms:modified>
</cp:coreProperties>
</file>