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4F" w:rsidRDefault="0000094F" w:rsidP="0000094F">
      <w:pPr>
        <w:pStyle w:val="Heading1"/>
        <w:jc w:val="center"/>
        <w:rPr>
          <w:sz w:val="32"/>
          <w:szCs w:val="32"/>
          <w:rtl/>
        </w:rPr>
      </w:pPr>
    </w:p>
    <w:p w:rsidR="0000094F" w:rsidRDefault="0000094F" w:rsidP="0000094F">
      <w:pPr>
        <w:pStyle w:val="Heading1"/>
        <w:jc w:val="center"/>
        <w:rPr>
          <w:sz w:val="32"/>
          <w:szCs w:val="32"/>
        </w:rPr>
      </w:pPr>
    </w:p>
    <w:p w:rsidR="0000094F" w:rsidRPr="00245527" w:rsidRDefault="0000094F" w:rsidP="0000094F">
      <w:pPr>
        <w:pStyle w:val="Heading1"/>
        <w:jc w:val="center"/>
        <w:rPr>
          <w:rFonts w:hint="cs"/>
          <w:color w:val="000000"/>
          <w:sz w:val="32"/>
          <w:szCs w:val="32"/>
          <w:rtl/>
        </w:rPr>
      </w:pPr>
      <w:r w:rsidRPr="001C45E5">
        <w:rPr>
          <w:sz w:val="32"/>
          <w:szCs w:val="32"/>
        </w:rPr>
        <w:t xml:space="preserve">Palestinian Central Bureau </w:t>
      </w:r>
      <w:r w:rsidRPr="001C45E5">
        <w:rPr>
          <w:rFonts w:cs="Simplified Arabic"/>
          <w:sz w:val="32"/>
          <w:szCs w:val="32"/>
        </w:rPr>
        <w:t>of Statistics (PCBS)</w:t>
      </w:r>
    </w:p>
    <w:p w:rsidR="0000094F" w:rsidRPr="008824EF" w:rsidRDefault="0000094F" w:rsidP="0000094F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00094F" w:rsidRPr="001534AC" w:rsidRDefault="0000094F" w:rsidP="0000094F">
      <w:pPr>
        <w:bidi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Increase </w:t>
      </w:r>
      <w:r w:rsidRPr="008824EF">
        <w:rPr>
          <w:b/>
          <w:bCs/>
          <w:color w:val="000000"/>
          <w:sz w:val="32"/>
          <w:szCs w:val="32"/>
        </w:rPr>
        <w:t xml:space="preserve">in the </w:t>
      </w:r>
      <w:r>
        <w:rPr>
          <w:b/>
          <w:bCs/>
          <w:kern w:val="36"/>
          <w:sz w:val="28"/>
          <w:szCs w:val="28"/>
        </w:rPr>
        <w:t>Consumer Price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Index</w:t>
      </w:r>
      <w:r>
        <w:rPr>
          <w:b/>
          <w:bCs/>
          <w:color w:val="000000"/>
          <w:sz w:val="28"/>
          <w:szCs w:val="28"/>
        </w:rPr>
        <w:t xml:space="preserve"> </w:t>
      </w:r>
      <w:r w:rsidRPr="008824EF">
        <w:rPr>
          <w:b/>
          <w:bCs/>
          <w:color w:val="000000"/>
          <w:sz w:val="32"/>
          <w:szCs w:val="32"/>
        </w:rPr>
        <w:t>during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28"/>
          <w:szCs w:val="28"/>
        </w:rPr>
        <w:t>June</w:t>
      </w:r>
      <w:r w:rsidRPr="008824EF">
        <w:rPr>
          <w:b/>
          <w:bCs/>
          <w:color w:val="000000"/>
          <w:sz w:val="32"/>
          <w:szCs w:val="32"/>
        </w:rPr>
        <w:t>,</w:t>
      </w:r>
      <w:r>
        <w:rPr>
          <w:b/>
          <w:bCs/>
          <w:color w:val="000000"/>
          <w:sz w:val="32"/>
          <w:szCs w:val="32"/>
        </w:rPr>
        <w:t>06</w:t>
      </w:r>
      <w:r w:rsidRPr="008824EF">
        <w:rPr>
          <w:b/>
          <w:bCs/>
          <w:color w:val="000000"/>
          <w:sz w:val="32"/>
          <w:szCs w:val="32"/>
        </w:rPr>
        <w:t>/2016</w:t>
      </w:r>
    </w:p>
    <w:p w:rsidR="0000094F" w:rsidRPr="00245527" w:rsidRDefault="0000094F" w:rsidP="0000094F">
      <w:pPr>
        <w:bidi w:val="0"/>
        <w:spacing w:line="360" w:lineRule="auto"/>
        <w:jc w:val="lowKashida"/>
        <w:rPr>
          <w:b/>
          <w:bCs/>
          <w:color w:val="000000"/>
          <w:sz w:val="28"/>
          <w:szCs w:val="28"/>
        </w:rPr>
      </w:pPr>
    </w:p>
    <w:p w:rsidR="0000094F" w:rsidRPr="00245527" w:rsidRDefault="0000094F" w:rsidP="0000094F">
      <w:pPr>
        <w:bidi w:val="0"/>
        <w:spacing w:line="360" w:lineRule="auto"/>
        <w:jc w:val="lowKashida"/>
        <w:rPr>
          <w:color w:val="000000"/>
          <w:sz w:val="25"/>
          <w:szCs w:val="25"/>
        </w:rPr>
      </w:pPr>
      <w:r w:rsidRPr="00245527">
        <w:rPr>
          <w:color w:val="000000"/>
          <w:sz w:val="25"/>
          <w:szCs w:val="25"/>
        </w:rPr>
        <w:t xml:space="preserve">The overall Consumer Price Index (CPI) for Palestine during June 2016 increased by 0.22% compared with May 2016 (by 1.75% in Jerusalem J1*, and by 0.55% in the West Bank**, while it decreased by 0.33% in Gaza Strip). </w:t>
      </w:r>
    </w:p>
    <w:p w:rsidR="0000094F" w:rsidRPr="00245527" w:rsidRDefault="0000094F" w:rsidP="0000094F">
      <w:pPr>
        <w:bidi w:val="0"/>
        <w:spacing w:line="360" w:lineRule="auto"/>
        <w:jc w:val="lowKashida"/>
        <w:rPr>
          <w:color w:val="000000"/>
          <w:sz w:val="16"/>
          <w:szCs w:val="16"/>
        </w:rPr>
      </w:pPr>
    </w:p>
    <w:p w:rsidR="0000094F" w:rsidRPr="00245527" w:rsidRDefault="0000094F" w:rsidP="0000094F">
      <w:pPr>
        <w:bidi w:val="0"/>
        <w:spacing w:line="360" w:lineRule="auto"/>
        <w:jc w:val="lowKashida"/>
        <w:rPr>
          <w:color w:val="000000"/>
          <w:sz w:val="25"/>
          <w:szCs w:val="25"/>
        </w:rPr>
      </w:pPr>
      <w:r w:rsidRPr="00245527">
        <w:rPr>
          <w:color w:val="000000"/>
          <w:sz w:val="25"/>
          <w:szCs w:val="25"/>
        </w:rPr>
        <w:t xml:space="preserve">The CPI during June 2016 decreased </w:t>
      </w:r>
      <w:r w:rsidRPr="00245527">
        <w:rPr>
          <w:sz w:val="25"/>
          <w:szCs w:val="25"/>
        </w:rPr>
        <w:t xml:space="preserve">by </w:t>
      </w:r>
      <w:r w:rsidRPr="00245527">
        <w:rPr>
          <w:color w:val="000000"/>
          <w:sz w:val="25"/>
          <w:szCs w:val="25"/>
        </w:rPr>
        <w:t>0.14% compared with June 2015 (by 1.18% in Jerusalem J1*, and by 1.12% in the West Bank**, while it increased by 0.75% in Gaza Strip).</w:t>
      </w:r>
    </w:p>
    <w:p w:rsidR="0000094F" w:rsidRPr="00245527" w:rsidRDefault="0000094F" w:rsidP="0000094F">
      <w:pPr>
        <w:bidi w:val="0"/>
        <w:spacing w:line="360" w:lineRule="auto"/>
        <w:jc w:val="lowKashida"/>
        <w:rPr>
          <w:color w:val="000000"/>
          <w:sz w:val="16"/>
          <w:szCs w:val="16"/>
        </w:rPr>
      </w:pPr>
    </w:p>
    <w:p w:rsidR="0000094F" w:rsidRPr="00245527" w:rsidRDefault="0000094F" w:rsidP="0000094F">
      <w:pPr>
        <w:bidi w:val="0"/>
        <w:spacing w:line="360" w:lineRule="auto"/>
        <w:jc w:val="lowKashida"/>
        <w:rPr>
          <w:color w:val="000000"/>
          <w:sz w:val="25"/>
          <w:szCs w:val="25"/>
        </w:rPr>
      </w:pPr>
      <w:r w:rsidRPr="00245527">
        <w:rPr>
          <w:color w:val="000000"/>
          <w:sz w:val="25"/>
          <w:szCs w:val="25"/>
        </w:rPr>
        <w:t>The CPI during the first half of 2016 increased by 0.19% compared with the same period of the previous year (by 0.24% in the West Bank**, while it decreased by 1.63% in Jerusalem J1*, and slightly decreased by 0.02% in Gaza Strip).</w:t>
      </w:r>
    </w:p>
    <w:p w:rsidR="0000094F" w:rsidRPr="00245527" w:rsidRDefault="0000094F" w:rsidP="0000094F">
      <w:pPr>
        <w:bidi w:val="0"/>
        <w:spacing w:line="360" w:lineRule="auto"/>
        <w:jc w:val="lowKashida"/>
        <w:rPr>
          <w:color w:val="000000"/>
          <w:sz w:val="16"/>
          <w:szCs w:val="16"/>
        </w:rPr>
      </w:pPr>
    </w:p>
    <w:p w:rsidR="0000094F" w:rsidRDefault="0000094F" w:rsidP="0000094F">
      <w:pPr>
        <w:bidi w:val="0"/>
        <w:spacing w:line="360" w:lineRule="auto"/>
        <w:jc w:val="lowKashida"/>
        <w:rPr>
          <w:color w:val="000000"/>
          <w:sz w:val="25"/>
          <w:szCs w:val="25"/>
        </w:rPr>
      </w:pPr>
      <w:r w:rsidRPr="00245527">
        <w:rPr>
          <w:color w:val="000000"/>
          <w:sz w:val="25"/>
          <w:szCs w:val="25"/>
        </w:rPr>
        <w:t>The change in (CPI) in Palestine for June 2016 is traced back to changes in prices of the following expenditure sub groups compared with previous month:</w:t>
      </w:r>
    </w:p>
    <w:p w:rsidR="0000094F" w:rsidRPr="00245527" w:rsidRDefault="0000094F" w:rsidP="0000094F">
      <w:pPr>
        <w:bidi w:val="0"/>
        <w:jc w:val="both"/>
        <w:rPr>
          <w:color w:val="000000"/>
          <w:sz w:val="16"/>
          <w:szCs w:val="16"/>
        </w:rPr>
      </w:pPr>
    </w:p>
    <w:tbl>
      <w:tblPr>
        <w:tblW w:w="6459" w:type="dxa"/>
        <w:jc w:val="center"/>
        <w:tblInd w:w="-9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759"/>
        <w:gridCol w:w="2700"/>
      </w:tblGrid>
      <w:tr w:rsidR="0000094F" w:rsidTr="003B4C55">
        <w:trPr>
          <w:trHeight w:hRule="exact" w:val="454"/>
          <w:jc w:val="center"/>
        </w:trPr>
        <w:tc>
          <w:tcPr>
            <w:tcW w:w="3759" w:type="dxa"/>
            <w:vAlign w:val="center"/>
          </w:tcPr>
          <w:p w:rsidR="0000094F" w:rsidRDefault="0000094F" w:rsidP="003B4C55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Sub Groups</w:t>
            </w:r>
          </w:p>
        </w:tc>
        <w:tc>
          <w:tcPr>
            <w:tcW w:w="2700" w:type="dxa"/>
            <w:vAlign w:val="center"/>
          </w:tcPr>
          <w:p w:rsidR="0000094F" w:rsidRDefault="0000094F" w:rsidP="003B4C55">
            <w:pPr>
              <w:pStyle w:val="BodyText3"/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Change</w:t>
            </w:r>
          </w:p>
        </w:tc>
      </w:tr>
      <w:tr w:rsidR="0000094F" w:rsidTr="003B4C55">
        <w:trPr>
          <w:trHeight w:hRule="exact" w:val="408"/>
          <w:jc w:val="center"/>
        </w:trPr>
        <w:tc>
          <w:tcPr>
            <w:tcW w:w="3759" w:type="dxa"/>
            <w:vAlign w:val="center"/>
          </w:tcPr>
          <w:p w:rsidR="0000094F" w:rsidRDefault="0000094F" w:rsidP="003B4C55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Potatoes and other Tubers</w:t>
            </w:r>
          </w:p>
        </w:tc>
        <w:tc>
          <w:tcPr>
            <w:tcW w:w="2700" w:type="dxa"/>
            <w:vAlign w:val="center"/>
          </w:tcPr>
          <w:p w:rsidR="0000094F" w:rsidRDefault="0000094F" w:rsidP="003B4C55">
            <w:pPr>
              <w:tabs>
                <w:tab w:val="right" w:pos="338"/>
              </w:tabs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+ 8.88%</w:t>
            </w:r>
          </w:p>
        </w:tc>
      </w:tr>
      <w:tr w:rsidR="0000094F" w:rsidTr="003B4C55">
        <w:trPr>
          <w:trHeight w:hRule="exact" w:val="363"/>
          <w:jc w:val="center"/>
        </w:trPr>
        <w:tc>
          <w:tcPr>
            <w:tcW w:w="3759" w:type="dxa"/>
            <w:vAlign w:val="center"/>
          </w:tcPr>
          <w:p w:rsidR="0000094F" w:rsidRPr="00C2202F" w:rsidRDefault="0000094F" w:rsidP="003B4C55">
            <w:pPr>
              <w:bidi w:val="0"/>
            </w:pPr>
            <w:r w:rsidRPr="00C213D0">
              <w:t>Eggs</w:t>
            </w:r>
          </w:p>
        </w:tc>
        <w:tc>
          <w:tcPr>
            <w:tcW w:w="2700" w:type="dxa"/>
            <w:vAlign w:val="center"/>
          </w:tcPr>
          <w:p w:rsidR="0000094F" w:rsidRDefault="0000094F" w:rsidP="003B4C55">
            <w:pPr>
              <w:tabs>
                <w:tab w:val="right" w:pos="338"/>
              </w:tabs>
              <w:bidi w:val="0"/>
              <w:jc w:val="right"/>
              <w:rPr>
                <w:color w:val="000000"/>
              </w:rPr>
            </w:pPr>
            <w:r>
              <w:t>+ 6.55%</w:t>
            </w:r>
          </w:p>
        </w:tc>
      </w:tr>
      <w:tr w:rsidR="0000094F" w:rsidTr="003B4C55">
        <w:trPr>
          <w:trHeight w:hRule="exact" w:val="345"/>
          <w:jc w:val="center"/>
        </w:trPr>
        <w:tc>
          <w:tcPr>
            <w:tcW w:w="3759" w:type="dxa"/>
            <w:vAlign w:val="center"/>
          </w:tcPr>
          <w:p w:rsidR="0000094F" w:rsidRPr="005E3CD8" w:rsidRDefault="0000094F" w:rsidP="003B4C55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Liquid F</w:t>
            </w:r>
            <w:r w:rsidRPr="000D1511">
              <w:rPr>
                <w:color w:val="000000"/>
              </w:rPr>
              <w:t>uel</w:t>
            </w:r>
            <w:r>
              <w:rPr>
                <w:color w:val="000000"/>
              </w:rPr>
              <w:t xml:space="preserve"> for House</w:t>
            </w:r>
          </w:p>
        </w:tc>
        <w:tc>
          <w:tcPr>
            <w:tcW w:w="2700" w:type="dxa"/>
            <w:vAlign w:val="center"/>
          </w:tcPr>
          <w:p w:rsidR="0000094F" w:rsidRDefault="0000094F" w:rsidP="003B4C55">
            <w:pPr>
              <w:tabs>
                <w:tab w:val="right" w:pos="338"/>
              </w:tabs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+ 4.96%</w:t>
            </w:r>
          </w:p>
        </w:tc>
      </w:tr>
      <w:tr w:rsidR="0000094F" w:rsidTr="003B4C55">
        <w:trPr>
          <w:trHeight w:hRule="exact" w:val="363"/>
          <w:jc w:val="center"/>
        </w:trPr>
        <w:tc>
          <w:tcPr>
            <w:tcW w:w="3759" w:type="dxa"/>
            <w:vAlign w:val="center"/>
          </w:tcPr>
          <w:p w:rsidR="0000094F" w:rsidRPr="005E3CD8" w:rsidRDefault="0000094F" w:rsidP="003B4C55">
            <w:pPr>
              <w:bidi w:val="0"/>
              <w:rPr>
                <w:color w:val="000000"/>
              </w:rPr>
            </w:pPr>
            <w:r w:rsidRPr="009D61DF">
              <w:rPr>
                <w:color w:val="000000"/>
              </w:rPr>
              <w:t xml:space="preserve">Dried </w:t>
            </w:r>
            <w:r>
              <w:rPr>
                <w:color w:val="000000"/>
              </w:rPr>
              <w:t>V</w:t>
            </w:r>
            <w:r w:rsidRPr="009D61DF">
              <w:rPr>
                <w:color w:val="000000"/>
              </w:rPr>
              <w:t>egetables</w:t>
            </w:r>
          </w:p>
        </w:tc>
        <w:tc>
          <w:tcPr>
            <w:tcW w:w="2700" w:type="dxa"/>
            <w:vAlign w:val="center"/>
          </w:tcPr>
          <w:p w:rsidR="0000094F" w:rsidRDefault="0000094F" w:rsidP="003B4C55">
            <w:pPr>
              <w:tabs>
                <w:tab w:val="right" w:pos="338"/>
              </w:tabs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+ 3.87%</w:t>
            </w:r>
          </w:p>
        </w:tc>
      </w:tr>
      <w:tr w:rsidR="0000094F" w:rsidTr="003B4C55">
        <w:trPr>
          <w:trHeight w:hRule="exact" w:val="363"/>
          <w:jc w:val="center"/>
        </w:trPr>
        <w:tc>
          <w:tcPr>
            <w:tcW w:w="3759" w:type="dxa"/>
            <w:vAlign w:val="center"/>
          </w:tcPr>
          <w:p w:rsidR="0000094F" w:rsidRDefault="0000094F" w:rsidP="003B4C55">
            <w:pPr>
              <w:bidi w:val="0"/>
              <w:rPr>
                <w:color w:val="000000"/>
              </w:rPr>
            </w:pPr>
            <w:r w:rsidRPr="00C2202F">
              <w:t>Fresh Vegetables</w:t>
            </w:r>
          </w:p>
        </w:tc>
        <w:tc>
          <w:tcPr>
            <w:tcW w:w="2700" w:type="dxa"/>
            <w:vAlign w:val="center"/>
          </w:tcPr>
          <w:p w:rsidR="0000094F" w:rsidRDefault="0000094F" w:rsidP="003B4C55">
            <w:pPr>
              <w:tabs>
                <w:tab w:val="right" w:pos="338"/>
              </w:tabs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+ 3.40%</w:t>
            </w:r>
          </w:p>
        </w:tc>
      </w:tr>
      <w:tr w:rsidR="0000094F" w:rsidTr="003B4C55">
        <w:trPr>
          <w:trHeight w:hRule="exact" w:val="363"/>
          <w:jc w:val="center"/>
        </w:trPr>
        <w:tc>
          <w:tcPr>
            <w:tcW w:w="3759" w:type="dxa"/>
            <w:vAlign w:val="center"/>
          </w:tcPr>
          <w:p w:rsidR="0000094F" w:rsidRPr="00700557" w:rsidRDefault="0000094F" w:rsidP="003B4C55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Liquid F</w:t>
            </w:r>
            <w:r w:rsidRPr="000D1511">
              <w:rPr>
                <w:color w:val="000000"/>
              </w:rPr>
              <w:t>uel</w:t>
            </w:r>
            <w:r>
              <w:rPr>
                <w:color w:val="000000"/>
              </w:rPr>
              <w:t xml:space="preserve"> for Cars</w:t>
            </w:r>
          </w:p>
        </w:tc>
        <w:tc>
          <w:tcPr>
            <w:tcW w:w="2700" w:type="dxa"/>
            <w:vAlign w:val="center"/>
          </w:tcPr>
          <w:p w:rsidR="0000094F" w:rsidRDefault="0000094F" w:rsidP="003B4C55">
            <w:pPr>
              <w:tabs>
                <w:tab w:val="right" w:pos="338"/>
              </w:tabs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+ 3.34%</w:t>
            </w:r>
          </w:p>
        </w:tc>
      </w:tr>
      <w:tr w:rsidR="0000094F" w:rsidTr="003B4C55">
        <w:trPr>
          <w:trHeight w:hRule="exact" w:val="363"/>
          <w:jc w:val="center"/>
        </w:trPr>
        <w:tc>
          <w:tcPr>
            <w:tcW w:w="3759" w:type="dxa"/>
            <w:vAlign w:val="center"/>
          </w:tcPr>
          <w:p w:rsidR="0000094F" w:rsidRDefault="0000094F" w:rsidP="003B4C55">
            <w:pPr>
              <w:bidi w:val="0"/>
              <w:rPr>
                <w:color w:val="000000"/>
              </w:rPr>
            </w:pPr>
            <w:r w:rsidRPr="00B529B1">
              <w:rPr>
                <w:color w:val="000000"/>
              </w:rPr>
              <w:t xml:space="preserve">Fresh </w:t>
            </w:r>
            <w:r>
              <w:rPr>
                <w:color w:val="000000"/>
              </w:rPr>
              <w:t>M</w:t>
            </w:r>
            <w:r w:rsidRPr="00B529B1">
              <w:rPr>
                <w:color w:val="000000"/>
              </w:rPr>
              <w:t>eat</w:t>
            </w:r>
          </w:p>
        </w:tc>
        <w:tc>
          <w:tcPr>
            <w:tcW w:w="2700" w:type="dxa"/>
            <w:vAlign w:val="center"/>
          </w:tcPr>
          <w:p w:rsidR="0000094F" w:rsidRDefault="0000094F" w:rsidP="003B4C55">
            <w:pPr>
              <w:tabs>
                <w:tab w:val="right" w:pos="338"/>
              </w:tabs>
              <w:bidi w:val="0"/>
              <w:jc w:val="right"/>
              <w:rPr>
                <w:color w:val="000000"/>
              </w:rPr>
            </w:pPr>
            <w:r>
              <w:t>+ 1.87%</w:t>
            </w:r>
          </w:p>
        </w:tc>
      </w:tr>
      <w:tr w:rsidR="0000094F" w:rsidTr="003B4C55">
        <w:trPr>
          <w:trHeight w:hRule="exact" w:val="363"/>
          <w:jc w:val="center"/>
        </w:trPr>
        <w:tc>
          <w:tcPr>
            <w:tcW w:w="3759" w:type="dxa"/>
            <w:vAlign w:val="center"/>
          </w:tcPr>
          <w:p w:rsidR="0000094F" w:rsidRDefault="0000094F" w:rsidP="003B4C55">
            <w:pPr>
              <w:bidi w:val="0"/>
              <w:rPr>
                <w:color w:val="000000"/>
              </w:rPr>
            </w:pPr>
            <w:r w:rsidRPr="00C2202F">
              <w:t xml:space="preserve">Fresh </w:t>
            </w:r>
            <w:r>
              <w:t>Fruit</w:t>
            </w:r>
          </w:p>
        </w:tc>
        <w:tc>
          <w:tcPr>
            <w:tcW w:w="2700" w:type="dxa"/>
            <w:vAlign w:val="center"/>
          </w:tcPr>
          <w:p w:rsidR="0000094F" w:rsidRDefault="0000094F" w:rsidP="003B4C55">
            <w:pPr>
              <w:tabs>
                <w:tab w:val="right" w:pos="338"/>
              </w:tabs>
              <w:bidi w:val="0"/>
              <w:jc w:val="right"/>
            </w:pPr>
            <w:r>
              <w:t>+ 1.26%</w:t>
            </w:r>
          </w:p>
        </w:tc>
      </w:tr>
      <w:tr w:rsidR="0000094F" w:rsidTr="003B4C55">
        <w:trPr>
          <w:trHeight w:hRule="exact" w:val="345"/>
          <w:jc w:val="center"/>
        </w:trPr>
        <w:tc>
          <w:tcPr>
            <w:tcW w:w="3759" w:type="dxa"/>
            <w:vAlign w:val="center"/>
          </w:tcPr>
          <w:p w:rsidR="0000094F" w:rsidRDefault="0000094F" w:rsidP="003B4C55">
            <w:pPr>
              <w:bidi w:val="0"/>
              <w:rPr>
                <w:color w:val="000000"/>
              </w:rPr>
            </w:pPr>
            <w:r w:rsidRPr="0085590E">
              <w:rPr>
                <w:color w:val="000000"/>
              </w:rPr>
              <w:t>Education</w:t>
            </w:r>
            <w:r>
              <w:rPr>
                <w:color w:val="000000"/>
              </w:rPr>
              <w:t xml:space="preserve"> Services</w:t>
            </w:r>
          </w:p>
        </w:tc>
        <w:tc>
          <w:tcPr>
            <w:tcW w:w="2700" w:type="dxa"/>
            <w:vAlign w:val="center"/>
          </w:tcPr>
          <w:p w:rsidR="0000094F" w:rsidRDefault="0000094F" w:rsidP="003B4C55">
            <w:pPr>
              <w:tabs>
                <w:tab w:val="right" w:pos="338"/>
              </w:tabs>
              <w:bidi w:val="0"/>
              <w:jc w:val="right"/>
            </w:pPr>
            <w:r>
              <w:t>+ 1.14%</w:t>
            </w:r>
          </w:p>
        </w:tc>
      </w:tr>
      <w:tr w:rsidR="0000094F" w:rsidTr="003B4C55">
        <w:trPr>
          <w:trHeight w:hRule="exact" w:val="363"/>
          <w:jc w:val="center"/>
        </w:trPr>
        <w:tc>
          <w:tcPr>
            <w:tcW w:w="3759" w:type="dxa"/>
            <w:vAlign w:val="center"/>
          </w:tcPr>
          <w:p w:rsidR="0000094F" w:rsidRDefault="0000094F" w:rsidP="003B4C55">
            <w:pPr>
              <w:bidi w:val="0"/>
              <w:rPr>
                <w:color w:val="000000"/>
              </w:rPr>
            </w:pPr>
            <w:r w:rsidRPr="0085590E">
              <w:rPr>
                <w:color w:val="000000"/>
              </w:rPr>
              <w:t xml:space="preserve">Medical </w:t>
            </w:r>
            <w:r>
              <w:rPr>
                <w:color w:val="000000"/>
              </w:rPr>
              <w:t>C</w:t>
            </w:r>
            <w:r w:rsidRPr="0085590E">
              <w:rPr>
                <w:color w:val="000000"/>
              </w:rPr>
              <w:t>are</w:t>
            </w:r>
          </w:p>
        </w:tc>
        <w:tc>
          <w:tcPr>
            <w:tcW w:w="2700" w:type="dxa"/>
            <w:vAlign w:val="center"/>
          </w:tcPr>
          <w:p w:rsidR="0000094F" w:rsidRDefault="0000094F" w:rsidP="003B4C55">
            <w:pPr>
              <w:tabs>
                <w:tab w:val="right" w:pos="338"/>
              </w:tabs>
              <w:bidi w:val="0"/>
              <w:jc w:val="right"/>
              <w:rPr>
                <w:color w:val="000000"/>
              </w:rPr>
            </w:pPr>
            <w:r>
              <w:t>+ 0.89%</w:t>
            </w:r>
          </w:p>
        </w:tc>
      </w:tr>
      <w:tr w:rsidR="0000094F" w:rsidTr="003B4C55">
        <w:trPr>
          <w:trHeight w:hRule="exact" w:val="363"/>
          <w:jc w:val="center"/>
        </w:trPr>
        <w:tc>
          <w:tcPr>
            <w:tcW w:w="3759" w:type="dxa"/>
            <w:vAlign w:val="center"/>
          </w:tcPr>
          <w:p w:rsidR="0000094F" w:rsidRPr="00C213D0" w:rsidRDefault="0000094F" w:rsidP="003B4C55">
            <w:pPr>
              <w:bidi w:val="0"/>
            </w:pPr>
            <w:r w:rsidRPr="0085590E">
              <w:t>Flour</w:t>
            </w:r>
          </w:p>
        </w:tc>
        <w:tc>
          <w:tcPr>
            <w:tcW w:w="2700" w:type="dxa"/>
            <w:vAlign w:val="center"/>
          </w:tcPr>
          <w:p w:rsidR="0000094F" w:rsidRDefault="0000094F" w:rsidP="003B4C55">
            <w:pPr>
              <w:tabs>
                <w:tab w:val="right" w:pos="338"/>
              </w:tabs>
              <w:bidi w:val="0"/>
              <w:jc w:val="right"/>
            </w:pPr>
            <w:proofErr w:type="spellStart"/>
            <w:r>
              <w:rPr>
                <w:rFonts w:hint="cs"/>
                <w:color w:val="000000"/>
                <w:rtl/>
              </w:rPr>
              <w:t>-</w:t>
            </w:r>
            <w:proofErr w:type="spellEnd"/>
            <w:r>
              <w:rPr>
                <w:color w:val="000000"/>
              </w:rPr>
              <w:t xml:space="preserve"> 1.99%</w:t>
            </w:r>
          </w:p>
        </w:tc>
      </w:tr>
      <w:tr w:rsidR="0000094F" w:rsidTr="003B4C55">
        <w:trPr>
          <w:trHeight w:hRule="exact" w:val="363"/>
          <w:jc w:val="center"/>
        </w:trPr>
        <w:tc>
          <w:tcPr>
            <w:tcW w:w="3759" w:type="dxa"/>
            <w:vAlign w:val="center"/>
          </w:tcPr>
          <w:p w:rsidR="0000094F" w:rsidRPr="00C2202F" w:rsidRDefault="0000094F" w:rsidP="003B4C55">
            <w:pPr>
              <w:bidi w:val="0"/>
            </w:pPr>
            <w:r w:rsidRPr="0085590E">
              <w:t>Gas</w:t>
            </w:r>
          </w:p>
        </w:tc>
        <w:tc>
          <w:tcPr>
            <w:tcW w:w="2700" w:type="dxa"/>
            <w:vAlign w:val="center"/>
          </w:tcPr>
          <w:p w:rsidR="0000094F" w:rsidRDefault="0000094F" w:rsidP="003B4C55">
            <w:pPr>
              <w:tabs>
                <w:tab w:val="right" w:pos="338"/>
              </w:tabs>
              <w:bidi w:val="0"/>
              <w:jc w:val="right"/>
              <w:rPr>
                <w:color w:val="000000"/>
              </w:rPr>
            </w:pPr>
            <w:proofErr w:type="spellStart"/>
            <w:r>
              <w:rPr>
                <w:rFonts w:hint="cs"/>
                <w:color w:val="000000"/>
                <w:rtl/>
              </w:rPr>
              <w:t>-</w:t>
            </w:r>
            <w:proofErr w:type="spellEnd"/>
            <w:r>
              <w:rPr>
                <w:color w:val="000000"/>
              </w:rPr>
              <w:t xml:space="preserve"> 1.77%</w:t>
            </w:r>
          </w:p>
        </w:tc>
      </w:tr>
      <w:tr w:rsidR="0000094F" w:rsidTr="003B4C55">
        <w:trPr>
          <w:trHeight w:hRule="exact" w:val="363"/>
          <w:jc w:val="center"/>
        </w:trPr>
        <w:tc>
          <w:tcPr>
            <w:tcW w:w="3759" w:type="dxa"/>
            <w:vAlign w:val="center"/>
          </w:tcPr>
          <w:p w:rsidR="0000094F" w:rsidRPr="005E3CD8" w:rsidRDefault="0000094F" w:rsidP="003B4C55">
            <w:pPr>
              <w:bidi w:val="0"/>
              <w:rPr>
                <w:color w:val="000000"/>
              </w:rPr>
            </w:pPr>
            <w:r w:rsidRPr="00416A05">
              <w:rPr>
                <w:color w:val="000000"/>
              </w:rPr>
              <w:t xml:space="preserve">Fresh </w:t>
            </w:r>
            <w:r>
              <w:rPr>
                <w:color w:val="000000"/>
              </w:rPr>
              <w:t>P</w:t>
            </w:r>
            <w:r w:rsidRPr="00416A05">
              <w:rPr>
                <w:color w:val="000000"/>
              </w:rPr>
              <w:t>oultry</w:t>
            </w:r>
          </w:p>
        </w:tc>
        <w:tc>
          <w:tcPr>
            <w:tcW w:w="2700" w:type="dxa"/>
            <w:vAlign w:val="center"/>
          </w:tcPr>
          <w:p w:rsidR="0000094F" w:rsidRDefault="0000094F" w:rsidP="003B4C55">
            <w:pPr>
              <w:tabs>
                <w:tab w:val="right" w:pos="338"/>
              </w:tabs>
              <w:bidi w:val="0"/>
              <w:jc w:val="right"/>
            </w:pPr>
            <w:r>
              <w:t>- 1.43%</w:t>
            </w:r>
          </w:p>
        </w:tc>
      </w:tr>
    </w:tbl>
    <w:p w:rsidR="0000094F" w:rsidRDefault="0000094F" w:rsidP="0000094F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  <w:sz w:val="20"/>
          <w:szCs w:val="20"/>
        </w:rPr>
      </w:pPr>
    </w:p>
    <w:p w:rsidR="0000094F" w:rsidRDefault="0000094F" w:rsidP="0000094F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</w:rPr>
      </w:pPr>
    </w:p>
    <w:p w:rsidR="0000094F" w:rsidRDefault="0000094F" w:rsidP="0000094F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</w:rPr>
      </w:pPr>
    </w:p>
    <w:p w:rsidR="0000094F" w:rsidRDefault="0000094F" w:rsidP="0000094F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</w:rPr>
      </w:pPr>
    </w:p>
    <w:p w:rsidR="0000094F" w:rsidRDefault="0000094F" w:rsidP="0000094F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</w:rPr>
      </w:pPr>
    </w:p>
    <w:p w:rsidR="0000094F" w:rsidRDefault="0000094F" w:rsidP="0000094F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</w:rPr>
      </w:pPr>
    </w:p>
    <w:p w:rsidR="0000094F" w:rsidRDefault="0000094F" w:rsidP="0000094F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</w:rPr>
      </w:pPr>
    </w:p>
    <w:p w:rsidR="0000094F" w:rsidRDefault="0000094F" w:rsidP="0000094F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</w:rPr>
      </w:pPr>
    </w:p>
    <w:p w:rsidR="0000094F" w:rsidRDefault="0000094F" w:rsidP="0000094F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</w:rPr>
      </w:pPr>
    </w:p>
    <w:p w:rsidR="0000094F" w:rsidRDefault="0000094F" w:rsidP="0000094F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</w:rPr>
      </w:pPr>
    </w:p>
    <w:p w:rsidR="0000094F" w:rsidRPr="00245527" w:rsidRDefault="0000094F" w:rsidP="0000094F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  <w:sz w:val="25"/>
          <w:szCs w:val="25"/>
        </w:rPr>
      </w:pPr>
      <w:r w:rsidRPr="00245527">
        <w:rPr>
          <w:rFonts w:cs="Simplified Arabic"/>
          <w:b/>
          <w:bCs/>
          <w:snapToGrid w:val="0"/>
          <w:color w:val="000000"/>
          <w:sz w:val="25"/>
          <w:szCs w:val="25"/>
        </w:rPr>
        <w:t>The consumer price index in Palestine for June</w:t>
      </w:r>
      <w:r w:rsidRPr="00245527">
        <w:rPr>
          <w:b/>
          <w:bCs/>
          <w:color w:val="000000"/>
          <w:sz w:val="25"/>
          <w:szCs w:val="25"/>
        </w:rPr>
        <w:t xml:space="preserve"> </w:t>
      </w:r>
      <w:r w:rsidRPr="00245527">
        <w:rPr>
          <w:rFonts w:cs="Simplified Arabic"/>
          <w:b/>
          <w:bCs/>
          <w:snapToGrid w:val="0"/>
          <w:color w:val="000000"/>
          <w:sz w:val="25"/>
          <w:szCs w:val="25"/>
        </w:rPr>
        <w:t xml:space="preserve">2015 – </w:t>
      </w:r>
      <w:r w:rsidRPr="00245527">
        <w:rPr>
          <w:b/>
          <w:bCs/>
          <w:color w:val="000000"/>
          <w:sz w:val="25"/>
          <w:szCs w:val="25"/>
        </w:rPr>
        <w:t xml:space="preserve">June </w:t>
      </w:r>
      <w:r w:rsidRPr="00245527">
        <w:rPr>
          <w:rFonts w:cs="Simplified Arabic"/>
          <w:b/>
          <w:bCs/>
          <w:snapToGrid w:val="0"/>
          <w:color w:val="000000"/>
          <w:sz w:val="25"/>
          <w:szCs w:val="25"/>
        </w:rPr>
        <w:t>2016</w:t>
      </w:r>
    </w:p>
    <w:p w:rsidR="0000094F" w:rsidRPr="00245527" w:rsidRDefault="0000094F" w:rsidP="0000094F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  <w:sz w:val="25"/>
          <w:szCs w:val="25"/>
        </w:rPr>
      </w:pPr>
      <w:r w:rsidRPr="00245527">
        <w:rPr>
          <w:rFonts w:cs="Simplified Arabic"/>
          <w:b/>
          <w:bCs/>
          <w:snapToGrid w:val="0"/>
          <w:color w:val="000000"/>
          <w:sz w:val="25"/>
          <w:szCs w:val="25"/>
        </w:rPr>
        <w:t>(Base Year 2010=100)</w:t>
      </w:r>
    </w:p>
    <w:p w:rsidR="0000094F" w:rsidRDefault="0000094F" w:rsidP="0000094F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16"/>
          <w:szCs w:val="16"/>
          <w:lang w:eastAsia="en-US"/>
        </w:rPr>
        <w:drawing>
          <wp:inline distT="0" distB="0" distL="0" distR="0">
            <wp:extent cx="3190875" cy="2266950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0094F" w:rsidRDefault="0000094F" w:rsidP="0000094F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color w:val="000000"/>
          <w:sz w:val="20"/>
          <w:szCs w:val="20"/>
        </w:rPr>
      </w:pPr>
    </w:p>
    <w:p w:rsidR="0000094F" w:rsidRDefault="0000094F" w:rsidP="0000094F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color w:val="000000"/>
          <w:sz w:val="20"/>
          <w:szCs w:val="20"/>
        </w:rPr>
      </w:pPr>
    </w:p>
    <w:p w:rsidR="0000094F" w:rsidRDefault="0000094F" w:rsidP="0000094F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color w:val="000000"/>
          <w:sz w:val="20"/>
          <w:szCs w:val="20"/>
        </w:rPr>
      </w:pPr>
    </w:p>
    <w:p w:rsidR="0000094F" w:rsidRPr="00245527" w:rsidRDefault="0000094F" w:rsidP="0000094F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color w:val="000000"/>
          <w:sz w:val="22"/>
          <w:szCs w:val="22"/>
        </w:rPr>
      </w:pPr>
      <w:r w:rsidRPr="00245527">
        <w:rPr>
          <w:rFonts w:cs="Simplified Arabic"/>
          <w:b/>
          <w:bCs/>
          <w:snapToGrid w:val="0"/>
          <w:color w:val="000000"/>
          <w:sz w:val="22"/>
          <w:szCs w:val="22"/>
        </w:rPr>
        <w:t>Notes</w:t>
      </w:r>
      <w:r w:rsidRPr="00245527">
        <w:rPr>
          <w:rFonts w:cs="Simplified Arabic"/>
          <w:snapToGrid w:val="0"/>
          <w:color w:val="000000"/>
          <w:sz w:val="22"/>
          <w:szCs w:val="22"/>
        </w:rPr>
        <w:t>:</w:t>
      </w:r>
    </w:p>
    <w:p w:rsidR="0000094F" w:rsidRPr="00245527" w:rsidRDefault="0000094F" w:rsidP="0000094F">
      <w:pPr>
        <w:numPr>
          <w:ilvl w:val="0"/>
          <w:numId w:val="1"/>
        </w:numPr>
        <w:bidi w:val="0"/>
        <w:jc w:val="both"/>
        <w:rPr>
          <w:color w:val="000000"/>
          <w:sz w:val="22"/>
          <w:szCs w:val="22"/>
        </w:rPr>
      </w:pPr>
      <w:r w:rsidRPr="00245527">
        <w:rPr>
          <w:color w:val="000000"/>
          <w:sz w:val="22"/>
          <w:szCs w:val="22"/>
        </w:rPr>
        <w:t>The data of Jerusalem J1* includes that part of Jerusalem governorate which was annexed forcefully by Israel following its occupation of the West Bank in 1967.</w:t>
      </w:r>
    </w:p>
    <w:p w:rsidR="0000094F" w:rsidRPr="00245527" w:rsidRDefault="0000094F" w:rsidP="0000094F">
      <w:pPr>
        <w:numPr>
          <w:ilvl w:val="0"/>
          <w:numId w:val="1"/>
        </w:numPr>
        <w:bidi w:val="0"/>
        <w:jc w:val="both"/>
        <w:rPr>
          <w:color w:val="000000"/>
          <w:sz w:val="22"/>
          <w:szCs w:val="22"/>
        </w:rPr>
      </w:pPr>
      <w:r w:rsidRPr="00245527">
        <w:rPr>
          <w:sz w:val="22"/>
          <w:szCs w:val="22"/>
        </w:rPr>
        <w:t xml:space="preserve">The data of  West Bank** doesn't include that part of Jerusalem </w:t>
      </w:r>
      <w:r w:rsidRPr="00245527">
        <w:rPr>
          <w:color w:val="000000"/>
          <w:sz w:val="22"/>
          <w:szCs w:val="22"/>
        </w:rPr>
        <w:t>governorate</w:t>
      </w:r>
      <w:r w:rsidRPr="00245527">
        <w:rPr>
          <w:sz w:val="22"/>
          <w:szCs w:val="22"/>
        </w:rPr>
        <w:t xml:space="preserve"> which was annexed forcefully by Israel following its occupation of the West Bank in 1967.</w:t>
      </w:r>
    </w:p>
    <w:p w:rsidR="0000094F" w:rsidRPr="00245527" w:rsidRDefault="0000094F" w:rsidP="0000094F">
      <w:pPr>
        <w:bidi w:val="0"/>
        <w:jc w:val="both"/>
        <w:rPr>
          <w:b/>
          <w:bCs/>
          <w:sz w:val="22"/>
          <w:szCs w:val="22"/>
        </w:rPr>
      </w:pPr>
    </w:p>
    <w:p w:rsidR="001F6D4F" w:rsidRPr="0000094F" w:rsidRDefault="0000094F">
      <w:pPr>
        <w:rPr>
          <w:rFonts w:hint="cs"/>
        </w:rPr>
      </w:pPr>
      <w:r>
        <w:rPr>
          <w:rFonts w:hint="cs"/>
          <w:rtl/>
        </w:rPr>
        <w:t xml:space="preserve"> </w:t>
      </w:r>
    </w:p>
    <w:sectPr w:rsidR="001F6D4F" w:rsidRPr="0000094F" w:rsidSect="00245527">
      <w:footerReference w:type="even" r:id="rId6"/>
      <w:footerReference w:type="default" r:id="rId7"/>
      <w:pgSz w:w="11907" w:h="16840" w:code="9"/>
      <w:pgMar w:top="720" w:right="720" w:bottom="720" w:left="720" w:header="720" w:footer="720" w:gutter="0"/>
      <w:pgNumType w:start="1"/>
      <w:cols w:space="851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60" w:rsidRDefault="0000094F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36</w:t>
    </w:r>
    <w:r>
      <w:rPr>
        <w:rStyle w:val="PageNumber"/>
        <w:rtl/>
      </w:rPr>
      <w:fldChar w:fldCharType="end"/>
    </w:r>
  </w:p>
  <w:p w:rsidR="009E4C60" w:rsidRDefault="0000094F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27" w:rsidRPr="00245527" w:rsidRDefault="0000094F">
    <w:pPr>
      <w:pStyle w:val="Footer"/>
      <w:jc w:val="center"/>
    </w:pPr>
    <w:r w:rsidRPr="00245527">
      <w:fldChar w:fldCharType="begin"/>
    </w:r>
    <w:r w:rsidRPr="00245527">
      <w:instrText xml:space="preserve"> PAGE   \* MERGEFORMAT </w:instrText>
    </w:r>
    <w:r w:rsidRPr="00245527">
      <w:fldChar w:fldCharType="separate"/>
    </w:r>
    <w:r>
      <w:rPr>
        <w:noProof/>
        <w:rtl/>
      </w:rPr>
      <w:t>2</w:t>
    </w:r>
    <w:r w:rsidRPr="00245527">
      <w:fldChar w:fldCharType="end"/>
    </w:r>
  </w:p>
  <w:p w:rsidR="00245527" w:rsidRDefault="0000094F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0094F"/>
    <w:rsid w:val="0000094F"/>
    <w:rsid w:val="001F6D4F"/>
    <w:rsid w:val="005E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0094F"/>
    <w:pPr>
      <w:keepNext/>
      <w:jc w:val="lowKashida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094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094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94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00094F"/>
  </w:style>
  <w:style w:type="paragraph" w:styleId="BodyText3">
    <w:name w:val="Body Text 3"/>
    <w:basedOn w:val="Normal"/>
    <w:link w:val="BodyText3Char"/>
    <w:semiHidden/>
    <w:unhideWhenUsed/>
    <w:rsid w:val="0000094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0094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94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5644171779141117"/>
          <c:y val="9.2105263157894787E-2"/>
          <c:w val="0.81288343558282228"/>
          <c:h val="0.75000000000000022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cpi</c:v>
                </c:pt>
              </c:strCache>
            </c:strRef>
          </c:tx>
          <c:spPr>
            <a:ln w="12662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7602093873417885E-3"/>
                  <c:y val="-0.13200491966367978"/>
                </c:manualLayout>
              </c:layout>
              <c:spPr>
                <a:noFill/>
                <a:ln w="25324">
                  <a:noFill/>
                </a:ln>
              </c:spPr>
              <c:txPr>
                <a:bodyPr/>
                <a:lstStyle/>
                <a:p>
                  <a:pPr>
                    <a:defRPr sz="847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Lbl>
              <c:idx val="12"/>
              <c:layout>
                <c:manualLayout>
                  <c:x val="-1.718654781740751E-2"/>
                  <c:y val="-0.12153322165998588"/>
                </c:manualLayout>
              </c:layout>
              <c:spPr>
                <a:noFill/>
                <a:ln w="25324">
                  <a:noFill/>
                </a:ln>
              </c:spPr>
              <c:txPr>
                <a:bodyPr/>
                <a:lstStyle/>
                <a:p>
                  <a:pPr>
                    <a:defRPr sz="847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elete val="1"/>
          </c:dLbls>
          <c:cat>
            <c:strRef>
              <c:f>Sheet1!$B$1:$N$1</c:f>
              <c:strCache>
                <c:ptCount val="13"/>
                <c:pt idx="0">
                  <c:v>Jun.2015</c:v>
                </c:pt>
                <c:pt idx="1">
                  <c:v>Jul.2015</c:v>
                </c:pt>
                <c:pt idx="2">
                  <c:v>Aug.2015</c:v>
                </c:pt>
                <c:pt idx="3">
                  <c:v>Sep.2015</c:v>
                </c:pt>
                <c:pt idx="4">
                  <c:v>Oct.2015</c:v>
                </c:pt>
                <c:pt idx="5">
                  <c:v>Nov.2015</c:v>
                </c:pt>
                <c:pt idx="6">
                  <c:v>Dec.2015</c:v>
                </c:pt>
                <c:pt idx="7">
                  <c:v>Jan.2016</c:v>
                </c:pt>
                <c:pt idx="8">
                  <c:v>Feb.2016</c:v>
                </c:pt>
                <c:pt idx="9">
                  <c:v>Mar.2016</c:v>
                </c:pt>
                <c:pt idx="10">
                  <c:v>Apr.2016</c:v>
                </c:pt>
                <c:pt idx="11">
                  <c:v>May.2016</c:v>
                </c:pt>
                <c:pt idx="12">
                  <c:v>Jun.2016</c:v>
                </c:pt>
              </c:strCache>
            </c:strRef>
          </c:cat>
          <c:val>
            <c:numRef>
              <c:f>Sheet1!$B$2:$N$2</c:f>
              <c:numCache>
                <c:formatCode>#,##0.00</c:formatCode>
                <c:ptCount val="13"/>
                <c:pt idx="0">
                  <c:v>110.89277599999997</c:v>
                </c:pt>
                <c:pt idx="1">
                  <c:v>110.43403090000002</c:v>
                </c:pt>
                <c:pt idx="2">
                  <c:v>110.6982367</c:v>
                </c:pt>
                <c:pt idx="3">
                  <c:v>112.07022340000003</c:v>
                </c:pt>
                <c:pt idx="4">
                  <c:v>112.17288769999996</c:v>
                </c:pt>
                <c:pt idx="5">
                  <c:v>111.49119150000003</c:v>
                </c:pt>
                <c:pt idx="6">
                  <c:v>111.68859620000001</c:v>
                </c:pt>
                <c:pt idx="7">
                  <c:v>110.95508249999997</c:v>
                </c:pt>
                <c:pt idx="8">
                  <c:v>110.6713666</c:v>
                </c:pt>
                <c:pt idx="9">
                  <c:v>110.7225191</c:v>
                </c:pt>
                <c:pt idx="10">
                  <c:v>111.0324176</c:v>
                </c:pt>
                <c:pt idx="11">
                  <c:v>110.49315009999999</c:v>
                </c:pt>
                <c:pt idx="12" formatCode="General">
                  <c:v>110.74000000000002</c:v>
                </c:pt>
              </c:numCache>
            </c:numRef>
          </c:val>
        </c:ser>
        <c:marker val="1"/>
        <c:axId val="185517952"/>
        <c:axId val="185570816"/>
      </c:lineChart>
      <c:catAx>
        <c:axId val="185517952"/>
        <c:scaling>
          <c:orientation val="minMax"/>
        </c:scaling>
        <c:axPos val="b"/>
        <c:numFmt formatCode="General" sourceLinked="1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85570816"/>
        <c:crossesAt val="105"/>
        <c:auto val="1"/>
        <c:lblAlgn val="ctr"/>
        <c:lblOffset val="100"/>
        <c:tickLblSkip val="3"/>
        <c:tickMarkSkip val="1"/>
      </c:catAx>
      <c:valAx>
        <c:axId val="185570816"/>
        <c:scaling>
          <c:orientation val="minMax"/>
          <c:max val="115"/>
          <c:min val="105"/>
        </c:scaling>
        <c:axPos val="l"/>
        <c:title>
          <c:tx>
            <c:rich>
              <a:bodyPr/>
              <a:lstStyle/>
              <a:p>
                <a:pPr>
                  <a:defRPr sz="84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Consumer Price Index CPI</a:t>
                </a:r>
              </a:p>
            </c:rich>
          </c:tx>
          <c:layout>
            <c:manualLayout>
              <c:xMode val="edge"/>
              <c:yMode val="edge"/>
              <c:x val="0"/>
              <c:y val="0.18421052631578941"/>
            </c:manualLayout>
          </c:layout>
          <c:spPr>
            <a:noFill/>
            <a:ln w="25324">
              <a:noFill/>
            </a:ln>
          </c:spPr>
        </c:title>
        <c:numFmt formatCode="General" sourceLinked="0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85517952"/>
        <c:crosses val="autoZero"/>
        <c:crossBetween val="between"/>
        <c:majorUnit val="1"/>
      </c:valAx>
      <c:spPr>
        <a:noFill/>
        <a:ln w="25324">
          <a:noFill/>
        </a:ln>
      </c:spPr>
    </c:plotArea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4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1</cp:revision>
  <dcterms:created xsi:type="dcterms:W3CDTF">2016-07-13T09:39:00Z</dcterms:created>
  <dcterms:modified xsi:type="dcterms:W3CDTF">2016-07-13T09:40:00Z</dcterms:modified>
</cp:coreProperties>
</file>