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91" w:rsidRDefault="00CA3091" w:rsidP="001A076B">
      <w:pPr>
        <w:pStyle w:val="BodyText3"/>
        <w:ind w:right="1"/>
        <w:jc w:val="center"/>
        <w:rPr>
          <w:rFonts w:cs="Times New Roman"/>
          <w:sz w:val="32"/>
          <w:szCs w:val="32"/>
        </w:rPr>
      </w:pPr>
    </w:p>
    <w:p w:rsidR="001A076B" w:rsidRPr="00CA3091" w:rsidRDefault="001A076B" w:rsidP="001A076B">
      <w:pPr>
        <w:pStyle w:val="BodyText3"/>
        <w:ind w:right="1"/>
        <w:jc w:val="center"/>
        <w:rPr>
          <w:rFonts w:cs="Times New Roman"/>
          <w:sz w:val="32"/>
          <w:szCs w:val="32"/>
        </w:rPr>
      </w:pPr>
      <w:r w:rsidRPr="00CA3091">
        <w:rPr>
          <w:rFonts w:cs="Times New Roman"/>
          <w:sz w:val="32"/>
          <w:szCs w:val="32"/>
        </w:rPr>
        <w:t>Palestinian Central Bureau of Statistics (PCBS)</w:t>
      </w:r>
    </w:p>
    <w:p w:rsidR="001A076B" w:rsidRPr="001A076B" w:rsidRDefault="001A076B" w:rsidP="001A076B">
      <w:pPr>
        <w:pStyle w:val="BodyText3"/>
        <w:ind w:right="1"/>
        <w:jc w:val="center"/>
        <w:rPr>
          <w:rFonts w:cs="Times New Roman"/>
          <w:sz w:val="16"/>
          <w:szCs w:val="16"/>
        </w:rPr>
      </w:pPr>
    </w:p>
    <w:p w:rsidR="00CA3091" w:rsidRDefault="001C319D" w:rsidP="001A076B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1A076B">
        <w:rPr>
          <w:rFonts w:cs="Times New Roman"/>
          <w:sz w:val="28"/>
          <w:szCs w:val="28"/>
        </w:rPr>
        <w:t>In</w:t>
      </w:r>
      <w:r w:rsidR="00F9771A" w:rsidRPr="001A076B">
        <w:rPr>
          <w:rFonts w:cs="Times New Roman"/>
          <w:sz w:val="28"/>
          <w:szCs w:val="28"/>
        </w:rPr>
        <w:t xml:space="preserve">crease in the number of building licenses in Palestine* in the </w:t>
      </w:r>
      <w:r w:rsidR="00A66BF4" w:rsidRPr="001A076B">
        <w:rPr>
          <w:rFonts w:cs="Times New Roman"/>
          <w:sz w:val="28"/>
          <w:szCs w:val="28"/>
        </w:rPr>
        <w:t>fourth</w:t>
      </w:r>
      <w:r w:rsidR="00F9771A" w:rsidRPr="001A076B">
        <w:rPr>
          <w:rFonts w:cs="Times New Roman"/>
          <w:sz w:val="28"/>
          <w:szCs w:val="28"/>
        </w:rPr>
        <w:t xml:space="preserve"> quarter of 202</w:t>
      </w:r>
      <w:r w:rsidR="008F603E" w:rsidRPr="001A076B">
        <w:rPr>
          <w:rFonts w:cs="Times New Roman"/>
          <w:sz w:val="28"/>
          <w:szCs w:val="28"/>
        </w:rPr>
        <w:t>2</w:t>
      </w:r>
      <w:r w:rsidR="00236C1B" w:rsidRPr="001A076B">
        <w:rPr>
          <w:rFonts w:cs="Times New Roman"/>
          <w:sz w:val="28"/>
          <w:szCs w:val="28"/>
        </w:rPr>
        <w:t xml:space="preserve"> </w:t>
      </w:r>
      <w:r w:rsidR="00236C1B" w:rsidRPr="001A076B">
        <w:rPr>
          <w:sz w:val="28"/>
          <w:szCs w:val="28"/>
        </w:rPr>
        <w:t xml:space="preserve">compared with </w:t>
      </w:r>
      <w:r w:rsidR="00236C1B" w:rsidRPr="001A076B">
        <w:rPr>
          <w:rStyle w:val="y2iqfc"/>
          <w:color w:val="202124"/>
          <w:sz w:val="28"/>
          <w:szCs w:val="28"/>
        </w:rPr>
        <w:t>previous quarter</w:t>
      </w:r>
      <w:r w:rsidR="00F9771A" w:rsidRPr="001A076B">
        <w:rPr>
          <w:rFonts w:cs="Times New Roman"/>
          <w:sz w:val="28"/>
          <w:szCs w:val="28"/>
        </w:rPr>
        <w:t xml:space="preserve">, due to the </w:t>
      </w:r>
      <w:r w:rsidRPr="001A076B">
        <w:rPr>
          <w:rFonts w:cs="Times New Roman"/>
          <w:sz w:val="28"/>
          <w:szCs w:val="28"/>
        </w:rPr>
        <w:t>in</w:t>
      </w:r>
      <w:r w:rsidR="00F9771A" w:rsidRPr="001A076B">
        <w:rPr>
          <w:rFonts w:cs="Times New Roman"/>
          <w:sz w:val="28"/>
          <w:szCs w:val="28"/>
        </w:rPr>
        <w:t xml:space="preserve">crease in the number of </w:t>
      </w:r>
    </w:p>
    <w:p w:rsidR="00F9771A" w:rsidRPr="001A076B" w:rsidRDefault="00F9771A" w:rsidP="001A076B">
      <w:pPr>
        <w:pStyle w:val="BodyText3"/>
        <w:ind w:right="1"/>
        <w:jc w:val="center"/>
        <w:rPr>
          <w:rFonts w:cs="Times New Roman"/>
          <w:sz w:val="28"/>
          <w:szCs w:val="28"/>
        </w:rPr>
      </w:pPr>
      <w:r w:rsidRPr="001A076B">
        <w:rPr>
          <w:rFonts w:cs="Times New Roman"/>
          <w:sz w:val="28"/>
          <w:szCs w:val="28"/>
        </w:rPr>
        <w:t>new building licenses</w:t>
      </w:r>
    </w:p>
    <w:p w:rsidR="00EB1374" w:rsidRPr="001163C8" w:rsidRDefault="00EB1374" w:rsidP="00EB1374">
      <w:pPr>
        <w:numPr>
          <w:ilvl w:val="12"/>
          <w:numId w:val="0"/>
        </w:numPr>
        <w:bidi w:val="0"/>
        <w:ind w:right="1"/>
        <w:jc w:val="both"/>
        <w:rPr>
          <w:b/>
          <w:bCs/>
        </w:rPr>
      </w:pPr>
    </w:p>
    <w:p w:rsidR="00EB1374" w:rsidRPr="00CA3091" w:rsidRDefault="00EB1374" w:rsidP="00A66BF4">
      <w:pPr>
        <w:bidi w:val="0"/>
        <w:ind w:right="-2"/>
        <w:jc w:val="both"/>
        <w:rPr>
          <w:sz w:val="26"/>
          <w:szCs w:val="26"/>
        </w:rPr>
      </w:pPr>
      <w:r w:rsidRPr="00CA3091">
        <w:rPr>
          <w:rFonts w:cs="Simplified Arabic"/>
          <w:sz w:val="26"/>
          <w:szCs w:val="26"/>
        </w:rPr>
        <w:t>A total</w:t>
      </w:r>
      <w:r w:rsidRPr="00CA3091">
        <w:rPr>
          <w:rFonts w:cs="Simplified Arabic"/>
          <w:b/>
          <w:bCs/>
          <w:sz w:val="26"/>
          <w:szCs w:val="26"/>
        </w:rPr>
        <w:t xml:space="preserve"> </w:t>
      </w:r>
      <w:r w:rsidRPr="00CA3091">
        <w:rPr>
          <w:sz w:val="26"/>
          <w:szCs w:val="26"/>
        </w:rPr>
        <w:t xml:space="preserve">of </w:t>
      </w:r>
      <w:r w:rsidR="00A66BF4" w:rsidRPr="00CA3091">
        <w:rPr>
          <w:sz w:val="26"/>
          <w:szCs w:val="26"/>
        </w:rPr>
        <w:t>2,804</w:t>
      </w:r>
      <w:r w:rsidR="00C752F0" w:rsidRPr="00CA3091">
        <w:rPr>
          <w:sz w:val="26"/>
          <w:szCs w:val="26"/>
        </w:rPr>
        <w:t xml:space="preserve"> </w:t>
      </w:r>
      <w:r w:rsidRPr="00CA3091">
        <w:rPr>
          <w:sz w:val="26"/>
          <w:szCs w:val="26"/>
        </w:rPr>
        <w:t xml:space="preserve">building licenses were issued in the </w:t>
      </w:r>
      <w:r w:rsidR="00A66BF4" w:rsidRPr="00CA3091">
        <w:rPr>
          <w:sz w:val="26"/>
          <w:szCs w:val="26"/>
        </w:rPr>
        <w:t>fourth</w:t>
      </w:r>
      <w:r w:rsidRPr="00CA3091">
        <w:rPr>
          <w:sz w:val="26"/>
          <w:szCs w:val="26"/>
        </w:rPr>
        <w:t xml:space="preserve"> quarter of 20</w:t>
      </w:r>
      <w:r w:rsidR="002B118B" w:rsidRPr="00CA3091">
        <w:rPr>
          <w:sz w:val="26"/>
          <w:szCs w:val="26"/>
        </w:rPr>
        <w:t>2</w:t>
      </w:r>
      <w:r w:rsidR="008F603E" w:rsidRPr="00CA3091">
        <w:rPr>
          <w:sz w:val="26"/>
          <w:szCs w:val="26"/>
        </w:rPr>
        <w:t>2</w:t>
      </w:r>
      <w:r w:rsidR="00BE274B" w:rsidRPr="00CA3091">
        <w:rPr>
          <w:sz w:val="26"/>
          <w:szCs w:val="26"/>
        </w:rPr>
        <w:t>, of</w:t>
      </w:r>
      <w:r w:rsidRPr="00CA3091">
        <w:rPr>
          <w:sz w:val="26"/>
          <w:szCs w:val="26"/>
        </w:rPr>
        <w:t xml:space="preserve"> which </w:t>
      </w:r>
      <w:r w:rsidR="00A66BF4" w:rsidRPr="00CA3091">
        <w:rPr>
          <w:sz w:val="26"/>
          <w:szCs w:val="26"/>
        </w:rPr>
        <w:t>1,674</w:t>
      </w:r>
      <w:r w:rsidR="009343BD" w:rsidRPr="00CA3091">
        <w:rPr>
          <w:sz w:val="26"/>
          <w:szCs w:val="26"/>
        </w:rPr>
        <w:t xml:space="preserve"> </w:t>
      </w:r>
      <w:r w:rsidR="00BE274B" w:rsidRPr="00CA3091">
        <w:rPr>
          <w:sz w:val="26"/>
          <w:szCs w:val="26"/>
        </w:rPr>
        <w:t>are</w:t>
      </w:r>
      <w:r w:rsidRPr="00CA3091">
        <w:rPr>
          <w:sz w:val="26"/>
          <w:szCs w:val="26"/>
        </w:rPr>
        <w:t xml:space="preserve"> new buildings. </w:t>
      </w:r>
    </w:p>
    <w:p w:rsidR="00EB1374" w:rsidRPr="001A076B" w:rsidRDefault="00EB1374" w:rsidP="001E1151">
      <w:pPr>
        <w:bidi w:val="0"/>
        <w:rPr>
          <w:color w:val="1F497D"/>
          <w:sz w:val="16"/>
          <w:szCs w:val="16"/>
        </w:rPr>
      </w:pPr>
    </w:p>
    <w:p w:rsidR="00EB1374" w:rsidRPr="00CA3091" w:rsidRDefault="00EB1374" w:rsidP="008A1E35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CA3091">
        <w:rPr>
          <w:sz w:val="26"/>
          <w:szCs w:val="26"/>
        </w:rPr>
        <w:t>The total number of building licenses issued</w:t>
      </w:r>
      <w:bookmarkStart w:id="0" w:name="_GoBack"/>
      <w:bookmarkEnd w:id="0"/>
      <w:r w:rsidRPr="00CA3091">
        <w:rPr>
          <w:sz w:val="26"/>
          <w:szCs w:val="26"/>
        </w:rPr>
        <w:t xml:space="preserve"> in the </w:t>
      </w:r>
      <w:r w:rsidR="008A1E35" w:rsidRPr="00CA3091">
        <w:rPr>
          <w:sz w:val="26"/>
          <w:szCs w:val="26"/>
        </w:rPr>
        <w:t>fourth</w:t>
      </w:r>
      <w:r w:rsidRPr="00CA3091">
        <w:rPr>
          <w:rFonts w:cs="Simplified Arabic"/>
          <w:sz w:val="26"/>
          <w:szCs w:val="26"/>
        </w:rPr>
        <w:t xml:space="preserve"> </w:t>
      </w:r>
      <w:r w:rsidRPr="00CA3091">
        <w:rPr>
          <w:sz w:val="26"/>
          <w:szCs w:val="26"/>
        </w:rPr>
        <w:t>quarter of 20</w:t>
      </w:r>
      <w:r w:rsidR="004968B5" w:rsidRPr="00CA3091">
        <w:rPr>
          <w:sz w:val="26"/>
          <w:szCs w:val="26"/>
        </w:rPr>
        <w:t>2</w:t>
      </w:r>
      <w:r w:rsidR="00DE1CEB" w:rsidRPr="00CA3091">
        <w:rPr>
          <w:sz w:val="26"/>
          <w:szCs w:val="26"/>
        </w:rPr>
        <w:t>2</w:t>
      </w:r>
      <w:r w:rsidRPr="00CA3091">
        <w:rPr>
          <w:sz w:val="26"/>
          <w:szCs w:val="26"/>
        </w:rPr>
        <w:t xml:space="preserve"> </w:t>
      </w:r>
      <w:r w:rsidR="009260FB" w:rsidRPr="00CA3091">
        <w:rPr>
          <w:sz w:val="26"/>
          <w:szCs w:val="26"/>
        </w:rPr>
        <w:t>in</w:t>
      </w:r>
      <w:r w:rsidRPr="00CA3091">
        <w:rPr>
          <w:sz w:val="26"/>
          <w:szCs w:val="26"/>
        </w:rPr>
        <w:t xml:space="preserve">creased by </w:t>
      </w:r>
      <w:r w:rsidR="008A1E35" w:rsidRPr="00CA3091">
        <w:rPr>
          <w:sz w:val="26"/>
          <w:szCs w:val="26"/>
        </w:rPr>
        <w:t>5</w:t>
      </w:r>
      <w:r w:rsidRPr="00CA3091">
        <w:rPr>
          <w:sz w:val="26"/>
          <w:szCs w:val="26"/>
        </w:rPr>
        <w:t xml:space="preserve">% compared with the </w:t>
      </w:r>
      <w:r w:rsidR="008A1E35" w:rsidRPr="00CA3091">
        <w:rPr>
          <w:sz w:val="26"/>
          <w:szCs w:val="26"/>
        </w:rPr>
        <w:t xml:space="preserve">third </w:t>
      </w:r>
      <w:r w:rsidRPr="00CA3091">
        <w:rPr>
          <w:sz w:val="26"/>
          <w:szCs w:val="26"/>
        </w:rPr>
        <w:t>quarter</w:t>
      </w:r>
      <w:bookmarkStart w:id="1" w:name="OLE_LINK12"/>
      <w:r w:rsidRPr="00CA3091">
        <w:rPr>
          <w:sz w:val="26"/>
          <w:szCs w:val="26"/>
        </w:rPr>
        <w:t xml:space="preserve"> of 20</w:t>
      </w:r>
      <w:r w:rsidR="009827BF" w:rsidRPr="00CA3091">
        <w:rPr>
          <w:sz w:val="26"/>
          <w:szCs w:val="26"/>
        </w:rPr>
        <w:t>2</w:t>
      </w:r>
      <w:r w:rsidR="006318EB" w:rsidRPr="00CA3091">
        <w:rPr>
          <w:sz w:val="26"/>
          <w:szCs w:val="26"/>
        </w:rPr>
        <w:t>2</w:t>
      </w:r>
      <w:r w:rsidRPr="00CA3091">
        <w:rPr>
          <w:sz w:val="26"/>
          <w:szCs w:val="26"/>
        </w:rPr>
        <w:t xml:space="preserve"> </w:t>
      </w:r>
      <w:bookmarkEnd w:id="1"/>
      <w:r w:rsidRPr="00CA3091">
        <w:rPr>
          <w:sz w:val="26"/>
          <w:szCs w:val="26"/>
        </w:rPr>
        <w:t xml:space="preserve">and </w:t>
      </w:r>
      <w:r w:rsidR="006318EB" w:rsidRPr="00CA3091">
        <w:rPr>
          <w:sz w:val="26"/>
          <w:szCs w:val="26"/>
        </w:rPr>
        <w:t>de</w:t>
      </w:r>
      <w:r w:rsidRPr="00CA3091">
        <w:rPr>
          <w:sz w:val="26"/>
          <w:szCs w:val="26"/>
        </w:rPr>
        <w:t xml:space="preserve">creased by </w:t>
      </w:r>
      <w:r w:rsidR="008A1E35" w:rsidRPr="00CA3091">
        <w:rPr>
          <w:sz w:val="26"/>
          <w:szCs w:val="26"/>
        </w:rPr>
        <w:t>12</w:t>
      </w:r>
      <w:r w:rsidRPr="00CA3091">
        <w:rPr>
          <w:sz w:val="26"/>
          <w:szCs w:val="26"/>
        </w:rPr>
        <w:t xml:space="preserve">% compared with the </w:t>
      </w:r>
      <w:r w:rsidR="008A1E35" w:rsidRPr="00CA3091">
        <w:rPr>
          <w:sz w:val="26"/>
          <w:szCs w:val="26"/>
        </w:rPr>
        <w:t xml:space="preserve">fourth </w:t>
      </w:r>
      <w:r w:rsidRPr="00CA3091">
        <w:rPr>
          <w:sz w:val="26"/>
          <w:szCs w:val="26"/>
        </w:rPr>
        <w:t>quarter of 20</w:t>
      </w:r>
      <w:r w:rsidR="009343BD" w:rsidRPr="00CA3091">
        <w:rPr>
          <w:sz w:val="26"/>
          <w:szCs w:val="26"/>
        </w:rPr>
        <w:t>2</w:t>
      </w:r>
      <w:r w:rsidR="00DE1CEB" w:rsidRPr="00CA3091">
        <w:rPr>
          <w:sz w:val="26"/>
          <w:szCs w:val="26"/>
        </w:rPr>
        <w:t>1</w:t>
      </w:r>
      <w:r w:rsidRPr="00CA3091">
        <w:rPr>
          <w:sz w:val="26"/>
          <w:szCs w:val="26"/>
        </w:rPr>
        <w:t xml:space="preserve">, where the number of new building licenses </w:t>
      </w:r>
      <w:r w:rsidR="009260FB" w:rsidRPr="00CA3091">
        <w:rPr>
          <w:sz w:val="26"/>
          <w:szCs w:val="26"/>
        </w:rPr>
        <w:t>in</w:t>
      </w:r>
      <w:r w:rsidRPr="00CA3091">
        <w:rPr>
          <w:sz w:val="26"/>
          <w:szCs w:val="26"/>
        </w:rPr>
        <w:t xml:space="preserve">creased by </w:t>
      </w:r>
      <w:r w:rsidR="008A1E35" w:rsidRPr="00CA3091">
        <w:rPr>
          <w:sz w:val="26"/>
          <w:szCs w:val="26"/>
        </w:rPr>
        <w:t>3</w:t>
      </w:r>
      <w:r w:rsidRPr="00CA3091">
        <w:rPr>
          <w:sz w:val="26"/>
          <w:szCs w:val="26"/>
        </w:rPr>
        <w:t xml:space="preserve">% compared with the </w:t>
      </w:r>
      <w:r w:rsidR="008A1E35" w:rsidRPr="00CA3091">
        <w:rPr>
          <w:sz w:val="26"/>
          <w:szCs w:val="26"/>
        </w:rPr>
        <w:t xml:space="preserve">third </w:t>
      </w:r>
      <w:r w:rsidRPr="00CA3091">
        <w:rPr>
          <w:sz w:val="26"/>
          <w:szCs w:val="26"/>
        </w:rPr>
        <w:t>quarter of 20</w:t>
      </w:r>
      <w:r w:rsidR="009827BF" w:rsidRPr="00CA3091">
        <w:rPr>
          <w:sz w:val="26"/>
          <w:szCs w:val="26"/>
        </w:rPr>
        <w:t>2</w:t>
      </w:r>
      <w:r w:rsidR="006318EB" w:rsidRPr="00CA3091">
        <w:rPr>
          <w:sz w:val="26"/>
          <w:szCs w:val="26"/>
        </w:rPr>
        <w:t>2</w:t>
      </w:r>
      <w:r w:rsidRPr="00CA3091">
        <w:rPr>
          <w:sz w:val="26"/>
          <w:szCs w:val="26"/>
        </w:rPr>
        <w:t xml:space="preserve"> and </w:t>
      </w:r>
      <w:r w:rsidR="006318EB" w:rsidRPr="00CA3091">
        <w:rPr>
          <w:sz w:val="26"/>
          <w:szCs w:val="26"/>
        </w:rPr>
        <w:t>de</w:t>
      </w:r>
      <w:r w:rsidRPr="00CA3091">
        <w:rPr>
          <w:sz w:val="26"/>
          <w:szCs w:val="26"/>
        </w:rPr>
        <w:t xml:space="preserve">creased by </w:t>
      </w:r>
      <w:r w:rsidR="008A1E35" w:rsidRPr="00CA3091">
        <w:rPr>
          <w:sz w:val="26"/>
          <w:szCs w:val="26"/>
        </w:rPr>
        <w:t>14</w:t>
      </w:r>
      <w:r w:rsidRPr="00CA3091">
        <w:rPr>
          <w:sz w:val="26"/>
          <w:szCs w:val="26"/>
        </w:rPr>
        <w:t xml:space="preserve">% compared with the </w:t>
      </w:r>
      <w:r w:rsidR="008A1E35" w:rsidRPr="00CA3091">
        <w:rPr>
          <w:sz w:val="26"/>
          <w:szCs w:val="26"/>
        </w:rPr>
        <w:t xml:space="preserve">fourth </w:t>
      </w:r>
      <w:r w:rsidRPr="00CA3091">
        <w:rPr>
          <w:sz w:val="26"/>
          <w:szCs w:val="26"/>
        </w:rPr>
        <w:t>quarter of 20</w:t>
      </w:r>
      <w:r w:rsidR="009343BD" w:rsidRPr="00CA3091">
        <w:rPr>
          <w:sz w:val="26"/>
          <w:szCs w:val="26"/>
        </w:rPr>
        <w:t>2</w:t>
      </w:r>
      <w:r w:rsidR="00DE1CEB" w:rsidRPr="00CA3091">
        <w:rPr>
          <w:sz w:val="26"/>
          <w:szCs w:val="26"/>
        </w:rPr>
        <w:t>1</w:t>
      </w:r>
      <w:r w:rsidRPr="00CA3091">
        <w:rPr>
          <w:sz w:val="26"/>
          <w:szCs w:val="26"/>
        </w:rPr>
        <w:t>.</w:t>
      </w:r>
    </w:p>
    <w:p w:rsidR="00EB1374" w:rsidRPr="001A076B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</w:rPr>
      </w:pPr>
    </w:p>
    <w:p w:rsidR="00EB1374" w:rsidRPr="00CA3091" w:rsidRDefault="00EB1374" w:rsidP="00E43F98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</w:rPr>
      </w:pPr>
      <w:r w:rsidRPr="00CA3091">
        <w:rPr>
          <w:sz w:val="26"/>
          <w:szCs w:val="26"/>
        </w:rPr>
        <w:t xml:space="preserve">The area of licensed buildings (residential and non-residential) totaled </w:t>
      </w:r>
      <w:r w:rsidR="00E60AD7" w:rsidRPr="00CA3091">
        <w:rPr>
          <w:sz w:val="26"/>
          <w:szCs w:val="26"/>
        </w:rPr>
        <w:t>1,</w:t>
      </w:r>
      <w:r w:rsidR="002019AC" w:rsidRPr="00CA3091">
        <w:rPr>
          <w:sz w:val="26"/>
          <w:szCs w:val="26"/>
        </w:rPr>
        <w:t>3</w:t>
      </w:r>
      <w:r w:rsidR="00E43F98" w:rsidRPr="00CA3091">
        <w:rPr>
          <w:sz w:val="26"/>
          <w:szCs w:val="26"/>
        </w:rPr>
        <w:t>9</w:t>
      </w:r>
      <w:r w:rsidR="002019AC" w:rsidRPr="00CA3091">
        <w:rPr>
          <w:sz w:val="26"/>
          <w:szCs w:val="26"/>
        </w:rPr>
        <w:t>9</w:t>
      </w:r>
      <w:r w:rsidRPr="00CA3091">
        <w:rPr>
          <w:sz w:val="26"/>
          <w:szCs w:val="26"/>
        </w:rPr>
        <w:t xml:space="preserve"> thousand m</w:t>
      </w:r>
      <w:r w:rsidRPr="00CA3091">
        <w:rPr>
          <w:sz w:val="26"/>
          <w:szCs w:val="26"/>
          <w:vertAlign w:val="superscript"/>
        </w:rPr>
        <w:t>2</w:t>
      </w:r>
      <w:r w:rsidRPr="00CA3091">
        <w:rPr>
          <w:sz w:val="26"/>
          <w:szCs w:val="26"/>
        </w:rPr>
        <w:t xml:space="preserve">, of which new buildings made up </w:t>
      </w:r>
      <w:r w:rsidR="00951DF6" w:rsidRPr="00CA3091">
        <w:rPr>
          <w:sz w:val="26"/>
          <w:szCs w:val="26"/>
        </w:rPr>
        <w:t>1,</w:t>
      </w:r>
      <w:r w:rsidR="00DC641F" w:rsidRPr="00CA3091">
        <w:rPr>
          <w:sz w:val="26"/>
          <w:szCs w:val="26"/>
        </w:rPr>
        <w:t>1</w:t>
      </w:r>
      <w:r w:rsidR="00951DF6" w:rsidRPr="00CA3091">
        <w:rPr>
          <w:sz w:val="26"/>
          <w:szCs w:val="26"/>
        </w:rPr>
        <w:t>37</w:t>
      </w:r>
      <w:r w:rsidR="00C11F1C" w:rsidRPr="00CA3091">
        <w:rPr>
          <w:sz w:val="26"/>
          <w:szCs w:val="26"/>
        </w:rPr>
        <w:t xml:space="preserve"> thousand</w:t>
      </w:r>
      <w:r w:rsidRPr="00CA3091">
        <w:rPr>
          <w:sz w:val="26"/>
          <w:szCs w:val="26"/>
        </w:rPr>
        <w:t xml:space="preserve"> m</w:t>
      </w:r>
      <w:r w:rsidRPr="00CA3091">
        <w:rPr>
          <w:sz w:val="26"/>
          <w:szCs w:val="26"/>
          <w:vertAlign w:val="superscript"/>
        </w:rPr>
        <w:t>2</w:t>
      </w:r>
      <w:r w:rsidRPr="00CA3091">
        <w:rPr>
          <w:sz w:val="26"/>
          <w:szCs w:val="26"/>
        </w:rPr>
        <w:t xml:space="preserve"> and existing buildings comprised </w:t>
      </w:r>
      <w:r w:rsidR="001119BD" w:rsidRPr="00CA3091">
        <w:rPr>
          <w:sz w:val="26"/>
          <w:szCs w:val="26"/>
        </w:rPr>
        <w:t>2</w:t>
      </w:r>
      <w:r w:rsidR="002F1CCB" w:rsidRPr="00CA3091">
        <w:rPr>
          <w:sz w:val="26"/>
          <w:szCs w:val="26"/>
        </w:rPr>
        <w:t>62</w:t>
      </w:r>
      <w:r w:rsidRPr="00CA3091">
        <w:rPr>
          <w:sz w:val="26"/>
          <w:szCs w:val="26"/>
        </w:rPr>
        <w:t xml:space="preserve"> thousand m</w:t>
      </w:r>
      <w:r w:rsidRPr="00CA3091">
        <w:rPr>
          <w:sz w:val="26"/>
          <w:szCs w:val="26"/>
          <w:vertAlign w:val="superscript"/>
        </w:rPr>
        <w:t>2</w:t>
      </w:r>
      <w:r w:rsidRPr="00CA3091">
        <w:rPr>
          <w:sz w:val="26"/>
          <w:szCs w:val="26"/>
        </w:rPr>
        <w:t>.</w:t>
      </w:r>
    </w:p>
    <w:p w:rsidR="00EB1374" w:rsidRPr="001A076B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</w:rPr>
      </w:pPr>
    </w:p>
    <w:p w:rsidR="00EB1374" w:rsidRPr="00CA3091" w:rsidRDefault="00EB1374" w:rsidP="008024A6">
      <w:pPr>
        <w:bidi w:val="0"/>
        <w:jc w:val="both"/>
        <w:rPr>
          <w:sz w:val="26"/>
          <w:szCs w:val="26"/>
          <w:lang w:eastAsia="en-US"/>
        </w:rPr>
      </w:pPr>
      <w:r w:rsidRPr="00CA3091">
        <w:rPr>
          <w:sz w:val="26"/>
          <w:szCs w:val="26"/>
        </w:rPr>
        <w:t xml:space="preserve">The total number of licensed dwellings was </w:t>
      </w:r>
      <w:r w:rsidR="00C422BB" w:rsidRPr="00CA3091">
        <w:rPr>
          <w:sz w:val="26"/>
          <w:szCs w:val="26"/>
        </w:rPr>
        <w:t>5</w:t>
      </w:r>
      <w:r w:rsidR="008A7399" w:rsidRPr="00CA3091">
        <w:rPr>
          <w:sz w:val="26"/>
          <w:szCs w:val="26"/>
        </w:rPr>
        <w:t>,</w:t>
      </w:r>
      <w:r w:rsidR="008024A6" w:rsidRPr="00CA3091">
        <w:rPr>
          <w:sz w:val="26"/>
          <w:szCs w:val="26"/>
        </w:rPr>
        <w:t>982</w:t>
      </w:r>
      <w:r w:rsidR="00EA5FD7" w:rsidRPr="00CA3091">
        <w:rPr>
          <w:sz w:val="26"/>
          <w:szCs w:val="26"/>
        </w:rPr>
        <w:t xml:space="preserve"> </w:t>
      </w:r>
      <w:r w:rsidRPr="00CA3091">
        <w:rPr>
          <w:sz w:val="26"/>
          <w:szCs w:val="26"/>
        </w:rPr>
        <w:t xml:space="preserve">with a total area of </w:t>
      </w:r>
      <w:r w:rsidR="008024A6" w:rsidRPr="00CA3091">
        <w:rPr>
          <w:sz w:val="26"/>
          <w:szCs w:val="26"/>
        </w:rPr>
        <w:t>1,004</w:t>
      </w:r>
      <w:r w:rsidRPr="00CA3091">
        <w:rPr>
          <w:sz w:val="26"/>
          <w:szCs w:val="26"/>
        </w:rPr>
        <w:t xml:space="preserve"> thousand m</w:t>
      </w:r>
      <w:r w:rsidRPr="00CA3091">
        <w:rPr>
          <w:sz w:val="26"/>
          <w:szCs w:val="26"/>
          <w:vertAlign w:val="superscript"/>
        </w:rPr>
        <w:t>2</w:t>
      </w:r>
      <w:r w:rsidRPr="00CA3091">
        <w:rPr>
          <w:sz w:val="26"/>
          <w:szCs w:val="26"/>
        </w:rPr>
        <w:t xml:space="preserve">, of which </w:t>
      </w:r>
      <w:r w:rsidR="008024A6" w:rsidRPr="00CA3091">
        <w:rPr>
          <w:sz w:val="26"/>
          <w:szCs w:val="26"/>
        </w:rPr>
        <w:t>4,715</w:t>
      </w:r>
      <w:r w:rsidR="005D00B6" w:rsidRPr="00CA3091">
        <w:rPr>
          <w:rFonts w:eastAsia="Arial Unicode MS"/>
          <w:sz w:val="26"/>
          <w:szCs w:val="26"/>
        </w:rPr>
        <w:t xml:space="preserve"> </w:t>
      </w:r>
      <w:r w:rsidRPr="00CA3091">
        <w:rPr>
          <w:rFonts w:eastAsia="Arial Unicode MS"/>
          <w:sz w:val="26"/>
          <w:szCs w:val="26"/>
        </w:rPr>
        <w:t xml:space="preserve">were </w:t>
      </w:r>
      <w:r w:rsidRPr="00CA3091">
        <w:rPr>
          <w:sz w:val="26"/>
          <w:szCs w:val="26"/>
        </w:rPr>
        <w:t xml:space="preserve">new dwellings with a total area of </w:t>
      </w:r>
      <w:r w:rsidR="008024A6" w:rsidRPr="00CA3091">
        <w:rPr>
          <w:sz w:val="26"/>
          <w:szCs w:val="26"/>
        </w:rPr>
        <w:t>801</w:t>
      </w:r>
      <w:r w:rsidRPr="00CA3091">
        <w:rPr>
          <w:sz w:val="26"/>
          <w:szCs w:val="26"/>
        </w:rPr>
        <w:t xml:space="preserve"> thousand m</w:t>
      </w:r>
      <w:r w:rsidRPr="00CA3091">
        <w:rPr>
          <w:sz w:val="26"/>
          <w:szCs w:val="26"/>
          <w:vertAlign w:val="superscript"/>
        </w:rPr>
        <w:t>2</w:t>
      </w:r>
      <w:r w:rsidRPr="00CA3091">
        <w:rPr>
          <w:sz w:val="26"/>
          <w:szCs w:val="26"/>
        </w:rPr>
        <w:t xml:space="preserve"> and </w:t>
      </w:r>
      <w:r w:rsidR="008024A6" w:rsidRPr="00CA3091">
        <w:rPr>
          <w:sz w:val="26"/>
          <w:szCs w:val="26"/>
        </w:rPr>
        <w:t>1,267</w:t>
      </w:r>
      <w:r w:rsidR="00ED5C7B" w:rsidRPr="00CA3091">
        <w:rPr>
          <w:sz w:val="26"/>
          <w:szCs w:val="26"/>
        </w:rPr>
        <w:t xml:space="preserve"> </w:t>
      </w:r>
      <w:r w:rsidRPr="00CA3091">
        <w:rPr>
          <w:sz w:val="26"/>
          <w:szCs w:val="26"/>
        </w:rPr>
        <w:t xml:space="preserve">were existing dwellings with a total area of </w:t>
      </w:r>
      <w:r w:rsidR="008024A6" w:rsidRPr="00CA3091">
        <w:rPr>
          <w:sz w:val="26"/>
          <w:szCs w:val="26"/>
        </w:rPr>
        <w:t>203</w:t>
      </w:r>
      <w:r w:rsidR="00ED5C7B" w:rsidRPr="00CA3091">
        <w:rPr>
          <w:sz w:val="26"/>
          <w:szCs w:val="26"/>
        </w:rPr>
        <w:t xml:space="preserve"> </w:t>
      </w:r>
      <w:r w:rsidRPr="00CA3091">
        <w:rPr>
          <w:sz w:val="26"/>
          <w:szCs w:val="26"/>
        </w:rPr>
        <w:t>thousand m</w:t>
      </w:r>
      <w:r w:rsidRPr="00CA3091">
        <w:rPr>
          <w:sz w:val="26"/>
          <w:szCs w:val="26"/>
          <w:vertAlign w:val="superscript"/>
        </w:rPr>
        <w:t>2</w:t>
      </w:r>
      <w:r w:rsidRPr="00CA3091">
        <w:rPr>
          <w:sz w:val="26"/>
          <w:szCs w:val="26"/>
        </w:rPr>
        <w:t xml:space="preserve">. </w:t>
      </w:r>
    </w:p>
    <w:p w:rsidR="00EB1374" w:rsidRPr="001A076B" w:rsidRDefault="00EB1374" w:rsidP="00EB1374">
      <w:pPr>
        <w:numPr>
          <w:ilvl w:val="12"/>
          <w:numId w:val="0"/>
        </w:numPr>
        <w:bidi w:val="0"/>
        <w:ind w:left="1" w:right="1"/>
        <w:jc w:val="both"/>
        <w:rPr>
          <w:sz w:val="16"/>
          <w:szCs w:val="16"/>
          <w:rtl/>
        </w:rPr>
      </w:pPr>
    </w:p>
    <w:p w:rsidR="00EB1374" w:rsidRPr="00CA3091" w:rsidRDefault="00EB1374" w:rsidP="00200D2F">
      <w:pPr>
        <w:numPr>
          <w:ilvl w:val="12"/>
          <w:numId w:val="0"/>
        </w:numPr>
        <w:bidi w:val="0"/>
        <w:ind w:left="1" w:right="1"/>
        <w:jc w:val="both"/>
        <w:rPr>
          <w:sz w:val="26"/>
          <w:szCs w:val="26"/>
          <w:rtl/>
        </w:rPr>
      </w:pPr>
      <w:r w:rsidRPr="00CA3091">
        <w:rPr>
          <w:sz w:val="26"/>
          <w:szCs w:val="26"/>
        </w:rPr>
        <w:t xml:space="preserve">The number of new dwellings in the </w:t>
      </w:r>
      <w:r w:rsidR="001E4E9F" w:rsidRPr="00CA3091">
        <w:rPr>
          <w:sz w:val="26"/>
          <w:szCs w:val="26"/>
        </w:rPr>
        <w:t xml:space="preserve">fourth </w:t>
      </w:r>
      <w:r w:rsidRPr="00CA3091">
        <w:rPr>
          <w:sz w:val="26"/>
          <w:szCs w:val="26"/>
        </w:rPr>
        <w:t>quarter of 20</w:t>
      </w:r>
      <w:r w:rsidR="00513DCC" w:rsidRPr="00CA3091">
        <w:rPr>
          <w:sz w:val="26"/>
          <w:szCs w:val="26"/>
        </w:rPr>
        <w:t>2</w:t>
      </w:r>
      <w:r w:rsidR="00257695" w:rsidRPr="00CA3091">
        <w:rPr>
          <w:sz w:val="26"/>
          <w:szCs w:val="26"/>
        </w:rPr>
        <w:t>2</w:t>
      </w:r>
      <w:r w:rsidRPr="00CA3091">
        <w:rPr>
          <w:sz w:val="26"/>
          <w:szCs w:val="26"/>
        </w:rPr>
        <w:t xml:space="preserve"> </w:t>
      </w:r>
      <w:r w:rsidR="00111C88" w:rsidRPr="00CA3091">
        <w:rPr>
          <w:sz w:val="26"/>
          <w:szCs w:val="26"/>
        </w:rPr>
        <w:t>in</w:t>
      </w:r>
      <w:r w:rsidRPr="00CA3091">
        <w:rPr>
          <w:sz w:val="26"/>
          <w:szCs w:val="26"/>
        </w:rPr>
        <w:t xml:space="preserve">creased by </w:t>
      </w:r>
      <w:r w:rsidR="00200D2F" w:rsidRPr="00CA3091">
        <w:rPr>
          <w:sz w:val="26"/>
          <w:szCs w:val="26"/>
        </w:rPr>
        <w:t>8</w:t>
      </w:r>
      <w:r w:rsidRPr="00CA3091">
        <w:rPr>
          <w:sz w:val="26"/>
          <w:szCs w:val="26"/>
        </w:rPr>
        <w:t xml:space="preserve">% compared with the </w:t>
      </w:r>
      <w:r w:rsidR="001E4E9F" w:rsidRPr="00CA3091">
        <w:rPr>
          <w:sz w:val="26"/>
          <w:szCs w:val="26"/>
        </w:rPr>
        <w:t xml:space="preserve">third </w:t>
      </w:r>
      <w:r w:rsidRPr="00CA3091">
        <w:rPr>
          <w:sz w:val="26"/>
          <w:szCs w:val="26"/>
        </w:rPr>
        <w:t>quarter of 20</w:t>
      </w:r>
      <w:r w:rsidR="00F734FE" w:rsidRPr="00CA3091">
        <w:rPr>
          <w:sz w:val="26"/>
          <w:szCs w:val="26"/>
        </w:rPr>
        <w:t>2</w:t>
      </w:r>
      <w:r w:rsidR="00E65B86" w:rsidRPr="00CA3091">
        <w:rPr>
          <w:sz w:val="26"/>
          <w:szCs w:val="26"/>
        </w:rPr>
        <w:t>2</w:t>
      </w:r>
      <w:r w:rsidRPr="00CA3091">
        <w:rPr>
          <w:sz w:val="26"/>
          <w:szCs w:val="26"/>
        </w:rPr>
        <w:t xml:space="preserve"> and </w:t>
      </w:r>
      <w:r w:rsidR="00111C88" w:rsidRPr="00CA3091">
        <w:rPr>
          <w:sz w:val="26"/>
          <w:szCs w:val="26"/>
        </w:rPr>
        <w:t>de</w:t>
      </w:r>
      <w:r w:rsidRPr="00CA3091">
        <w:rPr>
          <w:sz w:val="26"/>
          <w:szCs w:val="26"/>
        </w:rPr>
        <w:t xml:space="preserve">creased by </w:t>
      </w:r>
      <w:r w:rsidR="001E4E9F" w:rsidRPr="00CA3091">
        <w:rPr>
          <w:sz w:val="26"/>
          <w:szCs w:val="26"/>
        </w:rPr>
        <w:t>4</w:t>
      </w:r>
      <w:r w:rsidRPr="00CA3091">
        <w:rPr>
          <w:sz w:val="26"/>
          <w:szCs w:val="26"/>
        </w:rPr>
        <w:t xml:space="preserve">% compared with the </w:t>
      </w:r>
      <w:r w:rsidR="001E4E9F" w:rsidRPr="00CA3091">
        <w:rPr>
          <w:sz w:val="26"/>
          <w:szCs w:val="26"/>
        </w:rPr>
        <w:t xml:space="preserve">fourth </w:t>
      </w:r>
      <w:r w:rsidRPr="00CA3091">
        <w:rPr>
          <w:sz w:val="26"/>
          <w:szCs w:val="26"/>
        </w:rPr>
        <w:t>quarter of 20</w:t>
      </w:r>
      <w:r w:rsidR="00F812EA" w:rsidRPr="00CA3091">
        <w:rPr>
          <w:sz w:val="26"/>
          <w:szCs w:val="26"/>
        </w:rPr>
        <w:t>2</w:t>
      </w:r>
      <w:r w:rsidR="00257695" w:rsidRPr="00CA3091">
        <w:rPr>
          <w:sz w:val="26"/>
          <w:szCs w:val="26"/>
        </w:rPr>
        <w:t>1</w:t>
      </w:r>
      <w:r w:rsidRPr="00CA3091">
        <w:rPr>
          <w:sz w:val="26"/>
          <w:szCs w:val="26"/>
        </w:rPr>
        <w:t>.</w:t>
      </w:r>
    </w:p>
    <w:p w:rsidR="00EB1374" w:rsidRPr="00CA3091" w:rsidRDefault="00EB1374" w:rsidP="00EB1374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1A076B" w:rsidRPr="00CA3091" w:rsidRDefault="00EB1374" w:rsidP="001E4E9F">
      <w:pPr>
        <w:bidi w:val="0"/>
        <w:ind w:left="-108"/>
        <w:jc w:val="center"/>
        <w:rPr>
          <w:b/>
          <w:bCs/>
          <w:sz w:val="26"/>
          <w:szCs w:val="26"/>
        </w:rPr>
      </w:pPr>
      <w:r w:rsidRPr="00CA3091">
        <w:rPr>
          <w:b/>
          <w:bCs/>
          <w:sz w:val="26"/>
          <w:szCs w:val="26"/>
        </w:rPr>
        <w:t xml:space="preserve">Number of Building Licenses Issued in Palestine* during the period, </w:t>
      </w:r>
    </w:p>
    <w:p w:rsidR="00EB1374" w:rsidRPr="00CA3091" w:rsidRDefault="001E4E9F" w:rsidP="001A076B">
      <w:pPr>
        <w:bidi w:val="0"/>
        <w:ind w:left="-108"/>
        <w:jc w:val="center"/>
        <w:rPr>
          <w:b/>
          <w:bCs/>
          <w:sz w:val="26"/>
          <w:szCs w:val="26"/>
        </w:rPr>
      </w:pPr>
      <w:r w:rsidRPr="00CA3091">
        <w:rPr>
          <w:b/>
          <w:bCs/>
          <w:sz w:val="26"/>
          <w:szCs w:val="26"/>
        </w:rPr>
        <w:t>Fourth</w:t>
      </w:r>
      <w:r w:rsidR="00EB1374" w:rsidRPr="00CA3091">
        <w:rPr>
          <w:b/>
          <w:bCs/>
          <w:sz w:val="26"/>
          <w:szCs w:val="26"/>
        </w:rPr>
        <w:t xml:space="preserve"> Quarter 20</w:t>
      </w:r>
      <w:r w:rsidR="00F812EA" w:rsidRPr="00CA3091">
        <w:rPr>
          <w:b/>
          <w:bCs/>
          <w:sz w:val="26"/>
          <w:szCs w:val="26"/>
        </w:rPr>
        <w:t>2</w:t>
      </w:r>
      <w:r w:rsidR="00257695" w:rsidRPr="00CA3091">
        <w:rPr>
          <w:b/>
          <w:bCs/>
          <w:sz w:val="26"/>
          <w:szCs w:val="26"/>
        </w:rPr>
        <w:t>1</w:t>
      </w:r>
      <w:r w:rsidR="00EB1374" w:rsidRPr="00CA3091">
        <w:rPr>
          <w:b/>
          <w:bCs/>
          <w:sz w:val="26"/>
          <w:szCs w:val="26"/>
        </w:rPr>
        <w:t xml:space="preserve"> - </w:t>
      </w:r>
      <w:r w:rsidRPr="00CA3091">
        <w:rPr>
          <w:b/>
          <w:bCs/>
          <w:sz w:val="26"/>
          <w:szCs w:val="26"/>
        </w:rPr>
        <w:t>Fourth</w:t>
      </w:r>
      <w:r w:rsidR="00667515" w:rsidRPr="00CA3091">
        <w:rPr>
          <w:b/>
          <w:bCs/>
          <w:sz w:val="26"/>
          <w:szCs w:val="26"/>
        </w:rPr>
        <w:t xml:space="preserve"> </w:t>
      </w:r>
      <w:r w:rsidR="00EB1374" w:rsidRPr="00CA3091">
        <w:rPr>
          <w:b/>
          <w:bCs/>
          <w:sz w:val="26"/>
          <w:szCs w:val="26"/>
        </w:rPr>
        <w:t>Quarter 20</w:t>
      </w:r>
      <w:r w:rsidR="003B5E7A" w:rsidRPr="00CA3091">
        <w:rPr>
          <w:b/>
          <w:bCs/>
          <w:sz w:val="26"/>
          <w:szCs w:val="26"/>
        </w:rPr>
        <w:t>2</w:t>
      </w:r>
      <w:r w:rsidR="00257695" w:rsidRPr="00CA3091">
        <w:rPr>
          <w:b/>
          <w:bCs/>
          <w:sz w:val="26"/>
          <w:szCs w:val="26"/>
        </w:rPr>
        <w:t>2</w:t>
      </w:r>
    </w:p>
    <w:p w:rsidR="00EB1374" w:rsidRPr="001163C8" w:rsidRDefault="00EB1374" w:rsidP="00F23457">
      <w:pPr>
        <w:bidi w:val="0"/>
        <w:ind w:left="-142" w:right="283"/>
        <w:jc w:val="center"/>
        <w:rPr>
          <w:sz w:val="20"/>
          <w:szCs w:val="20"/>
          <w:rtl/>
        </w:rPr>
      </w:pPr>
      <w:r w:rsidRPr="006F5950">
        <w:rPr>
          <w:rFonts w:hint="cs"/>
          <w:noProof/>
          <w:sz w:val="18"/>
          <w:szCs w:val="18"/>
          <w:u w:val="single"/>
          <w:rtl/>
          <w:lang w:eastAsia="en-US"/>
        </w:rPr>
        <w:drawing>
          <wp:inline distT="0" distB="0" distL="0" distR="0">
            <wp:extent cx="3200400" cy="2571750"/>
            <wp:effectExtent l="0" t="0" r="0" b="0"/>
            <wp:docPr id="2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076B" w:rsidRDefault="001A076B" w:rsidP="00EB1374">
      <w:pPr>
        <w:bidi w:val="0"/>
        <w:jc w:val="lowKashida"/>
        <w:rPr>
          <w:sz w:val="20"/>
          <w:szCs w:val="20"/>
        </w:rPr>
      </w:pPr>
    </w:p>
    <w:p w:rsidR="00CA3091" w:rsidRDefault="00CA3091" w:rsidP="001A076B">
      <w:pPr>
        <w:bidi w:val="0"/>
        <w:jc w:val="lowKashida"/>
        <w:rPr>
          <w:sz w:val="20"/>
          <w:szCs w:val="20"/>
        </w:rPr>
      </w:pPr>
    </w:p>
    <w:p w:rsidR="00EB1374" w:rsidRPr="001A076B" w:rsidRDefault="00EB1374" w:rsidP="00CA3091">
      <w:pPr>
        <w:bidi w:val="0"/>
        <w:jc w:val="lowKashida"/>
        <w:rPr>
          <w:sz w:val="22"/>
          <w:szCs w:val="22"/>
        </w:rPr>
      </w:pPr>
      <w:r w:rsidRPr="001163C8">
        <w:rPr>
          <w:sz w:val="20"/>
          <w:szCs w:val="20"/>
        </w:rPr>
        <w:t>*</w:t>
      </w:r>
      <w:r w:rsidRPr="001A076B">
        <w:rPr>
          <w:sz w:val="22"/>
          <w:szCs w:val="22"/>
        </w:rPr>
        <w:t>Data excluded those parts of Jerusalem which were annexed by Israeli occupation in 1967.</w:t>
      </w: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Pr="001163C8" w:rsidRDefault="00EB1374" w:rsidP="00EB1374">
      <w:pPr>
        <w:bidi w:val="0"/>
        <w:jc w:val="lowKashida"/>
        <w:rPr>
          <w:rtl/>
        </w:rPr>
      </w:pPr>
    </w:p>
    <w:p w:rsidR="00EB1374" w:rsidRDefault="00EB1374" w:rsidP="00EB1374">
      <w:pPr>
        <w:bidi w:val="0"/>
        <w:spacing w:line="360" w:lineRule="auto"/>
        <w:jc w:val="lowKashida"/>
        <w:rPr>
          <w:b/>
          <w:bCs/>
          <w:color w:val="000000"/>
          <w:sz w:val="20"/>
          <w:szCs w:val="20"/>
        </w:rPr>
      </w:pPr>
    </w:p>
    <w:p w:rsidR="00EB1374" w:rsidRDefault="00EB1374" w:rsidP="00EB1374">
      <w:pPr>
        <w:bidi w:val="0"/>
        <w:spacing w:line="360" w:lineRule="auto"/>
        <w:jc w:val="lowKashida"/>
        <w:rPr>
          <w:b/>
          <w:bCs/>
          <w:color w:val="000000"/>
          <w:sz w:val="20"/>
          <w:szCs w:val="20"/>
        </w:rPr>
      </w:pPr>
    </w:p>
    <w:p w:rsidR="00EB1374" w:rsidRDefault="00EB1374" w:rsidP="00EB1374">
      <w:pPr>
        <w:bidi w:val="0"/>
        <w:jc w:val="both"/>
      </w:pPr>
    </w:p>
    <w:p w:rsidR="00D86248" w:rsidRPr="00FF311E" w:rsidRDefault="00D86248" w:rsidP="0010581E">
      <w:pPr>
        <w:bidi w:val="0"/>
        <w:rPr>
          <w:sz w:val="18"/>
          <w:szCs w:val="18"/>
          <w:rtl/>
        </w:rPr>
      </w:pPr>
    </w:p>
    <w:sectPr w:rsidR="00D86248" w:rsidRPr="00FF311E" w:rsidSect="00CA3091">
      <w:pgSz w:w="11906" w:h="16838"/>
      <w:pgMar w:top="851" w:right="707" w:bottom="567" w:left="851" w:header="284" w:footer="709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BB" w:rsidRDefault="00D448BB">
      <w:r>
        <w:separator/>
      </w:r>
    </w:p>
  </w:endnote>
  <w:endnote w:type="continuationSeparator" w:id="0">
    <w:p w:rsidR="00D448BB" w:rsidRDefault="00D44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BB" w:rsidRDefault="00D448BB">
      <w:r>
        <w:separator/>
      </w:r>
    </w:p>
  </w:footnote>
  <w:footnote w:type="continuationSeparator" w:id="0">
    <w:p w:rsidR="00D448BB" w:rsidRDefault="00D44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48"/>
    <w:rsid w:val="000006FE"/>
    <w:rsid w:val="00000B52"/>
    <w:rsid w:val="000163DA"/>
    <w:rsid w:val="00016DB9"/>
    <w:rsid w:val="00020572"/>
    <w:rsid w:val="00020C79"/>
    <w:rsid w:val="00023DE2"/>
    <w:rsid w:val="00030C13"/>
    <w:rsid w:val="000313DF"/>
    <w:rsid w:val="00032795"/>
    <w:rsid w:val="00034874"/>
    <w:rsid w:val="00035929"/>
    <w:rsid w:val="00036426"/>
    <w:rsid w:val="00037678"/>
    <w:rsid w:val="00037CF0"/>
    <w:rsid w:val="00043AC2"/>
    <w:rsid w:val="00043C9B"/>
    <w:rsid w:val="00046807"/>
    <w:rsid w:val="00050DDA"/>
    <w:rsid w:val="00053AB0"/>
    <w:rsid w:val="00056E7D"/>
    <w:rsid w:val="000764A8"/>
    <w:rsid w:val="00076B0B"/>
    <w:rsid w:val="0009543A"/>
    <w:rsid w:val="000C165A"/>
    <w:rsid w:val="000D039E"/>
    <w:rsid w:val="000D39A9"/>
    <w:rsid w:val="000D495D"/>
    <w:rsid w:val="000D7803"/>
    <w:rsid w:val="000D7823"/>
    <w:rsid w:val="000E5797"/>
    <w:rsid w:val="000E7D67"/>
    <w:rsid w:val="000F2C7F"/>
    <w:rsid w:val="000F4391"/>
    <w:rsid w:val="001019B5"/>
    <w:rsid w:val="0010581E"/>
    <w:rsid w:val="001119BD"/>
    <w:rsid w:val="00111C88"/>
    <w:rsid w:val="00120017"/>
    <w:rsid w:val="0012134D"/>
    <w:rsid w:val="00132E5C"/>
    <w:rsid w:val="0014132B"/>
    <w:rsid w:val="00141A21"/>
    <w:rsid w:val="00141E39"/>
    <w:rsid w:val="0014507F"/>
    <w:rsid w:val="00145E0C"/>
    <w:rsid w:val="00150FB0"/>
    <w:rsid w:val="00157DBF"/>
    <w:rsid w:val="00160B4A"/>
    <w:rsid w:val="001611D0"/>
    <w:rsid w:val="00162331"/>
    <w:rsid w:val="001672DA"/>
    <w:rsid w:val="0017506D"/>
    <w:rsid w:val="00175CB9"/>
    <w:rsid w:val="00177FF2"/>
    <w:rsid w:val="00182471"/>
    <w:rsid w:val="00182499"/>
    <w:rsid w:val="00187ACA"/>
    <w:rsid w:val="00195DAC"/>
    <w:rsid w:val="00196F0F"/>
    <w:rsid w:val="00197B48"/>
    <w:rsid w:val="001A076B"/>
    <w:rsid w:val="001A0C03"/>
    <w:rsid w:val="001A41FE"/>
    <w:rsid w:val="001B119F"/>
    <w:rsid w:val="001B2937"/>
    <w:rsid w:val="001B36CF"/>
    <w:rsid w:val="001B3D24"/>
    <w:rsid w:val="001B7FE1"/>
    <w:rsid w:val="001C0DDE"/>
    <w:rsid w:val="001C1C42"/>
    <w:rsid w:val="001C319D"/>
    <w:rsid w:val="001C53E9"/>
    <w:rsid w:val="001C724B"/>
    <w:rsid w:val="001E1151"/>
    <w:rsid w:val="001E47CA"/>
    <w:rsid w:val="001E4E9F"/>
    <w:rsid w:val="001E5226"/>
    <w:rsid w:val="001F408D"/>
    <w:rsid w:val="001F4777"/>
    <w:rsid w:val="001F5F1F"/>
    <w:rsid w:val="00200D2F"/>
    <w:rsid w:val="002019AC"/>
    <w:rsid w:val="00204B4D"/>
    <w:rsid w:val="0020624F"/>
    <w:rsid w:val="0021253B"/>
    <w:rsid w:val="00226FE2"/>
    <w:rsid w:val="00236C1B"/>
    <w:rsid w:val="00243761"/>
    <w:rsid w:val="00253712"/>
    <w:rsid w:val="00253E3B"/>
    <w:rsid w:val="002547F3"/>
    <w:rsid w:val="00257695"/>
    <w:rsid w:val="002602B9"/>
    <w:rsid w:val="00260E1B"/>
    <w:rsid w:val="002625FA"/>
    <w:rsid w:val="00267FBF"/>
    <w:rsid w:val="00273F5D"/>
    <w:rsid w:val="0028004F"/>
    <w:rsid w:val="00291073"/>
    <w:rsid w:val="0029128C"/>
    <w:rsid w:val="00291D18"/>
    <w:rsid w:val="002924A1"/>
    <w:rsid w:val="002A6DE9"/>
    <w:rsid w:val="002B0076"/>
    <w:rsid w:val="002B118B"/>
    <w:rsid w:val="002B21BE"/>
    <w:rsid w:val="002B21CA"/>
    <w:rsid w:val="002C09B4"/>
    <w:rsid w:val="002C114E"/>
    <w:rsid w:val="002C2AB9"/>
    <w:rsid w:val="002C4D32"/>
    <w:rsid w:val="002C5308"/>
    <w:rsid w:val="002D03F3"/>
    <w:rsid w:val="002D5FBE"/>
    <w:rsid w:val="002E2249"/>
    <w:rsid w:val="002E4BA1"/>
    <w:rsid w:val="002E7471"/>
    <w:rsid w:val="002F0136"/>
    <w:rsid w:val="002F0B3D"/>
    <w:rsid w:val="002F1CCB"/>
    <w:rsid w:val="002F2901"/>
    <w:rsid w:val="002F3C3E"/>
    <w:rsid w:val="0031065D"/>
    <w:rsid w:val="0031151F"/>
    <w:rsid w:val="00312005"/>
    <w:rsid w:val="00312F6D"/>
    <w:rsid w:val="003216D0"/>
    <w:rsid w:val="00337A77"/>
    <w:rsid w:val="00341B3A"/>
    <w:rsid w:val="003479F2"/>
    <w:rsid w:val="00347F2B"/>
    <w:rsid w:val="003529F9"/>
    <w:rsid w:val="00353E78"/>
    <w:rsid w:val="003551B2"/>
    <w:rsid w:val="00356A43"/>
    <w:rsid w:val="00363227"/>
    <w:rsid w:val="00365356"/>
    <w:rsid w:val="00370D7B"/>
    <w:rsid w:val="00373833"/>
    <w:rsid w:val="00374388"/>
    <w:rsid w:val="0038058A"/>
    <w:rsid w:val="003837C3"/>
    <w:rsid w:val="00385E5D"/>
    <w:rsid w:val="00387B03"/>
    <w:rsid w:val="003933DF"/>
    <w:rsid w:val="00395070"/>
    <w:rsid w:val="003A0268"/>
    <w:rsid w:val="003A2496"/>
    <w:rsid w:val="003A6B6E"/>
    <w:rsid w:val="003B47FE"/>
    <w:rsid w:val="003B5366"/>
    <w:rsid w:val="003B5E7A"/>
    <w:rsid w:val="003C323D"/>
    <w:rsid w:val="003C5040"/>
    <w:rsid w:val="003C5F57"/>
    <w:rsid w:val="003D439A"/>
    <w:rsid w:val="003D7794"/>
    <w:rsid w:val="003E0581"/>
    <w:rsid w:val="003F3077"/>
    <w:rsid w:val="00401345"/>
    <w:rsid w:val="00403EF2"/>
    <w:rsid w:val="00405B7D"/>
    <w:rsid w:val="00406C22"/>
    <w:rsid w:val="00422AEE"/>
    <w:rsid w:val="0042410D"/>
    <w:rsid w:val="004337F9"/>
    <w:rsid w:val="00433A7F"/>
    <w:rsid w:val="00441CDE"/>
    <w:rsid w:val="00444C89"/>
    <w:rsid w:val="0046044B"/>
    <w:rsid w:val="00462153"/>
    <w:rsid w:val="004643E0"/>
    <w:rsid w:val="0046477F"/>
    <w:rsid w:val="004734C3"/>
    <w:rsid w:val="004735A5"/>
    <w:rsid w:val="0047578D"/>
    <w:rsid w:val="00480D6B"/>
    <w:rsid w:val="00491F7D"/>
    <w:rsid w:val="004968B5"/>
    <w:rsid w:val="004A0549"/>
    <w:rsid w:val="004A12D7"/>
    <w:rsid w:val="004A1F6A"/>
    <w:rsid w:val="004A4FB4"/>
    <w:rsid w:val="004B580F"/>
    <w:rsid w:val="004B6789"/>
    <w:rsid w:val="004C0D0A"/>
    <w:rsid w:val="004D0324"/>
    <w:rsid w:val="004D1609"/>
    <w:rsid w:val="004D6AF1"/>
    <w:rsid w:val="004E2D1F"/>
    <w:rsid w:val="004E675A"/>
    <w:rsid w:val="004E6848"/>
    <w:rsid w:val="004F525E"/>
    <w:rsid w:val="004F7160"/>
    <w:rsid w:val="00506034"/>
    <w:rsid w:val="00510EF5"/>
    <w:rsid w:val="00513DCC"/>
    <w:rsid w:val="00516634"/>
    <w:rsid w:val="005175B2"/>
    <w:rsid w:val="005202DE"/>
    <w:rsid w:val="00520D18"/>
    <w:rsid w:val="005230D2"/>
    <w:rsid w:val="00525B1A"/>
    <w:rsid w:val="0052785D"/>
    <w:rsid w:val="005340E0"/>
    <w:rsid w:val="00536DFB"/>
    <w:rsid w:val="00536F80"/>
    <w:rsid w:val="00551864"/>
    <w:rsid w:val="00552521"/>
    <w:rsid w:val="00560204"/>
    <w:rsid w:val="005622FF"/>
    <w:rsid w:val="00565DA3"/>
    <w:rsid w:val="005804DA"/>
    <w:rsid w:val="00590B27"/>
    <w:rsid w:val="00592588"/>
    <w:rsid w:val="005932C2"/>
    <w:rsid w:val="0059347A"/>
    <w:rsid w:val="00595F82"/>
    <w:rsid w:val="005A47EF"/>
    <w:rsid w:val="005A5719"/>
    <w:rsid w:val="005B180D"/>
    <w:rsid w:val="005B1DFB"/>
    <w:rsid w:val="005B4216"/>
    <w:rsid w:val="005C0E77"/>
    <w:rsid w:val="005C4BE6"/>
    <w:rsid w:val="005C598C"/>
    <w:rsid w:val="005D00B6"/>
    <w:rsid w:val="005D2593"/>
    <w:rsid w:val="005D3BAF"/>
    <w:rsid w:val="005E7D59"/>
    <w:rsid w:val="005F1C2E"/>
    <w:rsid w:val="005F7F8D"/>
    <w:rsid w:val="00610D6E"/>
    <w:rsid w:val="00611BA9"/>
    <w:rsid w:val="00615F96"/>
    <w:rsid w:val="00621306"/>
    <w:rsid w:val="006260E0"/>
    <w:rsid w:val="00631315"/>
    <w:rsid w:val="006318EB"/>
    <w:rsid w:val="00635210"/>
    <w:rsid w:val="00640B2B"/>
    <w:rsid w:val="00641D78"/>
    <w:rsid w:val="00642E36"/>
    <w:rsid w:val="00643B50"/>
    <w:rsid w:val="0064473D"/>
    <w:rsid w:val="00646A8E"/>
    <w:rsid w:val="00647FAE"/>
    <w:rsid w:val="00650419"/>
    <w:rsid w:val="006531D5"/>
    <w:rsid w:val="00667427"/>
    <w:rsid w:val="00667515"/>
    <w:rsid w:val="006766F4"/>
    <w:rsid w:val="0068020A"/>
    <w:rsid w:val="00681617"/>
    <w:rsid w:val="0068360D"/>
    <w:rsid w:val="006874DB"/>
    <w:rsid w:val="006906E7"/>
    <w:rsid w:val="00694385"/>
    <w:rsid w:val="006A6095"/>
    <w:rsid w:val="006B2AA7"/>
    <w:rsid w:val="006B41B1"/>
    <w:rsid w:val="006B6012"/>
    <w:rsid w:val="006B6F77"/>
    <w:rsid w:val="006C0264"/>
    <w:rsid w:val="006C3CC9"/>
    <w:rsid w:val="006C5B09"/>
    <w:rsid w:val="006F0009"/>
    <w:rsid w:val="006F5950"/>
    <w:rsid w:val="00700FD0"/>
    <w:rsid w:val="007021ED"/>
    <w:rsid w:val="00704505"/>
    <w:rsid w:val="0071195C"/>
    <w:rsid w:val="007129EF"/>
    <w:rsid w:val="007172C8"/>
    <w:rsid w:val="00720671"/>
    <w:rsid w:val="0072178E"/>
    <w:rsid w:val="007218D7"/>
    <w:rsid w:val="00721A7F"/>
    <w:rsid w:val="007263DE"/>
    <w:rsid w:val="0073046D"/>
    <w:rsid w:val="007379D0"/>
    <w:rsid w:val="0074025D"/>
    <w:rsid w:val="00744B7E"/>
    <w:rsid w:val="0074751A"/>
    <w:rsid w:val="0075032D"/>
    <w:rsid w:val="00756650"/>
    <w:rsid w:val="00774A40"/>
    <w:rsid w:val="00774C9D"/>
    <w:rsid w:val="00777AC6"/>
    <w:rsid w:val="00777F24"/>
    <w:rsid w:val="00780C2F"/>
    <w:rsid w:val="00780CDD"/>
    <w:rsid w:val="0078489B"/>
    <w:rsid w:val="00784DFC"/>
    <w:rsid w:val="00785266"/>
    <w:rsid w:val="00786B8F"/>
    <w:rsid w:val="00795B7A"/>
    <w:rsid w:val="00796010"/>
    <w:rsid w:val="007978E6"/>
    <w:rsid w:val="007B03F4"/>
    <w:rsid w:val="007C5A08"/>
    <w:rsid w:val="007C7B9A"/>
    <w:rsid w:val="007D1287"/>
    <w:rsid w:val="007D2039"/>
    <w:rsid w:val="007D3654"/>
    <w:rsid w:val="007F04E7"/>
    <w:rsid w:val="007F1E2B"/>
    <w:rsid w:val="007F255B"/>
    <w:rsid w:val="007F4B9B"/>
    <w:rsid w:val="007F4E05"/>
    <w:rsid w:val="008005E4"/>
    <w:rsid w:val="00801F29"/>
    <w:rsid w:val="008020F1"/>
    <w:rsid w:val="008024A6"/>
    <w:rsid w:val="0080288D"/>
    <w:rsid w:val="00813DB1"/>
    <w:rsid w:val="00823658"/>
    <w:rsid w:val="00825092"/>
    <w:rsid w:val="00837CEF"/>
    <w:rsid w:val="008450FB"/>
    <w:rsid w:val="00845A9F"/>
    <w:rsid w:val="00853CE4"/>
    <w:rsid w:val="00854F43"/>
    <w:rsid w:val="00863720"/>
    <w:rsid w:val="0087475E"/>
    <w:rsid w:val="00891B38"/>
    <w:rsid w:val="00892C87"/>
    <w:rsid w:val="008973FE"/>
    <w:rsid w:val="008A1E35"/>
    <w:rsid w:val="008A2309"/>
    <w:rsid w:val="008A7399"/>
    <w:rsid w:val="008B022A"/>
    <w:rsid w:val="008B0374"/>
    <w:rsid w:val="008B0AD7"/>
    <w:rsid w:val="008B1864"/>
    <w:rsid w:val="008C64B6"/>
    <w:rsid w:val="008D6A47"/>
    <w:rsid w:val="008F03A6"/>
    <w:rsid w:val="008F603E"/>
    <w:rsid w:val="009019C7"/>
    <w:rsid w:val="00910ABD"/>
    <w:rsid w:val="009207FA"/>
    <w:rsid w:val="009209F6"/>
    <w:rsid w:val="009260FB"/>
    <w:rsid w:val="00933027"/>
    <w:rsid w:val="009338E7"/>
    <w:rsid w:val="009343BD"/>
    <w:rsid w:val="00935FD6"/>
    <w:rsid w:val="009373CB"/>
    <w:rsid w:val="0094467D"/>
    <w:rsid w:val="00944E10"/>
    <w:rsid w:val="00951DF6"/>
    <w:rsid w:val="00953CE6"/>
    <w:rsid w:val="0095694E"/>
    <w:rsid w:val="00961942"/>
    <w:rsid w:val="00962A2F"/>
    <w:rsid w:val="00962F80"/>
    <w:rsid w:val="009677F4"/>
    <w:rsid w:val="009820C8"/>
    <w:rsid w:val="009827BF"/>
    <w:rsid w:val="00993708"/>
    <w:rsid w:val="00993951"/>
    <w:rsid w:val="0099789E"/>
    <w:rsid w:val="00997DEE"/>
    <w:rsid w:val="009A02E9"/>
    <w:rsid w:val="009A1A7C"/>
    <w:rsid w:val="009A1EAD"/>
    <w:rsid w:val="009A5B12"/>
    <w:rsid w:val="009A7FF6"/>
    <w:rsid w:val="009B18EC"/>
    <w:rsid w:val="009B3B40"/>
    <w:rsid w:val="009B4622"/>
    <w:rsid w:val="009B52E1"/>
    <w:rsid w:val="009D06AA"/>
    <w:rsid w:val="009D732B"/>
    <w:rsid w:val="009E1040"/>
    <w:rsid w:val="009E23B1"/>
    <w:rsid w:val="009E277F"/>
    <w:rsid w:val="009E6D70"/>
    <w:rsid w:val="009F2099"/>
    <w:rsid w:val="009F3075"/>
    <w:rsid w:val="00A01741"/>
    <w:rsid w:val="00A04086"/>
    <w:rsid w:val="00A058CE"/>
    <w:rsid w:val="00A07A15"/>
    <w:rsid w:val="00A07A22"/>
    <w:rsid w:val="00A15F8A"/>
    <w:rsid w:val="00A20C19"/>
    <w:rsid w:val="00A32AE5"/>
    <w:rsid w:val="00A3677C"/>
    <w:rsid w:val="00A41AC4"/>
    <w:rsid w:val="00A4700B"/>
    <w:rsid w:val="00A518DE"/>
    <w:rsid w:val="00A52CAE"/>
    <w:rsid w:val="00A63255"/>
    <w:rsid w:val="00A66BF4"/>
    <w:rsid w:val="00A71F7C"/>
    <w:rsid w:val="00A74822"/>
    <w:rsid w:val="00A74D80"/>
    <w:rsid w:val="00A808BD"/>
    <w:rsid w:val="00A81FCC"/>
    <w:rsid w:val="00A83F68"/>
    <w:rsid w:val="00A8699E"/>
    <w:rsid w:val="00A87FA5"/>
    <w:rsid w:val="00A937FB"/>
    <w:rsid w:val="00A94114"/>
    <w:rsid w:val="00A9633C"/>
    <w:rsid w:val="00AA10AD"/>
    <w:rsid w:val="00AA11D1"/>
    <w:rsid w:val="00AB2851"/>
    <w:rsid w:val="00AB35E2"/>
    <w:rsid w:val="00AB4905"/>
    <w:rsid w:val="00AB547D"/>
    <w:rsid w:val="00AC0C16"/>
    <w:rsid w:val="00AC22E4"/>
    <w:rsid w:val="00AC272C"/>
    <w:rsid w:val="00AC3619"/>
    <w:rsid w:val="00AD7142"/>
    <w:rsid w:val="00AD75AA"/>
    <w:rsid w:val="00AD77DD"/>
    <w:rsid w:val="00AD786E"/>
    <w:rsid w:val="00AE1C18"/>
    <w:rsid w:val="00AE6A0B"/>
    <w:rsid w:val="00AF6273"/>
    <w:rsid w:val="00B13E6E"/>
    <w:rsid w:val="00B14ED9"/>
    <w:rsid w:val="00B16912"/>
    <w:rsid w:val="00B174F0"/>
    <w:rsid w:val="00B2555E"/>
    <w:rsid w:val="00B3008C"/>
    <w:rsid w:val="00B4056E"/>
    <w:rsid w:val="00B40FDB"/>
    <w:rsid w:val="00B41703"/>
    <w:rsid w:val="00B44515"/>
    <w:rsid w:val="00B445AE"/>
    <w:rsid w:val="00B52A61"/>
    <w:rsid w:val="00B63903"/>
    <w:rsid w:val="00B64F97"/>
    <w:rsid w:val="00B6558A"/>
    <w:rsid w:val="00B65998"/>
    <w:rsid w:val="00B803BD"/>
    <w:rsid w:val="00B807B0"/>
    <w:rsid w:val="00B81378"/>
    <w:rsid w:val="00B85638"/>
    <w:rsid w:val="00B85A0A"/>
    <w:rsid w:val="00B9136A"/>
    <w:rsid w:val="00B956AE"/>
    <w:rsid w:val="00B95768"/>
    <w:rsid w:val="00BA0C72"/>
    <w:rsid w:val="00BB0952"/>
    <w:rsid w:val="00BB2A6F"/>
    <w:rsid w:val="00BB5057"/>
    <w:rsid w:val="00BC2F03"/>
    <w:rsid w:val="00BC41A0"/>
    <w:rsid w:val="00BE077A"/>
    <w:rsid w:val="00BE274B"/>
    <w:rsid w:val="00BF20C5"/>
    <w:rsid w:val="00BF2CDC"/>
    <w:rsid w:val="00BF4F6B"/>
    <w:rsid w:val="00C013D5"/>
    <w:rsid w:val="00C064CC"/>
    <w:rsid w:val="00C06820"/>
    <w:rsid w:val="00C11F1C"/>
    <w:rsid w:val="00C24261"/>
    <w:rsid w:val="00C24288"/>
    <w:rsid w:val="00C24C85"/>
    <w:rsid w:val="00C2707F"/>
    <w:rsid w:val="00C4072A"/>
    <w:rsid w:val="00C417D1"/>
    <w:rsid w:val="00C422BB"/>
    <w:rsid w:val="00C42F50"/>
    <w:rsid w:val="00C4540B"/>
    <w:rsid w:val="00C463E5"/>
    <w:rsid w:val="00C50ABD"/>
    <w:rsid w:val="00C533F4"/>
    <w:rsid w:val="00C70BB8"/>
    <w:rsid w:val="00C74991"/>
    <w:rsid w:val="00C752F0"/>
    <w:rsid w:val="00C75768"/>
    <w:rsid w:val="00C761AC"/>
    <w:rsid w:val="00C8594D"/>
    <w:rsid w:val="00C90B00"/>
    <w:rsid w:val="00C9245F"/>
    <w:rsid w:val="00C96A00"/>
    <w:rsid w:val="00CA3091"/>
    <w:rsid w:val="00CA65AB"/>
    <w:rsid w:val="00CB32F3"/>
    <w:rsid w:val="00CD074D"/>
    <w:rsid w:val="00CE0118"/>
    <w:rsid w:val="00CF01F3"/>
    <w:rsid w:val="00CF15D3"/>
    <w:rsid w:val="00CF53BB"/>
    <w:rsid w:val="00D02BFD"/>
    <w:rsid w:val="00D100EF"/>
    <w:rsid w:val="00D125DA"/>
    <w:rsid w:val="00D172ED"/>
    <w:rsid w:val="00D20D98"/>
    <w:rsid w:val="00D23462"/>
    <w:rsid w:val="00D23D24"/>
    <w:rsid w:val="00D245FA"/>
    <w:rsid w:val="00D26636"/>
    <w:rsid w:val="00D3095B"/>
    <w:rsid w:val="00D36FC3"/>
    <w:rsid w:val="00D36FCA"/>
    <w:rsid w:val="00D41653"/>
    <w:rsid w:val="00D41F1B"/>
    <w:rsid w:val="00D438FA"/>
    <w:rsid w:val="00D448BB"/>
    <w:rsid w:val="00D50387"/>
    <w:rsid w:val="00D62490"/>
    <w:rsid w:val="00D642DE"/>
    <w:rsid w:val="00D65A05"/>
    <w:rsid w:val="00D666AA"/>
    <w:rsid w:val="00D70354"/>
    <w:rsid w:val="00D74236"/>
    <w:rsid w:val="00D7516A"/>
    <w:rsid w:val="00D80C7D"/>
    <w:rsid w:val="00D85188"/>
    <w:rsid w:val="00D86248"/>
    <w:rsid w:val="00D8653D"/>
    <w:rsid w:val="00DA3CBE"/>
    <w:rsid w:val="00DB419C"/>
    <w:rsid w:val="00DC166D"/>
    <w:rsid w:val="00DC641F"/>
    <w:rsid w:val="00DC6933"/>
    <w:rsid w:val="00DD1C5E"/>
    <w:rsid w:val="00DD5B05"/>
    <w:rsid w:val="00DE1CEB"/>
    <w:rsid w:val="00DE2A73"/>
    <w:rsid w:val="00DE7D3F"/>
    <w:rsid w:val="00DF3D51"/>
    <w:rsid w:val="00DF3DF2"/>
    <w:rsid w:val="00DF3FF4"/>
    <w:rsid w:val="00DF4A99"/>
    <w:rsid w:val="00DF73E2"/>
    <w:rsid w:val="00E0060C"/>
    <w:rsid w:val="00E026CB"/>
    <w:rsid w:val="00E0483D"/>
    <w:rsid w:val="00E10680"/>
    <w:rsid w:val="00E13F91"/>
    <w:rsid w:val="00E17F88"/>
    <w:rsid w:val="00E20884"/>
    <w:rsid w:val="00E22EFE"/>
    <w:rsid w:val="00E3440E"/>
    <w:rsid w:val="00E35EAB"/>
    <w:rsid w:val="00E36BC0"/>
    <w:rsid w:val="00E4140B"/>
    <w:rsid w:val="00E43F98"/>
    <w:rsid w:val="00E46993"/>
    <w:rsid w:val="00E51619"/>
    <w:rsid w:val="00E51943"/>
    <w:rsid w:val="00E60AD7"/>
    <w:rsid w:val="00E60EB3"/>
    <w:rsid w:val="00E64508"/>
    <w:rsid w:val="00E65B86"/>
    <w:rsid w:val="00E67CF4"/>
    <w:rsid w:val="00E73BBA"/>
    <w:rsid w:val="00E76177"/>
    <w:rsid w:val="00E7702A"/>
    <w:rsid w:val="00E80943"/>
    <w:rsid w:val="00E822F9"/>
    <w:rsid w:val="00E82A14"/>
    <w:rsid w:val="00E83B1F"/>
    <w:rsid w:val="00EA1E77"/>
    <w:rsid w:val="00EA5FD7"/>
    <w:rsid w:val="00EA6AFF"/>
    <w:rsid w:val="00EA78FD"/>
    <w:rsid w:val="00EB1374"/>
    <w:rsid w:val="00EB18B0"/>
    <w:rsid w:val="00EB516A"/>
    <w:rsid w:val="00EC2E67"/>
    <w:rsid w:val="00EC43B4"/>
    <w:rsid w:val="00EC459A"/>
    <w:rsid w:val="00EC610B"/>
    <w:rsid w:val="00EC7822"/>
    <w:rsid w:val="00EC7957"/>
    <w:rsid w:val="00ED224B"/>
    <w:rsid w:val="00ED5C7B"/>
    <w:rsid w:val="00ED69B8"/>
    <w:rsid w:val="00ED7CEB"/>
    <w:rsid w:val="00EF1853"/>
    <w:rsid w:val="00F0458C"/>
    <w:rsid w:val="00F066E3"/>
    <w:rsid w:val="00F1019D"/>
    <w:rsid w:val="00F2310E"/>
    <w:rsid w:val="00F23457"/>
    <w:rsid w:val="00F31F7E"/>
    <w:rsid w:val="00F375E0"/>
    <w:rsid w:val="00F50468"/>
    <w:rsid w:val="00F53D38"/>
    <w:rsid w:val="00F6352E"/>
    <w:rsid w:val="00F65495"/>
    <w:rsid w:val="00F734FE"/>
    <w:rsid w:val="00F754E1"/>
    <w:rsid w:val="00F762D9"/>
    <w:rsid w:val="00F812EA"/>
    <w:rsid w:val="00F879C2"/>
    <w:rsid w:val="00F87CE3"/>
    <w:rsid w:val="00F94F2D"/>
    <w:rsid w:val="00F9771A"/>
    <w:rsid w:val="00FA3E37"/>
    <w:rsid w:val="00FB0039"/>
    <w:rsid w:val="00FB0886"/>
    <w:rsid w:val="00FB2AF6"/>
    <w:rsid w:val="00FC13D6"/>
    <w:rsid w:val="00FC25A3"/>
    <w:rsid w:val="00FC3803"/>
    <w:rsid w:val="00FD16E7"/>
    <w:rsid w:val="00FD19BF"/>
    <w:rsid w:val="00FD2B21"/>
    <w:rsid w:val="00FD3943"/>
    <w:rsid w:val="00FD5515"/>
    <w:rsid w:val="00FD7AD3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40A2996"/>
  <w15:docId w15:val="{87469BC5-1F8F-4C1E-BC99-F61C43C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581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32AE5"/>
    <w:pPr>
      <w:keepNext/>
      <w:bidi w:val="0"/>
      <w:ind w:left="318" w:hanging="318"/>
      <w:jc w:val="center"/>
      <w:outlineLvl w:val="1"/>
    </w:pPr>
    <w:rPr>
      <w:rFonts w:cs="Traditional Arabic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3E0581"/>
  </w:style>
  <w:style w:type="paragraph" w:styleId="BodyText">
    <w:name w:val="Body Text"/>
    <w:basedOn w:val="Normal"/>
    <w:semiHidden/>
    <w:rsid w:val="003E0581"/>
    <w:pPr>
      <w:bidi w:val="0"/>
      <w:ind w:right="720"/>
      <w:jc w:val="lowKashida"/>
    </w:pPr>
    <w:rPr>
      <w:b/>
      <w:bCs/>
    </w:rPr>
  </w:style>
  <w:style w:type="paragraph" w:styleId="BalloonText">
    <w:name w:val="Balloon Text"/>
    <w:basedOn w:val="Normal"/>
    <w:semiHidden/>
    <w:unhideWhenUsed/>
    <w:rsid w:val="003E0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0581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3E0581"/>
    <w:pPr>
      <w:bidi w:val="0"/>
      <w:jc w:val="lowKashida"/>
    </w:pPr>
    <w:rPr>
      <w:color w:val="000000"/>
      <w:shd w:val="clear" w:color="auto" w:fill="FFFFFF"/>
    </w:rPr>
  </w:style>
  <w:style w:type="table" w:styleId="TableGrid">
    <w:name w:val="Table Grid"/>
    <w:basedOn w:val="TableNormal"/>
    <w:uiPriority w:val="59"/>
    <w:rsid w:val="0092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A32AE5"/>
    <w:pPr>
      <w:numPr>
        <w:ilvl w:val="12"/>
      </w:numPr>
      <w:bidi w:val="0"/>
      <w:jc w:val="lowKashida"/>
    </w:pPr>
    <w:rPr>
      <w:rFonts w:cs="Simplified Arabic"/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A32AE5"/>
    <w:rPr>
      <w:rFonts w:cs="Simplified Arabic"/>
      <w:b/>
      <w:bCs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32AE5"/>
    <w:rPr>
      <w:rFonts w:cs="Traditional Arabic"/>
      <w:b/>
      <w:bCs/>
      <w:sz w:val="24"/>
    </w:rPr>
  </w:style>
  <w:style w:type="character" w:styleId="Hyperlink">
    <w:name w:val="Hyperlink"/>
    <w:uiPriority w:val="99"/>
    <w:unhideWhenUsed/>
    <w:rsid w:val="00DB419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3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E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E"/>
    <w:rPr>
      <w:b/>
      <w:bCs/>
      <w:lang w:eastAsia="ar-SA"/>
    </w:rPr>
  </w:style>
  <w:style w:type="character" w:customStyle="1" w:styleId="y2iqfc">
    <w:name w:val="y2iqfc"/>
    <w:basedOn w:val="DefaultParagraphFont"/>
    <w:rsid w:val="0023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7955111016528341"/>
          <c:y val="2.550687433663262E-2"/>
          <c:w val="0.81609675817549865"/>
          <c:h val="0.7505495355400341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New Additions to Licensed Buildings </c:v>
                </c:pt>
              </c:strCache>
            </c:strRef>
          </c:tx>
          <c:spPr>
            <a:ln>
              <a:gradFill>
                <a:gsLst>
                  <a:gs pos="0">
                    <a:srgbClr val="1F497D"/>
                  </a:gs>
                  <a:gs pos="74000">
                    <a:srgbClr val="4F81BD">
                      <a:lumMod val="45000"/>
                      <a:lumOff val="55000"/>
                    </a:srgbClr>
                  </a:gs>
                  <a:gs pos="83000">
                    <a:srgbClr val="4F81BD">
                      <a:lumMod val="45000"/>
                      <a:lumOff val="55000"/>
                    </a:srgbClr>
                  </a:gs>
                  <a:gs pos="100000">
                    <a:srgbClr val="4F81BD">
                      <a:lumMod val="30000"/>
                      <a:lumOff val="70000"/>
                    </a:srgbClr>
                  </a:gs>
                </a:gsLst>
                <a:lin ang="5400000" scaled="1"/>
              </a:gradFill>
              <a:tailEnd type="none"/>
            </a:ln>
          </c:spPr>
          <c:marker>
            <c:symbol val="triangle"/>
            <c:size val="7"/>
            <c:spPr>
              <a:ln>
                <a:solidFill>
                  <a:srgbClr val="4F81BD"/>
                </a:solidFill>
                <a:tailEnd type="triangle" w="lg" len="med"/>
              </a:ln>
            </c:spPr>
          </c:marker>
          <c:cat>
            <c:strRef>
              <c:f>Sheet1!$A$2:$A$6</c:f>
              <c:strCache>
                <c:ptCount val="5"/>
                <c:pt idx="0">
                  <c:v> Q IV 2021</c:v>
                </c:pt>
                <c:pt idx="1">
                  <c:v> Q I 2022</c:v>
                </c:pt>
                <c:pt idx="2">
                  <c:v> Q II 2022</c:v>
                </c:pt>
                <c:pt idx="3">
                  <c:v> Q III 2022</c:v>
                </c:pt>
                <c:pt idx="4">
                  <c:v> Q IV 2022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383</c:v>
                </c:pt>
                <c:pt idx="1">
                  <c:v>348</c:v>
                </c:pt>
                <c:pt idx="2">
                  <c:v>322</c:v>
                </c:pt>
                <c:pt idx="3">
                  <c:v>313</c:v>
                </c:pt>
                <c:pt idx="4">
                  <c:v>353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A5-442B-A5B7-A3EE61977FD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New Buildings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 Q IV 2021</c:v>
                </c:pt>
                <c:pt idx="1">
                  <c:v> Q I 2022</c:v>
                </c:pt>
                <c:pt idx="2">
                  <c:v> Q II 2022</c:v>
                </c:pt>
                <c:pt idx="3">
                  <c:v> Q III 2022</c:v>
                </c:pt>
                <c:pt idx="4">
                  <c:v> Q IV 2022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1940</c:v>
                </c:pt>
                <c:pt idx="1">
                  <c:v>1997</c:v>
                </c:pt>
                <c:pt idx="2">
                  <c:v>1558</c:v>
                </c:pt>
                <c:pt idx="3">
                  <c:v>1626</c:v>
                </c:pt>
                <c:pt idx="4">
                  <c:v>1674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A5-442B-A5B7-A3EE61977FD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Total Building Licenses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 Q IV 2021</c:v>
                </c:pt>
                <c:pt idx="1">
                  <c:v> Q I 2022</c:v>
                </c:pt>
                <c:pt idx="2">
                  <c:v> Q II 2022</c:v>
                </c:pt>
                <c:pt idx="3">
                  <c:v> Q III 2022</c:v>
                </c:pt>
                <c:pt idx="4">
                  <c:v> Q IV 2022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3179</c:v>
                </c:pt>
                <c:pt idx="1">
                  <c:v>3271</c:v>
                </c:pt>
                <c:pt idx="2">
                  <c:v>2610</c:v>
                </c:pt>
                <c:pt idx="3">
                  <c:v>2665</c:v>
                </c:pt>
                <c:pt idx="4">
                  <c:v>2804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CA5-442B-A5B7-A3EE61977F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3086720"/>
        <c:axId val="103190912"/>
      </c:lineChart>
      <c:catAx>
        <c:axId val="103086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03190912"/>
        <c:crosses val="autoZero"/>
        <c:auto val="1"/>
        <c:lblAlgn val="ctr"/>
        <c:lblOffset val="100"/>
        <c:noMultiLvlLbl val="0"/>
      </c:catAx>
      <c:valAx>
        <c:axId val="103190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/>
                </a:pPr>
                <a:r>
                  <a:rPr lang="en-US" b="1"/>
                  <a:t>Number of Licenses</a:t>
                </a:r>
              </a:p>
            </c:rich>
          </c:tx>
          <c:layout>
            <c:manualLayout>
              <c:xMode val="edge"/>
              <c:yMode val="edge"/>
              <c:x val="0"/>
              <c:y val="0.22323685890615028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crossAx val="103086720"/>
        <c:crosses val="autoZero"/>
        <c:crossBetween val="between"/>
      </c:valAx>
      <c:spPr>
        <a:ln>
          <a:solidFill>
            <a:srgbClr val="4F81BD"/>
          </a:solidFill>
        </a:ln>
      </c:spPr>
    </c:plotArea>
    <c:legend>
      <c:legendPos val="b"/>
      <c:layout>
        <c:manualLayout>
          <c:xMode val="edge"/>
          <c:yMode val="edge"/>
          <c:x val="0"/>
          <c:y val="0.84788658459946031"/>
          <c:w val="0.81671709608524268"/>
          <c:h val="0.15211347797826241"/>
        </c:manualLayout>
      </c:layout>
      <c:overlay val="0"/>
      <c:spPr>
        <a:ln>
          <a:noFill/>
        </a:ln>
      </c:spPr>
    </c:legend>
    <c:plotVisOnly val="1"/>
    <c:dispBlanksAs val="gap"/>
    <c:showDLblsOverMax val="0"/>
  </c:chart>
  <c:spPr>
    <a:noFill/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BFE3-7099-4BEC-9064-7AE665EA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First monthly  news release on the Palestinian registered external trade on goods for December/ 2010</vt:lpstr>
    </vt:vector>
  </TitlesOfParts>
  <Company>pcbs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monthly  news release on the Palestinian registered external trade on goods for December/ 2010</dc:title>
  <dc:creator>husamkh</dc:creator>
  <cp:lastModifiedBy>Hadeel Badran</cp:lastModifiedBy>
  <cp:revision>4</cp:revision>
  <cp:lastPrinted>2023-02-27T12:04:00Z</cp:lastPrinted>
  <dcterms:created xsi:type="dcterms:W3CDTF">2023-02-27T11:37:00Z</dcterms:created>
  <dcterms:modified xsi:type="dcterms:W3CDTF">2023-02-27T12:07:00Z</dcterms:modified>
</cp:coreProperties>
</file>