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EA756" w14:textId="77777777" w:rsidR="00D5768B" w:rsidRPr="003160E4" w:rsidRDefault="00D5768B" w:rsidP="00D5768B">
      <w:pPr>
        <w:pStyle w:val="Header"/>
        <w:jc w:val="center"/>
        <w:rPr>
          <w:rFonts w:hint="cs"/>
          <w:b/>
          <w:bCs/>
          <w:sz w:val="32"/>
          <w:szCs w:val="32"/>
          <w:rtl/>
        </w:rPr>
      </w:pPr>
      <w:r w:rsidRPr="003160E4">
        <w:rPr>
          <w:b/>
          <w:bCs/>
          <w:sz w:val="32"/>
          <w:szCs w:val="32"/>
        </w:rPr>
        <w:t>Palestinian Central Bureau of Statistics (PCBS)</w:t>
      </w:r>
    </w:p>
    <w:p w14:paraId="30E94C12" w14:textId="77777777" w:rsidR="00D5768B" w:rsidRDefault="00D5768B" w:rsidP="00D5768B">
      <w:pPr>
        <w:numPr>
          <w:ilvl w:val="12"/>
          <w:numId w:val="0"/>
        </w:numPr>
        <w:bidi w:val="0"/>
        <w:ind w:right="1"/>
        <w:jc w:val="both"/>
        <w:rPr>
          <w:b/>
          <w:bCs/>
        </w:rPr>
      </w:pPr>
    </w:p>
    <w:p w14:paraId="174D7D5A" w14:textId="77777777" w:rsidR="00D5768B" w:rsidRDefault="00D5768B" w:rsidP="00D5768B">
      <w:pPr>
        <w:numPr>
          <w:ilvl w:val="12"/>
          <w:numId w:val="0"/>
        </w:numPr>
        <w:bidi w:val="0"/>
        <w:ind w:right="1"/>
        <w:jc w:val="both"/>
        <w:rPr>
          <w:b/>
          <w:bCs/>
        </w:rPr>
      </w:pPr>
    </w:p>
    <w:p w14:paraId="32583EE5" w14:textId="01182B9B" w:rsidR="00EB1374" w:rsidRPr="00D5768B" w:rsidRDefault="00485B96" w:rsidP="00D5768B">
      <w:pPr>
        <w:numPr>
          <w:ilvl w:val="12"/>
          <w:numId w:val="0"/>
        </w:numPr>
        <w:bidi w:val="0"/>
        <w:ind w:right="1"/>
        <w:jc w:val="center"/>
        <w:rPr>
          <w:b/>
          <w:bCs/>
          <w:sz w:val="28"/>
          <w:szCs w:val="28"/>
        </w:rPr>
      </w:pPr>
      <w:r w:rsidRPr="00D5768B">
        <w:rPr>
          <w:b/>
          <w:bCs/>
          <w:sz w:val="28"/>
          <w:szCs w:val="28"/>
        </w:rPr>
        <w:t>2,712 building licenses were issued in the third quarter</w:t>
      </w:r>
      <w:r w:rsidR="00AC4E47" w:rsidRPr="00D5768B">
        <w:rPr>
          <w:b/>
          <w:bCs/>
          <w:sz w:val="28"/>
          <w:szCs w:val="28"/>
        </w:rPr>
        <w:t xml:space="preserve"> (July-September)</w:t>
      </w:r>
      <w:r w:rsidRPr="00D5768B">
        <w:rPr>
          <w:b/>
          <w:bCs/>
          <w:sz w:val="28"/>
          <w:szCs w:val="28"/>
        </w:rPr>
        <w:t xml:space="preserve"> of 2023 before the Israeli aggression on the Gaza Strip</w:t>
      </w:r>
    </w:p>
    <w:p w14:paraId="4A897CA2" w14:textId="77777777" w:rsidR="00485B96" w:rsidRDefault="00485B96" w:rsidP="00485B96">
      <w:pPr>
        <w:numPr>
          <w:ilvl w:val="12"/>
          <w:numId w:val="0"/>
        </w:numPr>
        <w:bidi w:val="0"/>
        <w:ind w:right="1"/>
        <w:jc w:val="both"/>
        <w:rPr>
          <w:b/>
          <w:bCs/>
          <w:rtl/>
        </w:rPr>
      </w:pPr>
    </w:p>
    <w:p w14:paraId="04979757" w14:textId="77777777" w:rsidR="00485B96" w:rsidRPr="001163C8" w:rsidRDefault="00485B96" w:rsidP="00485B96">
      <w:pPr>
        <w:numPr>
          <w:ilvl w:val="12"/>
          <w:numId w:val="0"/>
        </w:numPr>
        <w:bidi w:val="0"/>
        <w:ind w:right="1"/>
        <w:jc w:val="both"/>
        <w:rPr>
          <w:b/>
          <w:bCs/>
        </w:rPr>
      </w:pPr>
    </w:p>
    <w:p w14:paraId="6925E2A6" w14:textId="6B6E88E5" w:rsidR="00EB1374" w:rsidRPr="00D5768B" w:rsidRDefault="00485B96" w:rsidP="001E1151">
      <w:pPr>
        <w:bidi w:val="0"/>
        <w:rPr>
          <w:rFonts w:cs="Simplified Arabic"/>
          <w:sz w:val="26"/>
          <w:szCs w:val="26"/>
          <w:rtl/>
        </w:rPr>
      </w:pPr>
      <w:bookmarkStart w:id="0" w:name="_GoBack"/>
      <w:r w:rsidRPr="00D5768B">
        <w:rPr>
          <w:rFonts w:cs="Simplified Arabic"/>
          <w:sz w:val="26"/>
          <w:szCs w:val="26"/>
        </w:rPr>
        <w:t>A total of 2,712 building licenses were issued in the third quarter of 2023 (2,671 in the West Bank and about 41 in the Gaza Strip), of which 1,646 are new buildings.</w:t>
      </w:r>
    </w:p>
    <w:bookmarkEnd w:id="0"/>
    <w:p w14:paraId="6A5E4DA6" w14:textId="77777777" w:rsidR="00485B96" w:rsidRPr="00D5768B" w:rsidRDefault="00485B96" w:rsidP="00485B96">
      <w:pPr>
        <w:bidi w:val="0"/>
        <w:rPr>
          <w:color w:val="1F497D"/>
          <w:sz w:val="26"/>
          <w:szCs w:val="26"/>
        </w:rPr>
      </w:pPr>
    </w:p>
    <w:p w14:paraId="6D74DABC" w14:textId="30A1A940" w:rsidR="00EB1374" w:rsidRPr="00D5768B" w:rsidRDefault="00EB1374" w:rsidP="00BF026E">
      <w:pPr>
        <w:numPr>
          <w:ilvl w:val="12"/>
          <w:numId w:val="0"/>
        </w:numPr>
        <w:bidi w:val="0"/>
        <w:ind w:left="1" w:right="1"/>
        <w:jc w:val="both"/>
        <w:rPr>
          <w:sz w:val="26"/>
          <w:szCs w:val="26"/>
          <w:rtl/>
        </w:rPr>
      </w:pPr>
      <w:r w:rsidRPr="00D5768B">
        <w:rPr>
          <w:sz w:val="26"/>
          <w:szCs w:val="26"/>
        </w:rPr>
        <w:t xml:space="preserve">The total number of building licenses issued in the </w:t>
      </w:r>
      <w:r w:rsidR="0098535F" w:rsidRPr="00D5768B">
        <w:rPr>
          <w:sz w:val="26"/>
          <w:szCs w:val="26"/>
        </w:rPr>
        <w:t>third</w:t>
      </w:r>
      <w:r w:rsidRPr="00D5768B">
        <w:rPr>
          <w:rFonts w:cs="Simplified Arabic"/>
          <w:sz w:val="26"/>
          <w:szCs w:val="26"/>
        </w:rPr>
        <w:t xml:space="preserve"> </w:t>
      </w:r>
      <w:r w:rsidRPr="00D5768B">
        <w:rPr>
          <w:sz w:val="26"/>
          <w:szCs w:val="26"/>
        </w:rPr>
        <w:t>quarter of 20</w:t>
      </w:r>
      <w:r w:rsidR="004968B5" w:rsidRPr="00D5768B">
        <w:rPr>
          <w:sz w:val="26"/>
          <w:szCs w:val="26"/>
        </w:rPr>
        <w:t>2</w:t>
      </w:r>
      <w:r w:rsidR="003A6D43" w:rsidRPr="00D5768B">
        <w:rPr>
          <w:sz w:val="26"/>
          <w:szCs w:val="26"/>
        </w:rPr>
        <w:t>3</w:t>
      </w:r>
      <w:r w:rsidRPr="00D5768B">
        <w:rPr>
          <w:sz w:val="26"/>
          <w:szCs w:val="26"/>
        </w:rPr>
        <w:t xml:space="preserve"> </w:t>
      </w:r>
      <w:r w:rsidR="0098535F" w:rsidRPr="00D5768B">
        <w:rPr>
          <w:sz w:val="26"/>
          <w:szCs w:val="26"/>
        </w:rPr>
        <w:t>in</w:t>
      </w:r>
      <w:r w:rsidRPr="00D5768B">
        <w:rPr>
          <w:sz w:val="26"/>
          <w:szCs w:val="26"/>
        </w:rPr>
        <w:t xml:space="preserve">creased by </w:t>
      </w:r>
      <w:r w:rsidR="0098535F" w:rsidRPr="00D5768B">
        <w:rPr>
          <w:sz w:val="26"/>
          <w:szCs w:val="26"/>
        </w:rPr>
        <w:t>13</w:t>
      </w:r>
      <w:r w:rsidRPr="00D5768B">
        <w:rPr>
          <w:sz w:val="26"/>
          <w:szCs w:val="26"/>
        </w:rPr>
        <w:t xml:space="preserve">% compared with the </w:t>
      </w:r>
      <w:r w:rsidR="0098535F" w:rsidRPr="00D5768B">
        <w:rPr>
          <w:sz w:val="26"/>
          <w:szCs w:val="26"/>
        </w:rPr>
        <w:t>second</w:t>
      </w:r>
      <w:r w:rsidR="00953CE6" w:rsidRPr="00D5768B">
        <w:rPr>
          <w:rFonts w:cs="Simplified Arabic"/>
          <w:sz w:val="26"/>
          <w:szCs w:val="26"/>
        </w:rPr>
        <w:t xml:space="preserve"> </w:t>
      </w:r>
      <w:r w:rsidRPr="00D5768B">
        <w:rPr>
          <w:sz w:val="26"/>
          <w:szCs w:val="26"/>
        </w:rPr>
        <w:t>quarter</w:t>
      </w:r>
      <w:bookmarkStart w:id="1" w:name="OLE_LINK12"/>
      <w:r w:rsidRPr="00D5768B">
        <w:rPr>
          <w:sz w:val="26"/>
          <w:szCs w:val="26"/>
        </w:rPr>
        <w:t xml:space="preserve"> of 20</w:t>
      </w:r>
      <w:r w:rsidR="009827BF" w:rsidRPr="00D5768B">
        <w:rPr>
          <w:sz w:val="26"/>
          <w:szCs w:val="26"/>
        </w:rPr>
        <w:t>2</w:t>
      </w:r>
      <w:r w:rsidR="00BF026E" w:rsidRPr="00D5768B">
        <w:rPr>
          <w:sz w:val="26"/>
          <w:szCs w:val="26"/>
        </w:rPr>
        <w:t>3</w:t>
      </w:r>
      <w:r w:rsidRPr="00D5768B">
        <w:rPr>
          <w:sz w:val="26"/>
          <w:szCs w:val="26"/>
        </w:rPr>
        <w:t xml:space="preserve"> </w:t>
      </w:r>
      <w:bookmarkEnd w:id="1"/>
      <w:r w:rsidRPr="00D5768B">
        <w:rPr>
          <w:sz w:val="26"/>
          <w:szCs w:val="26"/>
        </w:rPr>
        <w:t xml:space="preserve">and </w:t>
      </w:r>
      <w:r w:rsidR="0098535F" w:rsidRPr="00D5768B">
        <w:rPr>
          <w:sz w:val="26"/>
          <w:szCs w:val="26"/>
        </w:rPr>
        <w:t>in</w:t>
      </w:r>
      <w:r w:rsidRPr="00D5768B">
        <w:rPr>
          <w:sz w:val="26"/>
          <w:szCs w:val="26"/>
        </w:rPr>
        <w:t xml:space="preserve">creased by </w:t>
      </w:r>
      <w:r w:rsidR="0098535F" w:rsidRPr="00D5768B">
        <w:rPr>
          <w:sz w:val="26"/>
          <w:szCs w:val="26"/>
        </w:rPr>
        <w:t>2</w:t>
      </w:r>
      <w:r w:rsidRPr="00D5768B">
        <w:rPr>
          <w:sz w:val="26"/>
          <w:szCs w:val="26"/>
        </w:rPr>
        <w:t xml:space="preserve">% compared with the </w:t>
      </w:r>
      <w:r w:rsidR="0098535F" w:rsidRPr="00D5768B">
        <w:rPr>
          <w:sz w:val="26"/>
          <w:szCs w:val="26"/>
        </w:rPr>
        <w:t>third</w:t>
      </w:r>
      <w:r w:rsidR="00953CE6" w:rsidRPr="00D5768B">
        <w:rPr>
          <w:rFonts w:cs="Simplified Arabic"/>
          <w:sz w:val="26"/>
          <w:szCs w:val="26"/>
        </w:rPr>
        <w:t xml:space="preserve"> </w:t>
      </w:r>
      <w:r w:rsidRPr="00D5768B">
        <w:rPr>
          <w:sz w:val="26"/>
          <w:szCs w:val="26"/>
        </w:rPr>
        <w:t>quarter of 20</w:t>
      </w:r>
      <w:r w:rsidR="009343BD" w:rsidRPr="00D5768B">
        <w:rPr>
          <w:sz w:val="26"/>
          <w:szCs w:val="26"/>
        </w:rPr>
        <w:t>2</w:t>
      </w:r>
      <w:r w:rsidR="003A6D43" w:rsidRPr="00D5768B">
        <w:rPr>
          <w:sz w:val="26"/>
          <w:szCs w:val="26"/>
        </w:rPr>
        <w:t>2</w:t>
      </w:r>
      <w:r w:rsidRPr="00D5768B">
        <w:rPr>
          <w:sz w:val="26"/>
          <w:szCs w:val="26"/>
        </w:rPr>
        <w:t xml:space="preserve">, where the number of new building licenses </w:t>
      </w:r>
      <w:r w:rsidR="0098535F" w:rsidRPr="00D5768B">
        <w:rPr>
          <w:sz w:val="26"/>
          <w:szCs w:val="26"/>
        </w:rPr>
        <w:t>in</w:t>
      </w:r>
      <w:r w:rsidRPr="00D5768B">
        <w:rPr>
          <w:sz w:val="26"/>
          <w:szCs w:val="26"/>
        </w:rPr>
        <w:t xml:space="preserve">creased by </w:t>
      </w:r>
      <w:r w:rsidR="0098535F" w:rsidRPr="00D5768B">
        <w:rPr>
          <w:sz w:val="26"/>
          <w:szCs w:val="26"/>
        </w:rPr>
        <w:t>12</w:t>
      </w:r>
      <w:r w:rsidRPr="00D5768B">
        <w:rPr>
          <w:sz w:val="26"/>
          <w:szCs w:val="26"/>
        </w:rPr>
        <w:t xml:space="preserve">% compared with the </w:t>
      </w:r>
      <w:r w:rsidR="0098535F" w:rsidRPr="00D5768B">
        <w:rPr>
          <w:sz w:val="26"/>
          <w:szCs w:val="26"/>
        </w:rPr>
        <w:t>second</w:t>
      </w:r>
      <w:r w:rsidR="00DE1CEB" w:rsidRPr="00D5768B">
        <w:rPr>
          <w:sz w:val="26"/>
          <w:szCs w:val="26"/>
        </w:rPr>
        <w:t xml:space="preserve"> </w:t>
      </w:r>
      <w:r w:rsidRPr="00D5768B">
        <w:rPr>
          <w:sz w:val="26"/>
          <w:szCs w:val="26"/>
        </w:rPr>
        <w:t>quarter of 20</w:t>
      </w:r>
      <w:r w:rsidR="009827BF" w:rsidRPr="00D5768B">
        <w:rPr>
          <w:sz w:val="26"/>
          <w:szCs w:val="26"/>
        </w:rPr>
        <w:t>2</w:t>
      </w:r>
      <w:r w:rsidR="00BF026E" w:rsidRPr="00D5768B">
        <w:rPr>
          <w:sz w:val="26"/>
          <w:szCs w:val="26"/>
        </w:rPr>
        <w:t>3</w:t>
      </w:r>
      <w:r w:rsidRPr="00D5768B">
        <w:rPr>
          <w:sz w:val="26"/>
          <w:szCs w:val="26"/>
        </w:rPr>
        <w:t xml:space="preserve"> and </w:t>
      </w:r>
      <w:r w:rsidR="0098535F" w:rsidRPr="00D5768B">
        <w:rPr>
          <w:sz w:val="26"/>
          <w:szCs w:val="26"/>
        </w:rPr>
        <w:t>in</w:t>
      </w:r>
      <w:r w:rsidRPr="00D5768B">
        <w:rPr>
          <w:sz w:val="26"/>
          <w:szCs w:val="26"/>
        </w:rPr>
        <w:t xml:space="preserve">creased by </w:t>
      </w:r>
      <w:r w:rsidR="0098535F" w:rsidRPr="00D5768B">
        <w:rPr>
          <w:sz w:val="26"/>
          <w:szCs w:val="26"/>
        </w:rPr>
        <w:t>1</w:t>
      </w:r>
      <w:r w:rsidRPr="00D5768B">
        <w:rPr>
          <w:sz w:val="26"/>
          <w:szCs w:val="26"/>
        </w:rPr>
        <w:t xml:space="preserve">% compared with the </w:t>
      </w:r>
      <w:r w:rsidR="0098535F" w:rsidRPr="00D5768B">
        <w:rPr>
          <w:sz w:val="26"/>
          <w:szCs w:val="26"/>
        </w:rPr>
        <w:t>third</w:t>
      </w:r>
      <w:r w:rsidR="00953CE6" w:rsidRPr="00D5768B">
        <w:rPr>
          <w:rFonts w:cs="Simplified Arabic"/>
          <w:sz w:val="26"/>
          <w:szCs w:val="26"/>
        </w:rPr>
        <w:t xml:space="preserve"> </w:t>
      </w:r>
      <w:r w:rsidRPr="00D5768B">
        <w:rPr>
          <w:sz w:val="26"/>
          <w:szCs w:val="26"/>
        </w:rPr>
        <w:t>quarter of 20</w:t>
      </w:r>
      <w:r w:rsidR="009343BD" w:rsidRPr="00D5768B">
        <w:rPr>
          <w:sz w:val="26"/>
          <w:szCs w:val="26"/>
        </w:rPr>
        <w:t>2</w:t>
      </w:r>
      <w:r w:rsidR="003A6D43" w:rsidRPr="00D5768B">
        <w:rPr>
          <w:sz w:val="26"/>
          <w:szCs w:val="26"/>
        </w:rPr>
        <w:t>2</w:t>
      </w:r>
      <w:r w:rsidRPr="00D5768B">
        <w:rPr>
          <w:sz w:val="26"/>
          <w:szCs w:val="26"/>
        </w:rPr>
        <w:t>.</w:t>
      </w:r>
    </w:p>
    <w:p w14:paraId="36F855BC" w14:textId="77777777" w:rsidR="00EB1374" w:rsidRPr="00D5768B" w:rsidRDefault="00EB1374" w:rsidP="00EB1374">
      <w:pPr>
        <w:numPr>
          <w:ilvl w:val="12"/>
          <w:numId w:val="0"/>
        </w:numPr>
        <w:bidi w:val="0"/>
        <w:ind w:left="1" w:right="1"/>
        <w:jc w:val="both"/>
        <w:rPr>
          <w:sz w:val="26"/>
          <w:szCs w:val="26"/>
        </w:rPr>
      </w:pPr>
    </w:p>
    <w:p w14:paraId="6FFDD573" w14:textId="56390618" w:rsidR="00EB1374" w:rsidRPr="00D5768B" w:rsidRDefault="00EB1374" w:rsidP="00EC395C">
      <w:pPr>
        <w:numPr>
          <w:ilvl w:val="12"/>
          <w:numId w:val="0"/>
        </w:numPr>
        <w:bidi w:val="0"/>
        <w:ind w:left="1" w:right="1"/>
        <w:jc w:val="both"/>
        <w:rPr>
          <w:sz w:val="26"/>
          <w:szCs w:val="26"/>
        </w:rPr>
      </w:pPr>
      <w:r w:rsidRPr="00D5768B">
        <w:rPr>
          <w:sz w:val="26"/>
          <w:szCs w:val="26"/>
        </w:rPr>
        <w:t xml:space="preserve">The area of licensed buildings (residential and non-residential) totaled </w:t>
      </w:r>
      <w:r w:rsidR="00E60AD7" w:rsidRPr="00D5768B">
        <w:rPr>
          <w:sz w:val="26"/>
          <w:szCs w:val="26"/>
        </w:rPr>
        <w:t>1,</w:t>
      </w:r>
      <w:r w:rsidR="00EC395C" w:rsidRPr="00D5768B">
        <w:rPr>
          <w:sz w:val="26"/>
          <w:szCs w:val="26"/>
        </w:rPr>
        <w:t>2</w:t>
      </w:r>
      <w:r w:rsidR="0072580C" w:rsidRPr="00D5768B">
        <w:rPr>
          <w:sz w:val="26"/>
          <w:szCs w:val="26"/>
        </w:rPr>
        <w:t>43</w:t>
      </w:r>
      <w:r w:rsidRPr="00D5768B">
        <w:rPr>
          <w:sz w:val="26"/>
          <w:szCs w:val="26"/>
        </w:rPr>
        <w:t xml:space="preserve"> thousand m</w:t>
      </w:r>
      <w:r w:rsidRPr="00D5768B">
        <w:rPr>
          <w:sz w:val="26"/>
          <w:szCs w:val="26"/>
          <w:vertAlign w:val="superscript"/>
        </w:rPr>
        <w:t>2</w:t>
      </w:r>
      <w:r w:rsidRPr="00D5768B">
        <w:rPr>
          <w:sz w:val="26"/>
          <w:szCs w:val="26"/>
        </w:rPr>
        <w:t xml:space="preserve">, of which new buildings made up </w:t>
      </w:r>
      <w:r w:rsidR="00EC395C" w:rsidRPr="00D5768B">
        <w:rPr>
          <w:sz w:val="26"/>
          <w:szCs w:val="26"/>
        </w:rPr>
        <w:t>9</w:t>
      </w:r>
      <w:r w:rsidR="0072580C" w:rsidRPr="00D5768B">
        <w:rPr>
          <w:sz w:val="26"/>
          <w:szCs w:val="26"/>
        </w:rPr>
        <w:t>98</w:t>
      </w:r>
      <w:r w:rsidR="00704505" w:rsidRPr="00D5768B">
        <w:rPr>
          <w:sz w:val="26"/>
          <w:szCs w:val="26"/>
        </w:rPr>
        <w:t xml:space="preserve"> </w:t>
      </w:r>
      <w:r w:rsidRPr="00D5768B">
        <w:rPr>
          <w:sz w:val="26"/>
          <w:szCs w:val="26"/>
        </w:rPr>
        <w:t>thousand m</w:t>
      </w:r>
      <w:r w:rsidRPr="00D5768B">
        <w:rPr>
          <w:sz w:val="26"/>
          <w:szCs w:val="26"/>
          <w:vertAlign w:val="superscript"/>
        </w:rPr>
        <w:t>2</w:t>
      </w:r>
      <w:r w:rsidRPr="00D5768B">
        <w:rPr>
          <w:sz w:val="26"/>
          <w:szCs w:val="26"/>
        </w:rPr>
        <w:t xml:space="preserve"> and existing buildings comprised </w:t>
      </w:r>
      <w:r w:rsidR="001119BD" w:rsidRPr="00D5768B">
        <w:rPr>
          <w:sz w:val="26"/>
          <w:szCs w:val="26"/>
        </w:rPr>
        <w:t>2</w:t>
      </w:r>
      <w:r w:rsidR="0072580C" w:rsidRPr="00D5768B">
        <w:rPr>
          <w:sz w:val="26"/>
          <w:szCs w:val="26"/>
        </w:rPr>
        <w:t>45</w:t>
      </w:r>
      <w:r w:rsidRPr="00D5768B">
        <w:rPr>
          <w:sz w:val="26"/>
          <w:szCs w:val="26"/>
        </w:rPr>
        <w:t xml:space="preserve"> thousand m</w:t>
      </w:r>
      <w:r w:rsidRPr="00D5768B">
        <w:rPr>
          <w:sz w:val="26"/>
          <w:szCs w:val="26"/>
          <w:vertAlign w:val="superscript"/>
        </w:rPr>
        <w:t>2</w:t>
      </w:r>
      <w:r w:rsidRPr="00D5768B">
        <w:rPr>
          <w:sz w:val="26"/>
          <w:szCs w:val="26"/>
        </w:rPr>
        <w:t>.</w:t>
      </w:r>
    </w:p>
    <w:p w14:paraId="77F299E8" w14:textId="77777777" w:rsidR="00EB1374" w:rsidRPr="00D5768B" w:rsidRDefault="00EB1374" w:rsidP="00EB1374">
      <w:pPr>
        <w:numPr>
          <w:ilvl w:val="12"/>
          <w:numId w:val="0"/>
        </w:numPr>
        <w:bidi w:val="0"/>
        <w:ind w:left="1" w:right="1"/>
        <w:jc w:val="both"/>
        <w:rPr>
          <w:sz w:val="26"/>
          <w:szCs w:val="26"/>
        </w:rPr>
      </w:pPr>
    </w:p>
    <w:p w14:paraId="3107404F" w14:textId="356EDE9D" w:rsidR="00EB1374" w:rsidRPr="00D5768B" w:rsidRDefault="00EB1374" w:rsidP="005F1CFD">
      <w:pPr>
        <w:bidi w:val="0"/>
        <w:jc w:val="both"/>
        <w:rPr>
          <w:sz w:val="26"/>
          <w:szCs w:val="26"/>
          <w:lang w:eastAsia="en-US"/>
        </w:rPr>
      </w:pPr>
      <w:r w:rsidRPr="00D5768B">
        <w:rPr>
          <w:sz w:val="26"/>
          <w:szCs w:val="26"/>
        </w:rPr>
        <w:t xml:space="preserve">The total number of licensed dwellings was </w:t>
      </w:r>
      <w:r w:rsidR="005F1CFD" w:rsidRPr="00D5768B">
        <w:rPr>
          <w:sz w:val="26"/>
          <w:szCs w:val="26"/>
        </w:rPr>
        <w:t>5</w:t>
      </w:r>
      <w:r w:rsidR="008A7399" w:rsidRPr="00D5768B">
        <w:rPr>
          <w:sz w:val="26"/>
          <w:szCs w:val="26"/>
        </w:rPr>
        <w:t>,</w:t>
      </w:r>
      <w:r w:rsidR="006E1F6E" w:rsidRPr="00D5768B">
        <w:rPr>
          <w:sz w:val="26"/>
          <w:szCs w:val="26"/>
        </w:rPr>
        <w:t>319</w:t>
      </w:r>
      <w:r w:rsidR="00EA5FD7" w:rsidRPr="00D5768B">
        <w:rPr>
          <w:sz w:val="26"/>
          <w:szCs w:val="26"/>
        </w:rPr>
        <w:t xml:space="preserve"> </w:t>
      </w:r>
      <w:r w:rsidRPr="00D5768B">
        <w:rPr>
          <w:sz w:val="26"/>
          <w:szCs w:val="26"/>
        </w:rPr>
        <w:t xml:space="preserve">with a total area of </w:t>
      </w:r>
      <w:r w:rsidR="000D765C" w:rsidRPr="00D5768B">
        <w:rPr>
          <w:sz w:val="26"/>
          <w:szCs w:val="26"/>
        </w:rPr>
        <w:t>8</w:t>
      </w:r>
      <w:r w:rsidR="006E1F6E" w:rsidRPr="00D5768B">
        <w:rPr>
          <w:sz w:val="26"/>
          <w:szCs w:val="26"/>
        </w:rPr>
        <w:t>75</w:t>
      </w:r>
      <w:r w:rsidRPr="00D5768B">
        <w:rPr>
          <w:sz w:val="26"/>
          <w:szCs w:val="26"/>
        </w:rPr>
        <w:t xml:space="preserve"> thousand m</w:t>
      </w:r>
      <w:r w:rsidRPr="00D5768B">
        <w:rPr>
          <w:sz w:val="26"/>
          <w:szCs w:val="26"/>
          <w:vertAlign w:val="superscript"/>
        </w:rPr>
        <w:t>2</w:t>
      </w:r>
      <w:r w:rsidRPr="00D5768B">
        <w:rPr>
          <w:sz w:val="26"/>
          <w:szCs w:val="26"/>
        </w:rPr>
        <w:t xml:space="preserve">, of which </w:t>
      </w:r>
      <w:r w:rsidR="005F1CFD" w:rsidRPr="00D5768B">
        <w:rPr>
          <w:sz w:val="26"/>
          <w:szCs w:val="26"/>
        </w:rPr>
        <w:t>4</w:t>
      </w:r>
      <w:r w:rsidR="005D00B6" w:rsidRPr="00D5768B">
        <w:rPr>
          <w:sz w:val="26"/>
          <w:szCs w:val="26"/>
        </w:rPr>
        <w:t>,</w:t>
      </w:r>
      <w:r w:rsidR="006E1F6E" w:rsidRPr="00D5768B">
        <w:rPr>
          <w:sz w:val="26"/>
          <w:szCs w:val="26"/>
        </w:rPr>
        <w:t>185</w:t>
      </w:r>
      <w:r w:rsidR="005D00B6" w:rsidRPr="00D5768B">
        <w:rPr>
          <w:rFonts w:eastAsia="Arial Unicode MS"/>
          <w:sz w:val="26"/>
          <w:szCs w:val="26"/>
        </w:rPr>
        <w:t xml:space="preserve"> </w:t>
      </w:r>
      <w:r w:rsidRPr="00D5768B">
        <w:rPr>
          <w:rFonts w:eastAsia="Arial Unicode MS"/>
          <w:sz w:val="26"/>
          <w:szCs w:val="26"/>
        </w:rPr>
        <w:t xml:space="preserve">were </w:t>
      </w:r>
      <w:r w:rsidRPr="00D5768B">
        <w:rPr>
          <w:sz w:val="26"/>
          <w:szCs w:val="26"/>
        </w:rPr>
        <w:t xml:space="preserve">new dwellings with a total area of </w:t>
      </w:r>
      <w:r w:rsidR="002077B4" w:rsidRPr="00D5768B">
        <w:rPr>
          <w:sz w:val="26"/>
          <w:szCs w:val="26"/>
        </w:rPr>
        <w:t>6</w:t>
      </w:r>
      <w:r w:rsidR="006E1F6E" w:rsidRPr="00D5768B">
        <w:rPr>
          <w:sz w:val="26"/>
          <w:szCs w:val="26"/>
        </w:rPr>
        <w:t>87</w:t>
      </w:r>
      <w:r w:rsidRPr="00D5768B">
        <w:rPr>
          <w:sz w:val="26"/>
          <w:szCs w:val="26"/>
        </w:rPr>
        <w:t xml:space="preserve"> thousand m</w:t>
      </w:r>
      <w:r w:rsidRPr="00D5768B">
        <w:rPr>
          <w:sz w:val="26"/>
          <w:szCs w:val="26"/>
          <w:vertAlign w:val="superscript"/>
        </w:rPr>
        <w:t>2</w:t>
      </w:r>
      <w:r w:rsidRPr="00D5768B">
        <w:rPr>
          <w:sz w:val="26"/>
          <w:szCs w:val="26"/>
        </w:rPr>
        <w:t xml:space="preserve"> and </w:t>
      </w:r>
      <w:r w:rsidR="00ED5C7B" w:rsidRPr="00D5768B">
        <w:rPr>
          <w:sz w:val="26"/>
          <w:szCs w:val="26"/>
        </w:rPr>
        <w:t>1,</w:t>
      </w:r>
      <w:r w:rsidR="006E1F6E" w:rsidRPr="00D5768B">
        <w:rPr>
          <w:sz w:val="26"/>
          <w:szCs w:val="26"/>
        </w:rPr>
        <w:t>134</w:t>
      </w:r>
      <w:r w:rsidR="00ED5C7B" w:rsidRPr="00D5768B">
        <w:rPr>
          <w:sz w:val="26"/>
          <w:szCs w:val="26"/>
        </w:rPr>
        <w:t xml:space="preserve"> </w:t>
      </w:r>
      <w:r w:rsidRPr="00D5768B">
        <w:rPr>
          <w:sz w:val="26"/>
          <w:szCs w:val="26"/>
        </w:rPr>
        <w:t xml:space="preserve">were existing dwellings with a total area of </w:t>
      </w:r>
      <w:r w:rsidR="002077B4" w:rsidRPr="00D5768B">
        <w:rPr>
          <w:sz w:val="26"/>
          <w:szCs w:val="26"/>
        </w:rPr>
        <w:t>1</w:t>
      </w:r>
      <w:r w:rsidR="006E1F6E" w:rsidRPr="00D5768B">
        <w:rPr>
          <w:sz w:val="26"/>
          <w:szCs w:val="26"/>
        </w:rPr>
        <w:t>88</w:t>
      </w:r>
      <w:r w:rsidR="00ED5C7B" w:rsidRPr="00D5768B">
        <w:rPr>
          <w:sz w:val="26"/>
          <w:szCs w:val="26"/>
        </w:rPr>
        <w:t xml:space="preserve"> </w:t>
      </w:r>
      <w:r w:rsidRPr="00D5768B">
        <w:rPr>
          <w:sz w:val="26"/>
          <w:szCs w:val="26"/>
        </w:rPr>
        <w:t>thousand m</w:t>
      </w:r>
      <w:r w:rsidRPr="00D5768B">
        <w:rPr>
          <w:sz w:val="26"/>
          <w:szCs w:val="26"/>
          <w:vertAlign w:val="superscript"/>
        </w:rPr>
        <w:t>2</w:t>
      </w:r>
      <w:r w:rsidRPr="00D5768B">
        <w:rPr>
          <w:sz w:val="26"/>
          <w:szCs w:val="26"/>
        </w:rPr>
        <w:t xml:space="preserve">. </w:t>
      </w:r>
    </w:p>
    <w:p w14:paraId="7E3AE73E" w14:textId="77777777" w:rsidR="00EB1374" w:rsidRPr="00D5768B" w:rsidRDefault="00EB1374" w:rsidP="00EB1374">
      <w:pPr>
        <w:numPr>
          <w:ilvl w:val="12"/>
          <w:numId w:val="0"/>
        </w:numPr>
        <w:bidi w:val="0"/>
        <w:ind w:left="1" w:right="1"/>
        <w:jc w:val="both"/>
        <w:rPr>
          <w:sz w:val="26"/>
          <w:szCs w:val="26"/>
          <w:rtl/>
        </w:rPr>
      </w:pPr>
    </w:p>
    <w:p w14:paraId="34C63FD8" w14:textId="02F18697" w:rsidR="00EB1374" w:rsidRPr="00D5768B" w:rsidRDefault="00EB1374" w:rsidP="00734203">
      <w:pPr>
        <w:numPr>
          <w:ilvl w:val="12"/>
          <w:numId w:val="0"/>
        </w:numPr>
        <w:bidi w:val="0"/>
        <w:ind w:left="1" w:right="1"/>
        <w:jc w:val="both"/>
        <w:rPr>
          <w:sz w:val="26"/>
          <w:szCs w:val="26"/>
          <w:rtl/>
        </w:rPr>
      </w:pPr>
      <w:r w:rsidRPr="00D5768B">
        <w:rPr>
          <w:sz w:val="26"/>
          <w:szCs w:val="26"/>
        </w:rPr>
        <w:t xml:space="preserve">The number of new dwellings in the </w:t>
      </w:r>
      <w:r w:rsidR="006E1F6E" w:rsidRPr="00D5768B">
        <w:rPr>
          <w:sz w:val="26"/>
          <w:szCs w:val="26"/>
        </w:rPr>
        <w:t>third</w:t>
      </w:r>
      <w:r w:rsidR="007021ED" w:rsidRPr="00D5768B">
        <w:rPr>
          <w:sz w:val="26"/>
          <w:szCs w:val="26"/>
        </w:rPr>
        <w:t xml:space="preserve"> </w:t>
      </w:r>
      <w:r w:rsidRPr="00D5768B">
        <w:rPr>
          <w:sz w:val="26"/>
          <w:szCs w:val="26"/>
        </w:rPr>
        <w:t>quarter of 20</w:t>
      </w:r>
      <w:r w:rsidR="00513DCC" w:rsidRPr="00D5768B">
        <w:rPr>
          <w:sz w:val="26"/>
          <w:szCs w:val="26"/>
        </w:rPr>
        <w:t>2</w:t>
      </w:r>
      <w:r w:rsidR="002077B4" w:rsidRPr="00D5768B">
        <w:rPr>
          <w:sz w:val="26"/>
          <w:szCs w:val="26"/>
        </w:rPr>
        <w:t>3</w:t>
      </w:r>
      <w:r w:rsidRPr="00D5768B">
        <w:rPr>
          <w:sz w:val="26"/>
          <w:szCs w:val="26"/>
        </w:rPr>
        <w:t xml:space="preserve"> </w:t>
      </w:r>
      <w:r w:rsidR="00711A99" w:rsidRPr="00D5768B">
        <w:rPr>
          <w:sz w:val="26"/>
          <w:szCs w:val="26"/>
        </w:rPr>
        <w:t>in</w:t>
      </w:r>
      <w:r w:rsidRPr="00D5768B">
        <w:rPr>
          <w:sz w:val="26"/>
          <w:szCs w:val="26"/>
        </w:rPr>
        <w:t xml:space="preserve">creased by </w:t>
      </w:r>
      <w:r w:rsidR="006E1F6E" w:rsidRPr="00D5768B">
        <w:rPr>
          <w:sz w:val="26"/>
          <w:szCs w:val="26"/>
        </w:rPr>
        <w:t>3</w:t>
      </w:r>
      <w:r w:rsidRPr="00D5768B">
        <w:rPr>
          <w:sz w:val="26"/>
          <w:szCs w:val="26"/>
        </w:rPr>
        <w:t xml:space="preserve">% compared with the </w:t>
      </w:r>
      <w:r w:rsidR="006E1F6E" w:rsidRPr="00D5768B">
        <w:rPr>
          <w:sz w:val="26"/>
          <w:szCs w:val="26"/>
        </w:rPr>
        <w:t>second</w:t>
      </w:r>
      <w:r w:rsidR="00257695" w:rsidRPr="00D5768B">
        <w:rPr>
          <w:sz w:val="26"/>
          <w:szCs w:val="26"/>
        </w:rPr>
        <w:t xml:space="preserve"> </w:t>
      </w:r>
      <w:r w:rsidRPr="00D5768B">
        <w:rPr>
          <w:sz w:val="26"/>
          <w:szCs w:val="26"/>
        </w:rPr>
        <w:t>quarter of 20</w:t>
      </w:r>
      <w:r w:rsidR="00F734FE" w:rsidRPr="00D5768B">
        <w:rPr>
          <w:sz w:val="26"/>
          <w:szCs w:val="26"/>
        </w:rPr>
        <w:t>2</w:t>
      </w:r>
      <w:r w:rsidR="00711A99" w:rsidRPr="00D5768B">
        <w:rPr>
          <w:sz w:val="26"/>
          <w:szCs w:val="26"/>
        </w:rPr>
        <w:t>3</w:t>
      </w:r>
      <w:r w:rsidRPr="00D5768B">
        <w:rPr>
          <w:sz w:val="26"/>
          <w:szCs w:val="26"/>
        </w:rPr>
        <w:t xml:space="preserve"> and </w:t>
      </w:r>
      <w:r w:rsidR="006E1F6E" w:rsidRPr="00D5768B">
        <w:rPr>
          <w:sz w:val="26"/>
          <w:szCs w:val="26"/>
        </w:rPr>
        <w:t>de</w:t>
      </w:r>
      <w:r w:rsidRPr="00D5768B">
        <w:rPr>
          <w:sz w:val="26"/>
          <w:szCs w:val="26"/>
        </w:rPr>
        <w:t xml:space="preserve">creased by </w:t>
      </w:r>
      <w:r w:rsidR="006E1F6E" w:rsidRPr="00D5768B">
        <w:rPr>
          <w:sz w:val="26"/>
          <w:szCs w:val="26"/>
        </w:rPr>
        <w:t>4</w:t>
      </w:r>
      <w:r w:rsidRPr="00D5768B">
        <w:rPr>
          <w:sz w:val="26"/>
          <w:szCs w:val="26"/>
        </w:rPr>
        <w:t xml:space="preserve">% compared with the </w:t>
      </w:r>
      <w:r w:rsidR="006E1F6E" w:rsidRPr="00D5768B">
        <w:rPr>
          <w:sz w:val="26"/>
          <w:szCs w:val="26"/>
        </w:rPr>
        <w:t>third</w:t>
      </w:r>
      <w:r w:rsidR="007021ED" w:rsidRPr="00D5768B">
        <w:rPr>
          <w:sz w:val="26"/>
          <w:szCs w:val="26"/>
        </w:rPr>
        <w:t xml:space="preserve"> </w:t>
      </w:r>
      <w:r w:rsidRPr="00D5768B">
        <w:rPr>
          <w:sz w:val="26"/>
          <w:szCs w:val="26"/>
        </w:rPr>
        <w:t>quarter of 20</w:t>
      </w:r>
      <w:r w:rsidR="00F812EA" w:rsidRPr="00D5768B">
        <w:rPr>
          <w:sz w:val="26"/>
          <w:szCs w:val="26"/>
        </w:rPr>
        <w:t>2</w:t>
      </w:r>
      <w:r w:rsidR="002077B4" w:rsidRPr="00D5768B">
        <w:rPr>
          <w:sz w:val="26"/>
          <w:szCs w:val="26"/>
        </w:rPr>
        <w:t>2</w:t>
      </w:r>
      <w:r w:rsidRPr="00D5768B">
        <w:rPr>
          <w:sz w:val="26"/>
          <w:szCs w:val="26"/>
        </w:rPr>
        <w:t>.</w:t>
      </w:r>
    </w:p>
    <w:p w14:paraId="348C00EF" w14:textId="77777777" w:rsidR="00EB1374" w:rsidRDefault="00EB1374" w:rsidP="00EB1374">
      <w:pPr>
        <w:autoSpaceDE w:val="0"/>
        <w:autoSpaceDN w:val="0"/>
        <w:bidi w:val="0"/>
        <w:adjustRightInd w:val="0"/>
        <w:spacing w:line="360" w:lineRule="auto"/>
        <w:jc w:val="both"/>
        <w:rPr>
          <w:rFonts w:cs="Simplified Arabic"/>
          <w:snapToGrid w:val="0"/>
          <w:color w:val="000000"/>
        </w:rPr>
      </w:pPr>
    </w:p>
    <w:p w14:paraId="1AAFC90A" w14:textId="77777777" w:rsidR="009D3EC3" w:rsidRDefault="009D3EC3" w:rsidP="009D3EC3">
      <w:pPr>
        <w:bidi w:val="0"/>
        <w:ind w:left="-108"/>
        <w:jc w:val="center"/>
        <w:rPr>
          <w:b/>
          <w:bCs/>
          <w:sz w:val="22"/>
          <w:szCs w:val="22"/>
        </w:rPr>
      </w:pPr>
    </w:p>
    <w:p w14:paraId="64C052C8" w14:textId="25ED998B" w:rsidR="00EB1374" w:rsidRPr="00D5768B" w:rsidRDefault="00EB1374" w:rsidP="00576756">
      <w:pPr>
        <w:bidi w:val="0"/>
        <w:ind w:left="-108"/>
        <w:jc w:val="center"/>
        <w:rPr>
          <w:b/>
          <w:bCs/>
          <w:sz w:val="26"/>
          <w:szCs w:val="26"/>
        </w:rPr>
      </w:pPr>
      <w:r w:rsidRPr="00D5768B">
        <w:rPr>
          <w:b/>
          <w:bCs/>
          <w:sz w:val="26"/>
          <w:szCs w:val="26"/>
        </w:rPr>
        <w:t xml:space="preserve">Number of Building Licenses Issued in Palestine* during the period, </w:t>
      </w:r>
      <w:r w:rsidR="00F37E47" w:rsidRPr="00D5768B">
        <w:rPr>
          <w:b/>
          <w:bCs/>
          <w:sz w:val="26"/>
          <w:szCs w:val="26"/>
        </w:rPr>
        <w:t>Third</w:t>
      </w:r>
      <w:r w:rsidRPr="00D5768B">
        <w:rPr>
          <w:b/>
          <w:bCs/>
          <w:sz w:val="26"/>
          <w:szCs w:val="26"/>
        </w:rPr>
        <w:t xml:space="preserve"> Quarter 20</w:t>
      </w:r>
      <w:r w:rsidR="00F812EA" w:rsidRPr="00D5768B">
        <w:rPr>
          <w:b/>
          <w:bCs/>
          <w:sz w:val="26"/>
          <w:szCs w:val="26"/>
        </w:rPr>
        <w:t>2</w:t>
      </w:r>
      <w:r w:rsidR="00991706" w:rsidRPr="00D5768B">
        <w:rPr>
          <w:b/>
          <w:bCs/>
          <w:sz w:val="26"/>
          <w:szCs w:val="26"/>
        </w:rPr>
        <w:t>2</w:t>
      </w:r>
      <w:r w:rsidRPr="00D5768B">
        <w:rPr>
          <w:b/>
          <w:bCs/>
          <w:sz w:val="26"/>
          <w:szCs w:val="26"/>
        </w:rPr>
        <w:t xml:space="preserve"> - </w:t>
      </w:r>
      <w:r w:rsidR="00F37E47" w:rsidRPr="00D5768B">
        <w:rPr>
          <w:b/>
          <w:bCs/>
          <w:sz w:val="26"/>
          <w:szCs w:val="26"/>
        </w:rPr>
        <w:t>Third</w:t>
      </w:r>
      <w:r w:rsidR="00667515" w:rsidRPr="00D5768B">
        <w:rPr>
          <w:b/>
          <w:bCs/>
          <w:sz w:val="26"/>
          <w:szCs w:val="26"/>
        </w:rPr>
        <w:t xml:space="preserve"> </w:t>
      </w:r>
      <w:r w:rsidRPr="00D5768B">
        <w:rPr>
          <w:b/>
          <w:bCs/>
          <w:sz w:val="26"/>
          <w:szCs w:val="26"/>
        </w:rPr>
        <w:t>Quarter 20</w:t>
      </w:r>
      <w:r w:rsidR="003B5E7A" w:rsidRPr="00D5768B">
        <w:rPr>
          <w:b/>
          <w:bCs/>
          <w:sz w:val="26"/>
          <w:szCs w:val="26"/>
        </w:rPr>
        <w:t>2</w:t>
      </w:r>
      <w:r w:rsidR="00991706" w:rsidRPr="00D5768B">
        <w:rPr>
          <w:b/>
          <w:bCs/>
          <w:sz w:val="26"/>
          <w:szCs w:val="26"/>
        </w:rPr>
        <w:t>3</w:t>
      </w:r>
    </w:p>
    <w:p w14:paraId="5EDE4AD5" w14:textId="77777777" w:rsidR="00D5768B" w:rsidRDefault="00D5768B" w:rsidP="00F23457">
      <w:pPr>
        <w:bidi w:val="0"/>
        <w:ind w:left="-142" w:right="283"/>
        <w:jc w:val="center"/>
        <w:rPr>
          <w:sz w:val="20"/>
          <w:szCs w:val="20"/>
          <w:rtl/>
        </w:rPr>
      </w:pPr>
    </w:p>
    <w:p w14:paraId="4134ADCE" w14:textId="1CB174E6" w:rsidR="00EB1374" w:rsidRPr="001163C8" w:rsidRDefault="00EB1374" w:rsidP="00D5768B">
      <w:pPr>
        <w:bidi w:val="0"/>
        <w:ind w:left="-142" w:right="283"/>
        <w:jc w:val="center"/>
        <w:rPr>
          <w:sz w:val="20"/>
          <w:szCs w:val="20"/>
          <w:rtl/>
        </w:rPr>
      </w:pPr>
      <w:r w:rsidRPr="006F5950">
        <w:rPr>
          <w:rFonts w:hint="cs"/>
          <w:noProof/>
          <w:sz w:val="18"/>
          <w:szCs w:val="18"/>
          <w:u w:val="single"/>
          <w:rtl/>
          <w:lang w:eastAsia="en-US"/>
        </w:rPr>
        <w:drawing>
          <wp:inline distT="0" distB="0" distL="0" distR="0" wp14:anchorId="21F16BE6" wp14:editId="06DD37D4">
            <wp:extent cx="3243533" cy="2561590"/>
            <wp:effectExtent l="0" t="0" r="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24A5846" w14:textId="77777777" w:rsidR="00D5768B" w:rsidRDefault="00D5768B" w:rsidP="009D3EC3">
      <w:pPr>
        <w:bidi w:val="0"/>
        <w:jc w:val="lowKashida"/>
        <w:rPr>
          <w:b/>
          <w:bCs/>
          <w:sz w:val="22"/>
          <w:szCs w:val="22"/>
        </w:rPr>
      </w:pPr>
    </w:p>
    <w:p w14:paraId="1CFC87F0" w14:textId="10E9BED3" w:rsidR="00EB1374" w:rsidRPr="00D5768B" w:rsidRDefault="00EB1374" w:rsidP="00D5768B">
      <w:pPr>
        <w:bidi w:val="0"/>
        <w:jc w:val="lowKashida"/>
        <w:rPr>
          <w:b/>
          <w:bCs/>
          <w:sz w:val="22"/>
          <w:szCs w:val="22"/>
        </w:rPr>
      </w:pPr>
      <w:r w:rsidRPr="00D5768B">
        <w:rPr>
          <w:b/>
          <w:bCs/>
          <w:sz w:val="22"/>
          <w:szCs w:val="22"/>
        </w:rPr>
        <w:t>*Data excluded those parts of Jerusalem</w:t>
      </w:r>
      <w:r w:rsidR="009D3EC3" w:rsidRPr="00D5768B">
        <w:rPr>
          <w:b/>
          <w:bCs/>
          <w:sz w:val="22"/>
          <w:szCs w:val="22"/>
        </w:rPr>
        <w:t xml:space="preserve"> </w:t>
      </w:r>
      <w:r w:rsidRPr="00D5768B">
        <w:rPr>
          <w:b/>
          <w:bCs/>
          <w:sz w:val="22"/>
          <w:szCs w:val="22"/>
        </w:rPr>
        <w:t>which were annexed by Israeli occupation in 1967.</w:t>
      </w:r>
    </w:p>
    <w:p w14:paraId="1EF7BC56" w14:textId="77777777" w:rsidR="00EB1374" w:rsidRPr="001163C8" w:rsidRDefault="00EB1374" w:rsidP="00EB1374">
      <w:pPr>
        <w:bidi w:val="0"/>
        <w:jc w:val="lowKashida"/>
        <w:rPr>
          <w:rtl/>
        </w:rPr>
      </w:pPr>
    </w:p>
    <w:p w14:paraId="2100E0EC" w14:textId="77777777" w:rsidR="00EB1374" w:rsidRPr="001163C8" w:rsidRDefault="00EB1374" w:rsidP="00EB1374">
      <w:pPr>
        <w:bidi w:val="0"/>
        <w:jc w:val="lowKashida"/>
        <w:rPr>
          <w:rtl/>
        </w:rPr>
      </w:pPr>
    </w:p>
    <w:p w14:paraId="49DB22A3" w14:textId="77777777" w:rsidR="00EB1374" w:rsidRDefault="00EB1374" w:rsidP="00EB1374">
      <w:pPr>
        <w:bidi w:val="0"/>
        <w:spacing w:line="360" w:lineRule="auto"/>
        <w:jc w:val="lowKashida"/>
        <w:rPr>
          <w:b/>
          <w:bCs/>
          <w:color w:val="000000"/>
          <w:sz w:val="20"/>
          <w:szCs w:val="20"/>
        </w:rPr>
      </w:pPr>
    </w:p>
    <w:p w14:paraId="76CCA52C" w14:textId="77777777" w:rsidR="00EB1374" w:rsidRDefault="00EB1374" w:rsidP="00EB1374">
      <w:pPr>
        <w:bidi w:val="0"/>
        <w:spacing w:line="360" w:lineRule="auto"/>
        <w:jc w:val="lowKashida"/>
        <w:rPr>
          <w:b/>
          <w:bCs/>
          <w:color w:val="000000"/>
          <w:sz w:val="20"/>
          <w:szCs w:val="20"/>
        </w:rPr>
      </w:pPr>
    </w:p>
    <w:p w14:paraId="23E980A6" w14:textId="77777777" w:rsidR="00EB1374" w:rsidRDefault="00EB1374" w:rsidP="00EB1374">
      <w:pPr>
        <w:bidi w:val="0"/>
        <w:jc w:val="both"/>
      </w:pPr>
    </w:p>
    <w:p w14:paraId="4FF916ED" w14:textId="77777777" w:rsidR="00D86248" w:rsidRPr="00FF311E" w:rsidRDefault="00D86248" w:rsidP="0010581E">
      <w:pPr>
        <w:bidi w:val="0"/>
        <w:rPr>
          <w:sz w:val="18"/>
          <w:szCs w:val="18"/>
          <w:rtl/>
        </w:rPr>
      </w:pPr>
    </w:p>
    <w:sectPr w:rsidR="00D86248" w:rsidRPr="00FF311E" w:rsidSect="000507BB">
      <w:pgSz w:w="11906" w:h="16838"/>
      <w:pgMar w:top="851" w:right="851" w:bottom="851" w:left="851" w:header="709" w:footer="709" w:gutter="0"/>
      <w:cols w:space="709"/>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F15C2" w14:textId="77777777" w:rsidR="002247FE" w:rsidRDefault="002247FE">
      <w:r>
        <w:separator/>
      </w:r>
    </w:p>
  </w:endnote>
  <w:endnote w:type="continuationSeparator" w:id="0">
    <w:p w14:paraId="2810A217" w14:textId="77777777" w:rsidR="002247FE" w:rsidRDefault="0022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AF0F6" w14:textId="77777777" w:rsidR="002247FE" w:rsidRDefault="002247FE">
      <w:r>
        <w:separator/>
      </w:r>
    </w:p>
  </w:footnote>
  <w:footnote w:type="continuationSeparator" w:id="0">
    <w:p w14:paraId="23A18DBE" w14:textId="77777777" w:rsidR="002247FE" w:rsidRDefault="00224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48"/>
    <w:rsid w:val="000006FE"/>
    <w:rsid w:val="00000B52"/>
    <w:rsid w:val="000163DA"/>
    <w:rsid w:val="00016DB9"/>
    <w:rsid w:val="00020572"/>
    <w:rsid w:val="00020C79"/>
    <w:rsid w:val="00023DE2"/>
    <w:rsid w:val="00030C13"/>
    <w:rsid w:val="000313DF"/>
    <w:rsid w:val="00032795"/>
    <w:rsid w:val="00034874"/>
    <w:rsid w:val="00035929"/>
    <w:rsid w:val="00036426"/>
    <w:rsid w:val="00037678"/>
    <w:rsid w:val="00037CF0"/>
    <w:rsid w:val="00043AC2"/>
    <w:rsid w:val="00043C9B"/>
    <w:rsid w:val="00046807"/>
    <w:rsid w:val="000507BB"/>
    <w:rsid w:val="00050DDA"/>
    <w:rsid w:val="00053AB0"/>
    <w:rsid w:val="00056E7D"/>
    <w:rsid w:val="000764A8"/>
    <w:rsid w:val="00076B0B"/>
    <w:rsid w:val="00080A9E"/>
    <w:rsid w:val="0009543A"/>
    <w:rsid w:val="000A7DC9"/>
    <w:rsid w:val="000C165A"/>
    <w:rsid w:val="000D039E"/>
    <w:rsid w:val="000D39A9"/>
    <w:rsid w:val="000D495D"/>
    <w:rsid w:val="000D765C"/>
    <w:rsid w:val="000D7803"/>
    <w:rsid w:val="000D7823"/>
    <w:rsid w:val="000E5797"/>
    <w:rsid w:val="000F2C7F"/>
    <w:rsid w:val="000F4391"/>
    <w:rsid w:val="001019B5"/>
    <w:rsid w:val="0010581E"/>
    <w:rsid w:val="001119BD"/>
    <w:rsid w:val="00120017"/>
    <w:rsid w:val="0012134D"/>
    <w:rsid w:val="00132E5C"/>
    <w:rsid w:val="0014132B"/>
    <w:rsid w:val="00141A21"/>
    <w:rsid w:val="00141E39"/>
    <w:rsid w:val="0014507F"/>
    <w:rsid w:val="00145E0C"/>
    <w:rsid w:val="00150FB0"/>
    <w:rsid w:val="00160B4A"/>
    <w:rsid w:val="00162331"/>
    <w:rsid w:val="001672DA"/>
    <w:rsid w:val="0017506D"/>
    <w:rsid w:val="00175CB9"/>
    <w:rsid w:val="00177FF2"/>
    <w:rsid w:val="00182471"/>
    <w:rsid w:val="00182499"/>
    <w:rsid w:val="00187ACA"/>
    <w:rsid w:val="00195DAC"/>
    <w:rsid w:val="00196F0F"/>
    <w:rsid w:val="00197B48"/>
    <w:rsid w:val="001A0C03"/>
    <w:rsid w:val="001A41FE"/>
    <w:rsid w:val="001B119F"/>
    <w:rsid w:val="001B2937"/>
    <w:rsid w:val="001B36CF"/>
    <w:rsid w:val="001B3D24"/>
    <w:rsid w:val="001B7FE1"/>
    <w:rsid w:val="001C0DDE"/>
    <w:rsid w:val="001C1C42"/>
    <w:rsid w:val="001C53E9"/>
    <w:rsid w:val="001C724B"/>
    <w:rsid w:val="001E1151"/>
    <w:rsid w:val="001E47CA"/>
    <w:rsid w:val="001E5226"/>
    <w:rsid w:val="001F408D"/>
    <w:rsid w:val="001F4777"/>
    <w:rsid w:val="001F5F1F"/>
    <w:rsid w:val="00204997"/>
    <w:rsid w:val="00204B4D"/>
    <w:rsid w:val="0020624F"/>
    <w:rsid w:val="002077B4"/>
    <w:rsid w:val="0021253B"/>
    <w:rsid w:val="002247FE"/>
    <w:rsid w:val="00226FE2"/>
    <w:rsid w:val="002271B1"/>
    <w:rsid w:val="00236C1B"/>
    <w:rsid w:val="00243761"/>
    <w:rsid w:val="00253712"/>
    <w:rsid w:val="00253E3B"/>
    <w:rsid w:val="002547F3"/>
    <w:rsid w:val="00257695"/>
    <w:rsid w:val="002602B9"/>
    <w:rsid w:val="00260E1B"/>
    <w:rsid w:val="00261AAD"/>
    <w:rsid w:val="002625FA"/>
    <w:rsid w:val="00267FBF"/>
    <w:rsid w:val="00270474"/>
    <w:rsid w:val="00273F5D"/>
    <w:rsid w:val="0028004F"/>
    <w:rsid w:val="00291073"/>
    <w:rsid w:val="0029128C"/>
    <w:rsid w:val="00291D18"/>
    <w:rsid w:val="002924A1"/>
    <w:rsid w:val="002A6DE9"/>
    <w:rsid w:val="002B0076"/>
    <w:rsid w:val="002B118B"/>
    <w:rsid w:val="002B21BE"/>
    <w:rsid w:val="002B21CA"/>
    <w:rsid w:val="002C09B4"/>
    <w:rsid w:val="002C114E"/>
    <w:rsid w:val="002C4D32"/>
    <w:rsid w:val="002D03F3"/>
    <w:rsid w:val="002D5FBE"/>
    <w:rsid w:val="002E2249"/>
    <w:rsid w:val="002E4BA1"/>
    <w:rsid w:val="002E7471"/>
    <w:rsid w:val="002F0136"/>
    <w:rsid w:val="002F0B3D"/>
    <w:rsid w:val="002F2901"/>
    <w:rsid w:val="0031065D"/>
    <w:rsid w:val="0031151F"/>
    <w:rsid w:val="00312005"/>
    <w:rsid w:val="00312F6D"/>
    <w:rsid w:val="003216D0"/>
    <w:rsid w:val="00337A77"/>
    <w:rsid w:val="00341B3A"/>
    <w:rsid w:val="003479F2"/>
    <w:rsid w:val="00347F2B"/>
    <w:rsid w:val="003529F9"/>
    <w:rsid w:val="00353E78"/>
    <w:rsid w:val="003551B2"/>
    <w:rsid w:val="00356A43"/>
    <w:rsid w:val="00363227"/>
    <w:rsid w:val="00365356"/>
    <w:rsid w:val="00370D7B"/>
    <w:rsid w:val="00373833"/>
    <w:rsid w:val="00374388"/>
    <w:rsid w:val="0038058A"/>
    <w:rsid w:val="003837C3"/>
    <w:rsid w:val="00385E5D"/>
    <w:rsid w:val="00387B03"/>
    <w:rsid w:val="003933DF"/>
    <w:rsid w:val="00395070"/>
    <w:rsid w:val="003A0268"/>
    <w:rsid w:val="003A2496"/>
    <w:rsid w:val="003A6B6E"/>
    <w:rsid w:val="003A6D43"/>
    <w:rsid w:val="003B47FE"/>
    <w:rsid w:val="003B5366"/>
    <w:rsid w:val="003B5E7A"/>
    <w:rsid w:val="003C323D"/>
    <w:rsid w:val="003C5040"/>
    <w:rsid w:val="003C5F57"/>
    <w:rsid w:val="003D7794"/>
    <w:rsid w:val="003E0581"/>
    <w:rsid w:val="003F3077"/>
    <w:rsid w:val="00401345"/>
    <w:rsid w:val="00403EF2"/>
    <w:rsid w:val="00405B7D"/>
    <w:rsid w:val="00406C22"/>
    <w:rsid w:val="00422AEE"/>
    <w:rsid w:val="0042410D"/>
    <w:rsid w:val="00425774"/>
    <w:rsid w:val="004337F9"/>
    <w:rsid w:val="00433A7F"/>
    <w:rsid w:val="00441CDE"/>
    <w:rsid w:val="00444C89"/>
    <w:rsid w:val="0046044B"/>
    <w:rsid w:val="00462153"/>
    <w:rsid w:val="004643E0"/>
    <w:rsid w:val="0046477F"/>
    <w:rsid w:val="004735A5"/>
    <w:rsid w:val="0047578D"/>
    <w:rsid w:val="00480D6B"/>
    <w:rsid w:val="00485B96"/>
    <w:rsid w:val="004968B5"/>
    <w:rsid w:val="004A0549"/>
    <w:rsid w:val="004A12D7"/>
    <w:rsid w:val="004A1F6A"/>
    <w:rsid w:val="004A4FB4"/>
    <w:rsid w:val="004A5D57"/>
    <w:rsid w:val="004B580F"/>
    <w:rsid w:val="004B6789"/>
    <w:rsid w:val="004C0D0A"/>
    <w:rsid w:val="004D0324"/>
    <w:rsid w:val="004D1609"/>
    <w:rsid w:val="004D6AF1"/>
    <w:rsid w:val="004E2D1F"/>
    <w:rsid w:val="004E675A"/>
    <w:rsid w:val="004E6848"/>
    <w:rsid w:val="004F7160"/>
    <w:rsid w:val="00506034"/>
    <w:rsid w:val="00510EF5"/>
    <w:rsid w:val="00513DCC"/>
    <w:rsid w:val="00516634"/>
    <w:rsid w:val="005202DE"/>
    <w:rsid w:val="00520D18"/>
    <w:rsid w:val="005230D2"/>
    <w:rsid w:val="00525B1A"/>
    <w:rsid w:val="0052785D"/>
    <w:rsid w:val="005340E0"/>
    <w:rsid w:val="00536DFB"/>
    <w:rsid w:val="00536F80"/>
    <w:rsid w:val="00551864"/>
    <w:rsid w:val="00552521"/>
    <w:rsid w:val="00560204"/>
    <w:rsid w:val="005622FF"/>
    <w:rsid w:val="00565DA3"/>
    <w:rsid w:val="00576756"/>
    <w:rsid w:val="005804DA"/>
    <w:rsid w:val="00590B27"/>
    <w:rsid w:val="00592588"/>
    <w:rsid w:val="005932C2"/>
    <w:rsid w:val="0059347A"/>
    <w:rsid w:val="00595F82"/>
    <w:rsid w:val="005A47EF"/>
    <w:rsid w:val="005A5719"/>
    <w:rsid w:val="005B180D"/>
    <w:rsid w:val="005B1DFB"/>
    <w:rsid w:val="005B4216"/>
    <w:rsid w:val="005C0E77"/>
    <w:rsid w:val="005C4BE6"/>
    <w:rsid w:val="005C598C"/>
    <w:rsid w:val="005D00B6"/>
    <w:rsid w:val="005D2593"/>
    <w:rsid w:val="005D3BAF"/>
    <w:rsid w:val="005E03AE"/>
    <w:rsid w:val="005E3D5C"/>
    <w:rsid w:val="005E7D59"/>
    <w:rsid w:val="005F1C2E"/>
    <w:rsid w:val="005F1CFD"/>
    <w:rsid w:val="005F7F8D"/>
    <w:rsid w:val="00610D6E"/>
    <w:rsid w:val="00611BA9"/>
    <w:rsid w:val="00621306"/>
    <w:rsid w:val="006260E0"/>
    <w:rsid w:val="00631315"/>
    <w:rsid w:val="00632C57"/>
    <w:rsid w:val="00635210"/>
    <w:rsid w:val="00640B2B"/>
    <w:rsid w:val="00641D78"/>
    <w:rsid w:val="00642E36"/>
    <w:rsid w:val="00643B50"/>
    <w:rsid w:val="0064473D"/>
    <w:rsid w:val="00646A8E"/>
    <w:rsid w:val="00647FAE"/>
    <w:rsid w:val="00650419"/>
    <w:rsid w:val="006531D5"/>
    <w:rsid w:val="00667427"/>
    <w:rsid w:val="00667515"/>
    <w:rsid w:val="006766F4"/>
    <w:rsid w:val="0068020A"/>
    <w:rsid w:val="00681617"/>
    <w:rsid w:val="0068360D"/>
    <w:rsid w:val="006874DB"/>
    <w:rsid w:val="006906E7"/>
    <w:rsid w:val="00694385"/>
    <w:rsid w:val="006A6095"/>
    <w:rsid w:val="006B2AA7"/>
    <w:rsid w:val="006B41B1"/>
    <w:rsid w:val="006B6012"/>
    <w:rsid w:val="006B6F77"/>
    <w:rsid w:val="006C0264"/>
    <w:rsid w:val="006C3CC9"/>
    <w:rsid w:val="006C5B09"/>
    <w:rsid w:val="006E1F6E"/>
    <w:rsid w:val="006F0009"/>
    <w:rsid w:val="006F5950"/>
    <w:rsid w:val="00700FD0"/>
    <w:rsid w:val="007021ED"/>
    <w:rsid w:val="00704505"/>
    <w:rsid w:val="00711A99"/>
    <w:rsid w:val="007129EF"/>
    <w:rsid w:val="007172C8"/>
    <w:rsid w:val="00720671"/>
    <w:rsid w:val="0072178E"/>
    <w:rsid w:val="007218D7"/>
    <w:rsid w:val="00721A7F"/>
    <w:rsid w:val="0072580C"/>
    <w:rsid w:val="007263DE"/>
    <w:rsid w:val="0073046D"/>
    <w:rsid w:val="00734203"/>
    <w:rsid w:val="007379D0"/>
    <w:rsid w:val="0074025D"/>
    <w:rsid w:val="00744B7E"/>
    <w:rsid w:val="0074751A"/>
    <w:rsid w:val="0075032D"/>
    <w:rsid w:val="00756650"/>
    <w:rsid w:val="00774C9D"/>
    <w:rsid w:val="00777AC6"/>
    <w:rsid w:val="00777F24"/>
    <w:rsid w:val="00780C2F"/>
    <w:rsid w:val="00780CDD"/>
    <w:rsid w:val="0078489B"/>
    <w:rsid w:val="00784DFC"/>
    <w:rsid w:val="00785266"/>
    <w:rsid w:val="00786B8F"/>
    <w:rsid w:val="00795B7A"/>
    <w:rsid w:val="00796010"/>
    <w:rsid w:val="007978E6"/>
    <w:rsid w:val="007B03F4"/>
    <w:rsid w:val="007C5A08"/>
    <w:rsid w:val="007C7B9A"/>
    <w:rsid w:val="007D1287"/>
    <w:rsid w:val="007D2039"/>
    <w:rsid w:val="007D3654"/>
    <w:rsid w:val="007F04E7"/>
    <w:rsid w:val="007F1E2B"/>
    <w:rsid w:val="007F255B"/>
    <w:rsid w:val="007F4B9B"/>
    <w:rsid w:val="007F4E05"/>
    <w:rsid w:val="008005E4"/>
    <w:rsid w:val="00801F29"/>
    <w:rsid w:val="008020F1"/>
    <w:rsid w:val="00813DB1"/>
    <w:rsid w:val="00823658"/>
    <w:rsid w:val="00825092"/>
    <w:rsid w:val="00837CEF"/>
    <w:rsid w:val="008450FB"/>
    <w:rsid w:val="00845A9F"/>
    <w:rsid w:val="00853CE4"/>
    <w:rsid w:val="00854F43"/>
    <w:rsid w:val="00863720"/>
    <w:rsid w:val="0087475E"/>
    <w:rsid w:val="00891B38"/>
    <w:rsid w:val="00892C87"/>
    <w:rsid w:val="008973FE"/>
    <w:rsid w:val="008A2309"/>
    <w:rsid w:val="008A7399"/>
    <w:rsid w:val="008B022A"/>
    <w:rsid w:val="008B0374"/>
    <w:rsid w:val="008B0AD7"/>
    <w:rsid w:val="008B1864"/>
    <w:rsid w:val="008C1BF9"/>
    <w:rsid w:val="008C64B6"/>
    <w:rsid w:val="008D2BA6"/>
    <w:rsid w:val="008D6A47"/>
    <w:rsid w:val="008F03A6"/>
    <w:rsid w:val="008F603E"/>
    <w:rsid w:val="009019C7"/>
    <w:rsid w:val="00910ABD"/>
    <w:rsid w:val="009207FA"/>
    <w:rsid w:val="009209F6"/>
    <w:rsid w:val="00933027"/>
    <w:rsid w:val="009338E7"/>
    <w:rsid w:val="009343BD"/>
    <w:rsid w:val="00935FD6"/>
    <w:rsid w:val="009373CB"/>
    <w:rsid w:val="0094467D"/>
    <w:rsid w:val="00944E10"/>
    <w:rsid w:val="00953CE6"/>
    <w:rsid w:val="0095694E"/>
    <w:rsid w:val="00961942"/>
    <w:rsid w:val="00962A2F"/>
    <w:rsid w:val="00962F80"/>
    <w:rsid w:val="009677F4"/>
    <w:rsid w:val="009820C8"/>
    <w:rsid w:val="009827BF"/>
    <w:rsid w:val="0098535F"/>
    <w:rsid w:val="00991706"/>
    <w:rsid w:val="00993951"/>
    <w:rsid w:val="0099789E"/>
    <w:rsid w:val="00997DEE"/>
    <w:rsid w:val="009A02E9"/>
    <w:rsid w:val="009A1A7C"/>
    <w:rsid w:val="009A1EAD"/>
    <w:rsid w:val="009A5B12"/>
    <w:rsid w:val="009A7FF6"/>
    <w:rsid w:val="009B18EC"/>
    <w:rsid w:val="009B3B40"/>
    <w:rsid w:val="009B4622"/>
    <w:rsid w:val="009B52E1"/>
    <w:rsid w:val="009D06AA"/>
    <w:rsid w:val="009D3EC3"/>
    <w:rsid w:val="009D732B"/>
    <w:rsid w:val="009E1040"/>
    <w:rsid w:val="009E23B1"/>
    <w:rsid w:val="009E6D70"/>
    <w:rsid w:val="009F2099"/>
    <w:rsid w:val="009F3075"/>
    <w:rsid w:val="00A01741"/>
    <w:rsid w:val="00A04086"/>
    <w:rsid w:val="00A058CE"/>
    <w:rsid w:val="00A07A15"/>
    <w:rsid w:val="00A07A22"/>
    <w:rsid w:val="00A15F8A"/>
    <w:rsid w:val="00A20C19"/>
    <w:rsid w:val="00A32AE5"/>
    <w:rsid w:val="00A3677C"/>
    <w:rsid w:val="00A41AC4"/>
    <w:rsid w:val="00A4700B"/>
    <w:rsid w:val="00A518DE"/>
    <w:rsid w:val="00A52CAE"/>
    <w:rsid w:val="00A71F7C"/>
    <w:rsid w:val="00A74822"/>
    <w:rsid w:val="00A74D80"/>
    <w:rsid w:val="00A808BD"/>
    <w:rsid w:val="00A81FCC"/>
    <w:rsid w:val="00A83F68"/>
    <w:rsid w:val="00A8699E"/>
    <w:rsid w:val="00A87FA5"/>
    <w:rsid w:val="00A937FB"/>
    <w:rsid w:val="00A94114"/>
    <w:rsid w:val="00A9633C"/>
    <w:rsid w:val="00AA10AD"/>
    <w:rsid w:val="00AA11D1"/>
    <w:rsid w:val="00AB2851"/>
    <w:rsid w:val="00AB4905"/>
    <w:rsid w:val="00AB547D"/>
    <w:rsid w:val="00AC0C16"/>
    <w:rsid w:val="00AC22E4"/>
    <w:rsid w:val="00AC272C"/>
    <w:rsid w:val="00AC3619"/>
    <w:rsid w:val="00AC4E47"/>
    <w:rsid w:val="00AD7142"/>
    <w:rsid w:val="00AD75AA"/>
    <w:rsid w:val="00AD77DD"/>
    <w:rsid w:val="00AD786E"/>
    <w:rsid w:val="00AE1C18"/>
    <w:rsid w:val="00AE6A0B"/>
    <w:rsid w:val="00AF6273"/>
    <w:rsid w:val="00B14ED9"/>
    <w:rsid w:val="00B16912"/>
    <w:rsid w:val="00B174F0"/>
    <w:rsid w:val="00B3008C"/>
    <w:rsid w:val="00B4056E"/>
    <w:rsid w:val="00B40FDB"/>
    <w:rsid w:val="00B41703"/>
    <w:rsid w:val="00B44515"/>
    <w:rsid w:val="00B445AE"/>
    <w:rsid w:val="00B52792"/>
    <w:rsid w:val="00B52A61"/>
    <w:rsid w:val="00B63903"/>
    <w:rsid w:val="00B64F97"/>
    <w:rsid w:val="00B6558A"/>
    <w:rsid w:val="00B65998"/>
    <w:rsid w:val="00B73016"/>
    <w:rsid w:val="00B803BD"/>
    <w:rsid w:val="00B807B0"/>
    <w:rsid w:val="00B81378"/>
    <w:rsid w:val="00B85638"/>
    <w:rsid w:val="00B85A0A"/>
    <w:rsid w:val="00B9136A"/>
    <w:rsid w:val="00B956AE"/>
    <w:rsid w:val="00B95768"/>
    <w:rsid w:val="00BA0C72"/>
    <w:rsid w:val="00BB0952"/>
    <w:rsid w:val="00BB2A6F"/>
    <w:rsid w:val="00BB5057"/>
    <w:rsid w:val="00BC2F03"/>
    <w:rsid w:val="00BC41A0"/>
    <w:rsid w:val="00BE077A"/>
    <w:rsid w:val="00BE274B"/>
    <w:rsid w:val="00BF026E"/>
    <w:rsid w:val="00BF20C5"/>
    <w:rsid w:val="00BF2CDC"/>
    <w:rsid w:val="00BF4F6B"/>
    <w:rsid w:val="00C013D5"/>
    <w:rsid w:val="00C064CC"/>
    <w:rsid w:val="00C06820"/>
    <w:rsid w:val="00C24261"/>
    <w:rsid w:val="00C24288"/>
    <w:rsid w:val="00C24C85"/>
    <w:rsid w:val="00C2707F"/>
    <w:rsid w:val="00C4072A"/>
    <w:rsid w:val="00C417D1"/>
    <w:rsid w:val="00C42F50"/>
    <w:rsid w:val="00C4540B"/>
    <w:rsid w:val="00C463E5"/>
    <w:rsid w:val="00C50ABD"/>
    <w:rsid w:val="00C533F4"/>
    <w:rsid w:val="00C56BED"/>
    <w:rsid w:val="00C70BB8"/>
    <w:rsid w:val="00C74991"/>
    <w:rsid w:val="00C752F0"/>
    <w:rsid w:val="00C75768"/>
    <w:rsid w:val="00C761AC"/>
    <w:rsid w:val="00C8594D"/>
    <w:rsid w:val="00C90B00"/>
    <w:rsid w:val="00C9245F"/>
    <w:rsid w:val="00C96A00"/>
    <w:rsid w:val="00CA0BA3"/>
    <w:rsid w:val="00CA65AB"/>
    <w:rsid w:val="00CB32F3"/>
    <w:rsid w:val="00CD074D"/>
    <w:rsid w:val="00CE0118"/>
    <w:rsid w:val="00CF01F3"/>
    <w:rsid w:val="00CF15D3"/>
    <w:rsid w:val="00D02BFD"/>
    <w:rsid w:val="00D100EF"/>
    <w:rsid w:val="00D125DA"/>
    <w:rsid w:val="00D172ED"/>
    <w:rsid w:val="00D20D98"/>
    <w:rsid w:val="00D23462"/>
    <w:rsid w:val="00D23D24"/>
    <w:rsid w:val="00D245FA"/>
    <w:rsid w:val="00D26636"/>
    <w:rsid w:val="00D3095B"/>
    <w:rsid w:val="00D36FC3"/>
    <w:rsid w:val="00D36FCA"/>
    <w:rsid w:val="00D41653"/>
    <w:rsid w:val="00D41F1B"/>
    <w:rsid w:val="00D438FA"/>
    <w:rsid w:val="00D50387"/>
    <w:rsid w:val="00D5768B"/>
    <w:rsid w:val="00D62490"/>
    <w:rsid w:val="00D642DE"/>
    <w:rsid w:val="00D65A05"/>
    <w:rsid w:val="00D666AA"/>
    <w:rsid w:val="00D70354"/>
    <w:rsid w:val="00D74236"/>
    <w:rsid w:val="00D7516A"/>
    <w:rsid w:val="00D80C7D"/>
    <w:rsid w:val="00D85188"/>
    <w:rsid w:val="00D86248"/>
    <w:rsid w:val="00D8653D"/>
    <w:rsid w:val="00DA3CBE"/>
    <w:rsid w:val="00DB419C"/>
    <w:rsid w:val="00DC166D"/>
    <w:rsid w:val="00DC6933"/>
    <w:rsid w:val="00DD1C5E"/>
    <w:rsid w:val="00DD5B05"/>
    <w:rsid w:val="00DE1CEB"/>
    <w:rsid w:val="00DE2A73"/>
    <w:rsid w:val="00DE7D3F"/>
    <w:rsid w:val="00DF3D51"/>
    <w:rsid w:val="00DF3FF4"/>
    <w:rsid w:val="00DF4A99"/>
    <w:rsid w:val="00DF73E2"/>
    <w:rsid w:val="00E0060C"/>
    <w:rsid w:val="00E026CB"/>
    <w:rsid w:val="00E0483D"/>
    <w:rsid w:val="00E10680"/>
    <w:rsid w:val="00E13F91"/>
    <w:rsid w:val="00E17F88"/>
    <w:rsid w:val="00E20884"/>
    <w:rsid w:val="00E22EFE"/>
    <w:rsid w:val="00E3440E"/>
    <w:rsid w:val="00E35EAB"/>
    <w:rsid w:val="00E36BC0"/>
    <w:rsid w:val="00E4140B"/>
    <w:rsid w:val="00E46993"/>
    <w:rsid w:val="00E51619"/>
    <w:rsid w:val="00E51943"/>
    <w:rsid w:val="00E60AD7"/>
    <w:rsid w:val="00E60EB3"/>
    <w:rsid w:val="00E64508"/>
    <w:rsid w:val="00E67CF4"/>
    <w:rsid w:val="00E73BBA"/>
    <w:rsid w:val="00E76177"/>
    <w:rsid w:val="00E7702A"/>
    <w:rsid w:val="00E80943"/>
    <w:rsid w:val="00E8099B"/>
    <w:rsid w:val="00E822F9"/>
    <w:rsid w:val="00E82A14"/>
    <w:rsid w:val="00E83B1F"/>
    <w:rsid w:val="00EA1E77"/>
    <w:rsid w:val="00EA5FD7"/>
    <w:rsid w:val="00EA6AFF"/>
    <w:rsid w:val="00EA78FD"/>
    <w:rsid w:val="00EB1374"/>
    <w:rsid w:val="00EB18B0"/>
    <w:rsid w:val="00EB516A"/>
    <w:rsid w:val="00EC2E67"/>
    <w:rsid w:val="00EC395C"/>
    <w:rsid w:val="00EC43B4"/>
    <w:rsid w:val="00EC459A"/>
    <w:rsid w:val="00EC610B"/>
    <w:rsid w:val="00EC7822"/>
    <w:rsid w:val="00EC7957"/>
    <w:rsid w:val="00ED224B"/>
    <w:rsid w:val="00ED5C7B"/>
    <w:rsid w:val="00ED69B8"/>
    <w:rsid w:val="00ED7CEB"/>
    <w:rsid w:val="00EF1853"/>
    <w:rsid w:val="00F0458C"/>
    <w:rsid w:val="00F066E3"/>
    <w:rsid w:val="00F1019D"/>
    <w:rsid w:val="00F2310E"/>
    <w:rsid w:val="00F23457"/>
    <w:rsid w:val="00F31F7E"/>
    <w:rsid w:val="00F375E0"/>
    <w:rsid w:val="00F37E47"/>
    <w:rsid w:val="00F50468"/>
    <w:rsid w:val="00F53D38"/>
    <w:rsid w:val="00F6352E"/>
    <w:rsid w:val="00F65495"/>
    <w:rsid w:val="00F734FE"/>
    <w:rsid w:val="00F754E1"/>
    <w:rsid w:val="00F812EA"/>
    <w:rsid w:val="00F879C2"/>
    <w:rsid w:val="00F87CE3"/>
    <w:rsid w:val="00F94F2D"/>
    <w:rsid w:val="00F9771A"/>
    <w:rsid w:val="00FA3E37"/>
    <w:rsid w:val="00FB0039"/>
    <w:rsid w:val="00FB0886"/>
    <w:rsid w:val="00FB2AF6"/>
    <w:rsid w:val="00FC13D6"/>
    <w:rsid w:val="00FC25A3"/>
    <w:rsid w:val="00FC3803"/>
    <w:rsid w:val="00FD16E7"/>
    <w:rsid w:val="00FD19BF"/>
    <w:rsid w:val="00FD2B21"/>
    <w:rsid w:val="00FD3943"/>
    <w:rsid w:val="00FD5515"/>
    <w:rsid w:val="00FD7AD3"/>
    <w:rsid w:val="00FF31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3FE5E"/>
  <w15:docId w15:val="{87469BC5-1F8F-4C1E-BC99-F61C43C1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581"/>
    <w:pPr>
      <w:bidi/>
    </w:pPr>
    <w:rPr>
      <w:sz w:val="24"/>
      <w:szCs w:val="24"/>
      <w:lang w:eastAsia="ar-SA"/>
    </w:rPr>
  </w:style>
  <w:style w:type="paragraph" w:styleId="Heading2">
    <w:name w:val="heading 2"/>
    <w:basedOn w:val="Normal"/>
    <w:next w:val="Normal"/>
    <w:link w:val="Heading2Char"/>
    <w:qFormat/>
    <w:rsid w:val="00A32AE5"/>
    <w:pPr>
      <w:keepNext/>
      <w:bidi w:val="0"/>
      <w:ind w:left="318" w:hanging="318"/>
      <w:jc w:val="center"/>
      <w:outlineLvl w:val="1"/>
    </w:pPr>
    <w:rPr>
      <w:rFonts w:cs="Traditional Arabic"/>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3E0581"/>
  </w:style>
  <w:style w:type="paragraph" w:styleId="BodyText">
    <w:name w:val="Body Text"/>
    <w:basedOn w:val="Normal"/>
    <w:semiHidden/>
    <w:rsid w:val="003E0581"/>
    <w:pPr>
      <w:bidi w:val="0"/>
      <w:ind w:right="720"/>
      <w:jc w:val="lowKashida"/>
    </w:pPr>
    <w:rPr>
      <w:b/>
      <w:bCs/>
    </w:rPr>
  </w:style>
  <w:style w:type="paragraph" w:styleId="BalloonText">
    <w:name w:val="Balloon Text"/>
    <w:basedOn w:val="Normal"/>
    <w:semiHidden/>
    <w:unhideWhenUsed/>
    <w:rsid w:val="003E0581"/>
    <w:rPr>
      <w:rFonts w:ascii="Tahoma" w:hAnsi="Tahoma" w:cs="Tahoma"/>
      <w:sz w:val="16"/>
      <w:szCs w:val="16"/>
    </w:rPr>
  </w:style>
  <w:style w:type="paragraph" w:styleId="Header">
    <w:name w:val="header"/>
    <w:basedOn w:val="Normal"/>
    <w:link w:val="HeaderChar"/>
    <w:semiHidden/>
    <w:rsid w:val="003E0581"/>
    <w:pPr>
      <w:tabs>
        <w:tab w:val="center" w:pos="4153"/>
        <w:tab w:val="right" w:pos="8306"/>
      </w:tabs>
    </w:pPr>
  </w:style>
  <w:style w:type="paragraph" w:styleId="Footer">
    <w:name w:val="footer"/>
    <w:basedOn w:val="Normal"/>
    <w:semiHidden/>
    <w:rsid w:val="003E0581"/>
    <w:pPr>
      <w:tabs>
        <w:tab w:val="center" w:pos="4153"/>
        <w:tab w:val="right" w:pos="8306"/>
      </w:tabs>
    </w:pPr>
  </w:style>
  <w:style w:type="paragraph" w:styleId="BodyText2">
    <w:name w:val="Body Text 2"/>
    <w:basedOn w:val="Normal"/>
    <w:semiHidden/>
    <w:rsid w:val="003E0581"/>
    <w:pPr>
      <w:bidi w:val="0"/>
      <w:jc w:val="lowKashida"/>
    </w:pPr>
    <w:rPr>
      <w:color w:val="000000"/>
      <w:shd w:val="clear" w:color="auto" w:fill="FFFFFF"/>
    </w:rPr>
  </w:style>
  <w:style w:type="table" w:styleId="TableGrid">
    <w:name w:val="Table Grid"/>
    <w:basedOn w:val="TableNormal"/>
    <w:uiPriority w:val="59"/>
    <w:rsid w:val="00920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rsid w:val="00A32AE5"/>
    <w:pPr>
      <w:numPr>
        <w:ilvl w:val="12"/>
      </w:numPr>
      <w:bidi w:val="0"/>
      <w:jc w:val="lowKashida"/>
    </w:pPr>
    <w:rPr>
      <w:rFonts w:cs="Simplified Arabic"/>
      <w:b/>
      <w:bCs/>
    </w:rPr>
  </w:style>
  <w:style w:type="character" w:customStyle="1" w:styleId="BodyText3Char">
    <w:name w:val="Body Text 3 Char"/>
    <w:basedOn w:val="DefaultParagraphFont"/>
    <w:link w:val="BodyText3"/>
    <w:semiHidden/>
    <w:rsid w:val="00A32AE5"/>
    <w:rPr>
      <w:rFonts w:cs="Simplified Arabic"/>
      <w:b/>
      <w:bCs/>
      <w:sz w:val="24"/>
      <w:szCs w:val="24"/>
      <w:lang w:eastAsia="ar-SA"/>
    </w:rPr>
  </w:style>
  <w:style w:type="character" w:customStyle="1" w:styleId="Heading2Char">
    <w:name w:val="Heading 2 Char"/>
    <w:basedOn w:val="DefaultParagraphFont"/>
    <w:link w:val="Heading2"/>
    <w:rsid w:val="00A32AE5"/>
    <w:rPr>
      <w:rFonts w:cs="Traditional Arabic"/>
      <w:b/>
      <w:bCs/>
      <w:sz w:val="24"/>
    </w:rPr>
  </w:style>
  <w:style w:type="character" w:styleId="Hyperlink">
    <w:name w:val="Hyperlink"/>
    <w:uiPriority w:val="99"/>
    <w:unhideWhenUsed/>
    <w:rsid w:val="00DB419C"/>
    <w:rPr>
      <w:color w:val="0000FF"/>
      <w:u w:val="single"/>
    </w:rPr>
  </w:style>
  <w:style w:type="character" w:styleId="CommentReference">
    <w:name w:val="annotation reference"/>
    <w:basedOn w:val="DefaultParagraphFont"/>
    <w:uiPriority w:val="99"/>
    <w:semiHidden/>
    <w:unhideWhenUsed/>
    <w:rsid w:val="00FF311E"/>
    <w:rPr>
      <w:sz w:val="16"/>
      <w:szCs w:val="16"/>
    </w:rPr>
  </w:style>
  <w:style w:type="paragraph" w:styleId="CommentText">
    <w:name w:val="annotation text"/>
    <w:basedOn w:val="Normal"/>
    <w:link w:val="CommentTextChar"/>
    <w:uiPriority w:val="99"/>
    <w:semiHidden/>
    <w:unhideWhenUsed/>
    <w:rsid w:val="00FF311E"/>
    <w:rPr>
      <w:sz w:val="20"/>
      <w:szCs w:val="20"/>
    </w:rPr>
  </w:style>
  <w:style w:type="character" w:customStyle="1" w:styleId="CommentTextChar">
    <w:name w:val="Comment Text Char"/>
    <w:basedOn w:val="DefaultParagraphFont"/>
    <w:link w:val="CommentText"/>
    <w:uiPriority w:val="99"/>
    <w:semiHidden/>
    <w:rsid w:val="00FF311E"/>
    <w:rPr>
      <w:lang w:eastAsia="ar-SA"/>
    </w:rPr>
  </w:style>
  <w:style w:type="paragraph" w:styleId="CommentSubject">
    <w:name w:val="annotation subject"/>
    <w:basedOn w:val="CommentText"/>
    <w:next w:val="CommentText"/>
    <w:link w:val="CommentSubjectChar"/>
    <w:uiPriority w:val="99"/>
    <w:semiHidden/>
    <w:unhideWhenUsed/>
    <w:rsid w:val="00FF311E"/>
    <w:rPr>
      <w:b/>
      <w:bCs/>
    </w:rPr>
  </w:style>
  <w:style w:type="character" w:customStyle="1" w:styleId="CommentSubjectChar">
    <w:name w:val="Comment Subject Char"/>
    <w:basedOn w:val="CommentTextChar"/>
    <w:link w:val="CommentSubject"/>
    <w:uiPriority w:val="99"/>
    <w:semiHidden/>
    <w:rsid w:val="00FF311E"/>
    <w:rPr>
      <w:b/>
      <w:bCs/>
      <w:lang w:eastAsia="ar-SA"/>
    </w:rPr>
  </w:style>
  <w:style w:type="character" w:customStyle="1" w:styleId="y2iqfc">
    <w:name w:val="y2iqfc"/>
    <w:basedOn w:val="DefaultParagraphFont"/>
    <w:rsid w:val="00236C1B"/>
  </w:style>
  <w:style w:type="character" w:customStyle="1" w:styleId="HeaderChar">
    <w:name w:val="Header Char"/>
    <w:basedOn w:val="DefaultParagraphFont"/>
    <w:link w:val="Header"/>
    <w:semiHidden/>
    <w:rsid w:val="00D5768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90832">
      <w:bodyDiv w:val="1"/>
      <w:marLeft w:val="0"/>
      <w:marRight w:val="0"/>
      <w:marTop w:val="0"/>
      <w:marBottom w:val="0"/>
      <w:divBdr>
        <w:top w:val="none" w:sz="0" w:space="0" w:color="auto"/>
        <w:left w:val="none" w:sz="0" w:space="0" w:color="auto"/>
        <w:bottom w:val="none" w:sz="0" w:space="0" w:color="auto"/>
        <w:right w:val="none" w:sz="0" w:space="0" w:color="auto"/>
      </w:divBdr>
    </w:div>
    <w:div w:id="255292416">
      <w:bodyDiv w:val="1"/>
      <w:marLeft w:val="0"/>
      <w:marRight w:val="0"/>
      <w:marTop w:val="0"/>
      <w:marBottom w:val="0"/>
      <w:divBdr>
        <w:top w:val="none" w:sz="0" w:space="0" w:color="auto"/>
        <w:left w:val="none" w:sz="0" w:space="0" w:color="auto"/>
        <w:bottom w:val="none" w:sz="0" w:space="0" w:color="auto"/>
        <w:right w:val="none" w:sz="0" w:space="0" w:color="auto"/>
      </w:divBdr>
    </w:div>
    <w:div w:id="316307013">
      <w:bodyDiv w:val="1"/>
      <w:marLeft w:val="0"/>
      <w:marRight w:val="0"/>
      <w:marTop w:val="0"/>
      <w:marBottom w:val="0"/>
      <w:divBdr>
        <w:top w:val="none" w:sz="0" w:space="0" w:color="auto"/>
        <w:left w:val="none" w:sz="0" w:space="0" w:color="auto"/>
        <w:bottom w:val="none" w:sz="0" w:space="0" w:color="auto"/>
        <w:right w:val="none" w:sz="0" w:space="0" w:color="auto"/>
      </w:divBdr>
    </w:div>
    <w:div w:id="745491748">
      <w:bodyDiv w:val="1"/>
      <w:marLeft w:val="0"/>
      <w:marRight w:val="0"/>
      <w:marTop w:val="0"/>
      <w:marBottom w:val="0"/>
      <w:divBdr>
        <w:top w:val="none" w:sz="0" w:space="0" w:color="auto"/>
        <w:left w:val="none" w:sz="0" w:space="0" w:color="auto"/>
        <w:bottom w:val="none" w:sz="0" w:space="0" w:color="auto"/>
        <w:right w:val="none" w:sz="0" w:space="0" w:color="auto"/>
      </w:divBdr>
    </w:div>
    <w:div w:id="846167822">
      <w:bodyDiv w:val="1"/>
      <w:marLeft w:val="0"/>
      <w:marRight w:val="0"/>
      <w:marTop w:val="0"/>
      <w:marBottom w:val="0"/>
      <w:divBdr>
        <w:top w:val="none" w:sz="0" w:space="0" w:color="auto"/>
        <w:left w:val="none" w:sz="0" w:space="0" w:color="auto"/>
        <w:bottom w:val="none" w:sz="0" w:space="0" w:color="auto"/>
        <w:right w:val="none" w:sz="0" w:space="0" w:color="auto"/>
      </w:divBdr>
    </w:div>
    <w:div w:id="1124082555">
      <w:bodyDiv w:val="1"/>
      <w:marLeft w:val="0"/>
      <w:marRight w:val="0"/>
      <w:marTop w:val="0"/>
      <w:marBottom w:val="0"/>
      <w:divBdr>
        <w:top w:val="none" w:sz="0" w:space="0" w:color="auto"/>
        <w:left w:val="none" w:sz="0" w:space="0" w:color="auto"/>
        <w:bottom w:val="none" w:sz="0" w:space="0" w:color="auto"/>
        <w:right w:val="none" w:sz="0" w:space="0" w:color="auto"/>
      </w:divBdr>
    </w:div>
    <w:div w:id="1418985831">
      <w:bodyDiv w:val="1"/>
      <w:marLeft w:val="0"/>
      <w:marRight w:val="0"/>
      <w:marTop w:val="0"/>
      <w:marBottom w:val="0"/>
      <w:divBdr>
        <w:top w:val="none" w:sz="0" w:space="0" w:color="auto"/>
        <w:left w:val="none" w:sz="0" w:space="0" w:color="auto"/>
        <w:bottom w:val="none" w:sz="0" w:space="0" w:color="auto"/>
        <w:right w:val="none" w:sz="0" w:space="0" w:color="auto"/>
      </w:divBdr>
    </w:div>
    <w:div w:id="1565678185">
      <w:bodyDiv w:val="1"/>
      <w:marLeft w:val="0"/>
      <w:marRight w:val="0"/>
      <w:marTop w:val="0"/>
      <w:marBottom w:val="0"/>
      <w:divBdr>
        <w:top w:val="none" w:sz="0" w:space="0" w:color="auto"/>
        <w:left w:val="none" w:sz="0" w:space="0" w:color="auto"/>
        <w:bottom w:val="none" w:sz="0" w:space="0" w:color="auto"/>
        <w:right w:val="none" w:sz="0" w:space="0" w:color="auto"/>
      </w:divBdr>
    </w:div>
    <w:div w:id="1684823371">
      <w:bodyDiv w:val="1"/>
      <w:marLeft w:val="0"/>
      <w:marRight w:val="0"/>
      <w:marTop w:val="0"/>
      <w:marBottom w:val="0"/>
      <w:divBdr>
        <w:top w:val="none" w:sz="0" w:space="0" w:color="auto"/>
        <w:left w:val="none" w:sz="0" w:space="0" w:color="auto"/>
        <w:bottom w:val="none" w:sz="0" w:space="0" w:color="auto"/>
        <w:right w:val="none" w:sz="0" w:space="0" w:color="auto"/>
      </w:divBdr>
    </w:div>
    <w:div w:id="1692759333">
      <w:bodyDiv w:val="1"/>
      <w:marLeft w:val="0"/>
      <w:marRight w:val="0"/>
      <w:marTop w:val="0"/>
      <w:marBottom w:val="0"/>
      <w:divBdr>
        <w:top w:val="none" w:sz="0" w:space="0" w:color="auto"/>
        <w:left w:val="none" w:sz="0" w:space="0" w:color="auto"/>
        <w:bottom w:val="none" w:sz="0" w:space="0" w:color="auto"/>
        <w:right w:val="none" w:sz="0" w:space="0" w:color="auto"/>
      </w:divBdr>
    </w:div>
    <w:div w:id="1922644391">
      <w:bodyDiv w:val="1"/>
      <w:marLeft w:val="0"/>
      <w:marRight w:val="0"/>
      <w:marTop w:val="0"/>
      <w:marBottom w:val="0"/>
      <w:divBdr>
        <w:top w:val="none" w:sz="0" w:space="0" w:color="auto"/>
        <w:left w:val="none" w:sz="0" w:space="0" w:color="auto"/>
        <w:bottom w:val="none" w:sz="0" w:space="0" w:color="auto"/>
        <w:right w:val="none" w:sz="0" w:space="0" w:color="auto"/>
      </w:divBdr>
    </w:div>
    <w:div w:id="21068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955111016528341"/>
          <c:y val="2.550687433663262E-2"/>
          <c:w val="0.81609675817549865"/>
          <c:h val="0.66773392456377723"/>
        </c:manualLayout>
      </c:layout>
      <c:lineChart>
        <c:grouping val="standard"/>
        <c:varyColors val="0"/>
        <c:ser>
          <c:idx val="0"/>
          <c:order val="0"/>
          <c:tx>
            <c:strRef>
              <c:f>Sheet1!$B$1</c:f>
              <c:strCache>
                <c:ptCount val="1"/>
                <c:pt idx="0">
                  <c:v>New Additions to Licensed Buildings </c:v>
                </c:pt>
              </c:strCache>
            </c:strRef>
          </c:tx>
          <c:spPr>
            <a:ln>
              <a:gradFill>
                <a:gsLst>
                  <a:gs pos="0">
                    <a:srgbClr val="1F497D"/>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tailEnd type="none"/>
            </a:ln>
          </c:spPr>
          <c:marker>
            <c:symbol val="triangle"/>
            <c:size val="7"/>
            <c:spPr>
              <a:ln>
                <a:solidFill>
                  <a:srgbClr val="4F81BD"/>
                </a:solidFill>
                <a:tailEnd type="triangle" w="lg" len="med"/>
              </a:ln>
            </c:spPr>
          </c:marker>
          <c:cat>
            <c:strRef>
              <c:f>Sheet1!$A$2:$A$6</c:f>
              <c:strCache>
                <c:ptCount val="5"/>
                <c:pt idx="0">
                  <c:v> Q III 2022</c:v>
                </c:pt>
                <c:pt idx="1">
                  <c:v> Q IV 2022</c:v>
                </c:pt>
                <c:pt idx="2">
                  <c:v> Q I 2023</c:v>
                </c:pt>
                <c:pt idx="3">
                  <c:v> Q II 2023</c:v>
                </c:pt>
                <c:pt idx="4">
                  <c:v> Q III 2023</c:v>
                </c:pt>
              </c:strCache>
            </c:strRef>
          </c:cat>
          <c:val>
            <c:numRef>
              <c:f>Sheet1!$B$2:$B$6</c:f>
              <c:numCache>
                <c:formatCode>#,##0</c:formatCode>
                <c:ptCount val="5"/>
                <c:pt idx="0">
                  <c:v>313</c:v>
                </c:pt>
                <c:pt idx="1">
                  <c:v>353</c:v>
                </c:pt>
                <c:pt idx="2">
                  <c:v>267</c:v>
                </c:pt>
                <c:pt idx="3">
                  <c:v>302</c:v>
                </c:pt>
                <c:pt idx="4">
                  <c:v>356</c:v>
                </c:pt>
              </c:numCache>
            </c:numRef>
          </c:val>
          <c:smooth val="0"/>
          <c:extLst>
            <c:ext xmlns:c16="http://schemas.microsoft.com/office/drawing/2014/chart" uri="{C3380CC4-5D6E-409C-BE32-E72D297353CC}">
              <c16:uniqueId val="{00000000-CCA5-442B-A5B7-A3EE61977FD2}"/>
            </c:ext>
          </c:extLst>
        </c:ser>
        <c:ser>
          <c:idx val="1"/>
          <c:order val="1"/>
          <c:tx>
            <c:strRef>
              <c:f>Sheet1!$C$1</c:f>
              <c:strCache>
                <c:ptCount val="1"/>
                <c:pt idx="0">
                  <c:v>New Buildings</c:v>
                </c:pt>
              </c:strCache>
            </c:strRef>
          </c:tx>
          <c:cat>
            <c:strRef>
              <c:f>Sheet1!$A$2:$A$6</c:f>
              <c:strCache>
                <c:ptCount val="5"/>
                <c:pt idx="0">
                  <c:v> Q III 2022</c:v>
                </c:pt>
                <c:pt idx="1">
                  <c:v> Q IV 2022</c:v>
                </c:pt>
                <c:pt idx="2">
                  <c:v> Q I 2023</c:v>
                </c:pt>
                <c:pt idx="3">
                  <c:v> Q II 2023</c:v>
                </c:pt>
                <c:pt idx="4">
                  <c:v> Q III 2023</c:v>
                </c:pt>
              </c:strCache>
            </c:strRef>
          </c:cat>
          <c:val>
            <c:numRef>
              <c:f>Sheet1!$C$2:$C$6</c:f>
              <c:numCache>
                <c:formatCode>#,##0</c:formatCode>
                <c:ptCount val="5"/>
                <c:pt idx="0">
                  <c:v>1626</c:v>
                </c:pt>
                <c:pt idx="1">
                  <c:v>1674</c:v>
                </c:pt>
                <c:pt idx="2">
                  <c:v>1625</c:v>
                </c:pt>
                <c:pt idx="3">
                  <c:v>1467</c:v>
                </c:pt>
                <c:pt idx="4">
                  <c:v>1646</c:v>
                </c:pt>
              </c:numCache>
            </c:numRef>
          </c:val>
          <c:smooth val="0"/>
          <c:extLst>
            <c:ext xmlns:c16="http://schemas.microsoft.com/office/drawing/2014/chart" uri="{C3380CC4-5D6E-409C-BE32-E72D297353CC}">
              <c16:uniqueId val="{00000001-CCA5-442B-A5B7-A3EE61977FD2}"/>
            </c:ext>
          </c:extLst>
        </c:ser>
        <c:ser>
          <c:idx val="2"/>
          <c:order val="2"/>
          <c:tx>
            <c:strRef>
              <c:f>Sheet1!$D$1</c:f>
              <c:strCache>
                <c:ptCount val="1"/>
                <c:pt idx="0">
                  <c:v>Total Building Licenses</c:v>
                </c:pt>
              </c:strCache>
            </c:strRef>
          </c:tx>
          <c:marker>
            <c:symbol val="none"/>
          </c:marker>
          <c:cat>
            <c:strRef>
              <c:f>Sheet1!$A$2:$A$6</c:f>
              <c:strCache>
                <c:ptCount val="5"/>
                <c:pt idx="0">
                  <c:v> Q III 2022</c:v>
                </c:pt>
                <c:pt idx="1">
                  <c:v> Q IV 2022</c:v>
                </c:pt>
                <c:pt idx="2">
                  <c:v> Q I 2023</c:v>
                </c:pt>
                <c:pt idx="3">
                  <c:v> Q II 2023</c:v>
                </c:pt>
                <c:pt idx="4">
                  <c:v> Q III 2023</c:v>
                </c:pt>
              </c:strCache>
            </c:strRef>
          </c:cat>
          <c:val>
            <c:numRef>
              <c:f>Sheet1!$D$2:$D$6</c:f>
              <c:numCache>
                <c:formatCode>#,##0</c:formatCode>
                <c:ptCount val="5"/>
                <c:pt idx="0">
                  <c:v>2665</c:v>
                </c:pt>
                <c:pt idx="1">
                  <c:v>2804</c:v>
                </c:pt>
                <c:pt idx="2">
                  <c:v>2530</c:v>
                </c:pt>
                <c:pt idx="3">
                  <c:v>2395</c:v>
                </c:pt>
                <c:pt idx="4">
                  <c:v>2712</c:v>
                </c:pt>
              </c:numCache>
            </c:numRef>
          </c:val>
          <c:smooth val="0"/>
          <c:extLst>
            <c:ext xmlns:c16="http://schemas.microsoft.com/office/drawing/2014/chart" uri="{C3380CC4-5D6E-409C-BE32-E72D297353CC}">
              <c16:uniqueId val="{00000002-CCA5-442B-A5B7-A3EE61977FD2}"/>
            </c:ext>
          </c:extLst>
        </c:ser>
        <c:dLbls>
          <c:showLegendKey val="0"/>
          <c:showVal val="0"/>
          <c:showCatName val="0"/>
          <c:showSerName val="0"/>
          <c:showPercent val="0"/>
          <c:showBubbleSize val="0"/>
        </c:dLbls>
        <c:marker val="1"/>
        <c:smooth val="0"/>
        <c:axId val="103086720"/>
        <c:axId val="103190912"/>
      </c:lineChart>
      <c:catAx>
        <c:axId val="103086720"/>
        <c:scaling>
          <c:orientation val="minMax"/>
        </c:scaling>
        <c:delete val="0"/>
        <c:axPos val="b"/>
        <c:numFmt formatCode="General" sourceLinked="1"/>
        <c:majorTickMark val="out"/>
        <c:minorTickMark val="none"/>
        <c:tickLblPos val="nextTo"/>
        <c:txPr>
          <a:bodyPr/>
          <a:lstStyle/>
          <a:p>
            <a:pPr>
              <a:defRPr sz="900"/>
            </a:pPr>
            <a:endParaRPr lang="ar-SA"/>
          </a:p>
        </c:txPr>
        <c:crossAx val="103190912"/>
        <c:crosses val="autoZero"/>
        <c:auto val="1"/>
        <c:lblAlgn val="ctr"/>
        <c:lblOffset val="100"/>
        <c:noMultiLvlLbl val="0"/>
      </c:catAx>
      <c:valAx>
        <c:axId val="103190912"/>
        <c:scaling>
          <c:orientation val="minMax"/>
        </c:scaling>
        <c:delete val="0"/>
        <c:axPos val="l"/>
        <c:majorGridlines/>
        <c:title>
          <c:tx>
            <c:rich>
              <a:bodyPr rot="-5400000" vert="horz"/>
              <a:lstStyle/>
              <a:p>
                <a:pPr>
                  <a:defRPr b="1"/>
                </a:pPr>
                <a:r>
                  <a:rPr lang="en-US" b="1"/>
                  <a:t>Number of Licenses</a:t>
                </a:r>
              </a:p>
            </c:rich>
          </c:tx>
          <c:layout>
            <c:manualLayout>
              <c:xMode val="edge"/>
              <c:yMode val="edge"/>
              <c:x val="0"/>
              <c:y val="0.22323685890615028"/>
            </c:manualLayout>
          </c:layout>
          <c:overlay val="0"/>
        </c:title>
        <c:numFmt formatCode="#,##0" sourceLinked="0"/>
        <c:majorTickMark val="out"/>
        <c:minorTickMark val="none"/>
        <c:tickLblPos val="nextTo"/>
        <c:crossAx val="103086720"/>
        <c:crosses val="autoZero"/>
        <c:crossBetween val="between"/>
      </c:valAx>
      <c:spPr>
        <a:ln>
          <a:solidFill>
            <a:srgbClr val="4F81BD"/>
          </a:solidFill>
        </a:ln>
      </c:spPr>
    </c:plotArea>
    <c:legend>
      <c:legendPos val="b"/>
      <c:layout>
        <c:manualLayout>
          <c:xMode val="edge"/>
          <c:yMode val="edge"/>
          <c:x val="1.1383039271485486E-2"/>
          <c:y val="0.80822379850015025"/>
          <c:w val="0.81671709608524268"/>
          <c:h val="0.1917762014998497"/>
        </c:manualLayout>
      </c:layout>
      <c:overlay val="0"/>
      <c:spPr>
        <a:ln>
          <a:noFill/>
        </a:ln>
      </c:spPr>
    </c:legend>
    <c:plotVisOnly val="1"/>
    <c:dispBlanksAs val="gap"/>
    <c:showDLblsOverMax val="0"/>
  </c:chart>
  <c:spPr>
    <a:no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FAEB-561A-418C-A8B9-9A993803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The First monthly  news release on the Palestinian registered external trade on goods for December/ 2010</vt:lpstr>
    </vt:vector>
  </TitlesOfParts>
  <Company>pcbs</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monthly  news release on the Palestinian registered external trade on goods for December/ 2010</dc:title>
  <dc:creator>husamkh</dc:creator>
  <cp:lastModifiedBy>LOAY SHEHADEH</cp:lastModifiedBy>
  <cp:revision>3</cp:revision>
  <cp:lastPrinted>2023-12-10T11:11:00Z</cp:lastPrinted>
  <dcterms:created xsi:type="dcterms:W3CDTF">2023-12-10T11:11:00Z</dcterms:created>
  <dcterms:modified xsi:type="dcterms:W3CDTF">2023-12-10T11:16:00Z</dcterms:modified>
</cp:coreProperties>
</file>