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06" w:rsidRDefault="00926F06" w:rsidP="00CD252A">
      <w:pPr>
        <w:bidi/>
        <w:jc w:val="center"/>
        <w:rPr>
          <w:rFonts w:cs="Simplified Arabic" w:hint="cs"/>
          <w:sz w:val="28"/>
          <w:szCs w:val="28"/>
          <w:rtl/>
        </w:rPr>
      </w:pPr>
    </w:p>
    <w:p w:rsidR="00BA086B" w:rsidRDefault="00BA086B" w:rsidP="00BA086B">
      <w:pPr>
        <w:jc w:val="center"/>
        <w:rPr>
          <w:rFonts w:ascii="Times New Roman" w:eastAsia="Calibri" w:hAnsi="Times New Roman"/>
          <w:bCs/>
          <w:i w:val="0"/>
          <w:sz w:val="32"/>
          <w:szCs w:val="32"/>
        </w:rPr>
      </w:pPr>
      <w:r w:rsidRPr="00294F7F">
        <w:rPr>
          <w:rFonts w:ascii="Times New Roman" w:eastAsia="Calibri" w:hAnsi="Times New Roman"/>
          <w:bCs/>
          <w:i w:val="0"/>
          <w:sz w:val="32"/>
          <w:szCs w:val="32"/>
        </w:rPr>
        <w:t>Palestinian Central Bureau of Statistics (PCBS) and</w:t>
      </w:r>
    </w:p>
    <w:p w:rsidR="00BA086B" w:rsidRPr="00294F7F" w:rsidRDefault="00BA086B" w:rsidP="00BA086B">
      <w:pPr>
        <w:jc w:val="center"/>
        <w:rPr>
          <w:rFonts w:ascii="Times New Roman" w:eastAsia="Calibri" w:hAnsi="Times New Roman"/>
          <w:bCs/>
          <w:i w:val="0"/>
          <w:sz w:val="32"/>
          <w:szCs w:val="32"/>
        </w:rPr>
      </w:pPr>
      <w:r w:rsidRPr="00294F7F">
        <w:rPr>
          <w:rFonts w:ascii="Times New Roman" w:eastAsia="Calibri" w:hAnsi="Times New Roman"/>
          <w:bCs/>
          <w:i w:val="0"/>
          <w:sz w:val="32"/>
          <w:szCs w:val="32"/>
        </w:rPr>
        <w:t xml:space="preserve"> </w:t>
      </w:r>
      <w:r>
        <w:rPr>
          <w:rFonts w:ascii="Times New Roman" w:eastAsia="Calibri" w:hAnsi="Times New Roman"/>
          <w:bCs/>
          <w:i w:val="0"/>
          <w:sz w:val="32"/>
          <w:szCs w:val="32"/>
        </w:rPr>
        <w:t>T</w:t>
      </w:r>
      <w:r w:rsidRPr="00294F7F">
        <w:rPr>
          <w:rFonts w:ascii="Times New Roman" w:eastAsia="Calibri" w:hAnsi="Times New Roman"/>
          <w:bCs/>
          <w:i w:val="0"/>
          <w:sz w:val="32"/>
          <w:szCs w:val="32"/>
        </w:rPr>
        <w:t>he Palestine Monetary Authority (</w:t>
      </w:r>
      <w:proofErr w:type="gramStart"/>
      <w:r w:rsidRPr="00294F7F">
        <w:rPr>
          <w:rFonts w:ascii="Times New Roman" w:eastAsia="Calibri" w:hAnsi="Times New Roman"/>
          <w:bCs/>
          <w:i w:val="0"/>
          <w:sz w:val="32"/>
          <w:szCs w:val="32"/>
        </w:rPr>
        <w:t>PMA</w:t>
      </w:r>
      <w:r w:rsidRPr="00294F7F">
        <w:rPr>
          <w:rFonts w:ascii="Times New Roman" w:eastAsia="Calibri" w:hAnsi="Times New Roman" w:hint="cs"/>
          <w:bCs/>
          <w:i w:val="0"/>
          <w:sz w:val="32"/>
          <w:szCs w:val="32"/>
          <w:rtl/>
        </w:rPr>
        <w:t>(</w:t>
      </w:r>
      <w:proofErr w:type="gramEnd"/>
    </w:p>
    <w:p w:rsidR="00BA086B" w:rsidRPr="00BA086B" w:rsidRDefault="00BA086B" w:rsidP="00BA086B">
      <w:pPr>
        <w:bidi/>
        <w:jc w:val="center"/>
        <w:rPr>
          <w:rFonts w:cs="Simplified Arabic"/>
          <w:sz w:val="28"/>
          <w:szCs w:val="28"/>
        </w:rPr>
      </w:pPr>
    </w:p>
    <w:p w:rsidR="00835713" w:rsidRPr="00297E85" w:rsidRDefault="0017537B" w:rsidP="007A612B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835713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="007A612B">
        <w:rPr>
          <w:rFonts w:asciiTheme="majorBidi" w:hAnsiTheme="majorBidi" w:cstheme="majorBidi" w:hint="cs"/>
          <w:b w:val="0"/>
          <w:bCs/>
          <w:sz w:val="28"/>
          <w:szCs w:val="28"/>
          <w:rtl/>
        </w:rPr>
        <w:t>775</w:t>
      </w:r>
      <w:r w:rsidR="00835713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proofErr w:type="gramStart"/>
      <w:r w:rsidR="00835713" w:rsidRPr="00297E85">
        <w:rPr>
          <w:rFonts w:asciiTheme="majorBidi" w:hAnsiTheme="majorBidi" w:cstheme="majorBidi"/>
          <w:i w:val="0"/>
          <w:iCs/>
          <w:sz w:val="28"/>
          <w:szCs w:val="28"/>
        </w:rPr>
        <w:t>Million</w:t>
      </w:r>
      <w:proofErr w:type="gramEnd"/>
      <w:r w:rsidR="00835713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</w:p>
    <w:p w:rsidR="00E50275" w:rsidRPr="00297E85" w:rsidRDefault="002168F8" w:rsidP="007A612B">
      <w:pPr>
        <w:tabs>
          <w:tab w:val="center" w:pos="4513"/>
          <w:tab w:val="right" w:pos="9027"/>
        </w:tabs>
        <w:spacing w:line="360" w:lineRule="auto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297E85">
        <w:rPr>
          <w:rFonts w:asciiTheme="majorBidi" w:hAnsiTheme="majorBidi" w:cstheme="majorBidi"/>
          <w:i w:val="0"/>
          <w:iCs/>
          <w:sz w:val="28"/>
          <w:szCs w:val="28"/>
        </w:rPr>
        <w:tab/>
      </w:r>
      <w:proofErr w:type="gramStart"/>
      <w:r w:rsidR="00A36A82" w:rsidRPr="00297E85">
        <w:rPr>
          <w:rFonts w:asciiTheme="majorBidi" w:hAnsiTheme="majorBidi" w:cstheme="majorBidi"/>
          <w:i w:val="0"/>
          <w:iCs/>
          <w:sz w:val="28"/>
          <w:szCs w:val="28"/>
        </w:rPr>
        <w:t>of</w:t>
      </w:r>
      <w:proofErr w:type="gramEnd"/>
      <w:r w:rsidR="00A36A82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 the </w:t>
      </w:r>
      <w:r w:rsidR="00E50275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7A612B">
        <w:rPr>
          <w:rFonts w:asciiTheme="majorBidi" w:hAnsiTheme="majorBidi" w:cstheme="majorBidi"/>
          <w:i w:val="0"/>
          <w:iCs/>
          <w:sz w:val="28"/>
          <w:szCs w:val="28"/>
        </w:rPr>
        <w:t>Second</w:t>
      </w:r>
      <w:r w:rsidR="00EF3090" w:rsidRPr="00297E85">
        <w:rPr>
          <w:rFonts w:asciiTheme="majorBidi" w:hAnsiTheme="majorBidi" w:cstheme="majorBidi" w:hint="cs"/>
          <w:i w:val="0"/>
          <w:iCs/>
          <w:sz w:val="28"/>
          <w:szCs w:val="28"/>
          <w:rtl/>
        </w:rPr>
        <w:t xml:space="preserve"> </w:t>
      </w:r>
      <w:r w:rsidR="00E50275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515BEE">
        <w:rPr>
          <w:rFonts w:asciiTheme="majorBidi" w:hAnsiTheme="majorBidi" w:cstheme="majorBidi"/>
          <w:i w:val="0"/>
          <w:iCs/>
          <w:sz w:val="28"/>
          <w:szCs w:val="28"/>
        </w:rPr>
        <w:t>2022</w:t>
      </w:r>
      <w:r w:rsidRPr="00297E85">
        <w:rPr>
          <w:rFonts w:asciiTheme="majorBidi" w:hAnsiTheme="majorBidi" w:cstheme="majorBidi"/>
          <w:i w:val="0"/>
          <w:iCs/>
          <w:sz w:val="28"/>
          <w:szCs w:val="28"/>
          <w:rtl/>
        </w:rPr>
        <w:tab/>
      </w:r>
    </w:p>
    <w:p w:rsidR="00D539E6" w:rsidRPr="00297E85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Pr="005E4852" w:rsidRDefault="00D8421E" w:rsidP="007A612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E4852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5E4852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5E4852">
        <w:rPr>
          <w:rFonts w:asciiTheme="majorBidi" w:hAnsiTheme="majorBidi" w:cstheme="majorBidi"/>
          <w:sz w:val="26"/>
          <w:szCs w:val="26"/>
        </w:rPr>
        <w:t xml:space="preserve">) for the </w:t>
      </w:r>
      <w:r w:rsidR="007A612B" w:rsidRPr="005E4852">
        <w:rPr>
          <w:rFonts w:asciiTheme="majorBidi" w:hAnsiTheme="majorBidi" w:cstheme="majorBidi"/>
          <w:sz w:val="26"/>
          <w:szCs w:val="26"/>
        </w:rPr>
        <w:t>second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Pr="005E4852">
        <w:rPr>
          <w:rFonts w:asciiTheme="majorBidi" w:hAnsiTheme="majorBidi" w:cstheme="majorBidi"/>
          <w:sz w:val="26"/>
          <w:szCs w:val="26"/>
        </w:rPr>
        <w:t xml:space="preserve">quarter of </w:t>
      </w:r>
      <w:r w:rsidR="00515BEE" w:rsidRPr="005E4852">
        <w:rPr>
          <w:rFonts w:asciiTheme="majorBidi" w:hAnsiTheme="majorBidi" w:cstheme="majorBidi"/>
          <w:sz w:val="26"/>
          <w:szCs w:val="26"/>
        </w:rPr>
        <w:t>2022</w:t>
      </w:r>
      <w:r w:rsidRPr="005E4852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5E4852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5E4852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5E4852">
        <w:rPr>
          <w:rFonts w:asciiTheme="majorBidi" w:hAnsiTheme="majorBidi" w:cstheme="majorBidi"/>
          <w:sz w:val="26"/>
          <w:szCs w:val="26"/>
        </w:rPr>
        <w:t>those</w:t>
      </w:r>
      <w:r w:rsidR="007E6926" w:rsidRPr="005E4852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5E4852">
        <w:rPr>
          <w:rFonts w:asciiTheme="majorBidi" w:hAnsiTheme="majorBidi" w:cstheme="majorBidi"/>
          <w:sz w:val="26"/>
          <w:szCs w:val="26"/>
        </w:rPr>
        <w:t>s</w:t>
      </w:r>
      <w:r w:rsidR="007E6926" w:rsidRPr="005E4852">
        <w:rPr>
          <w:rFonts w:asciiTheme="majorBidi" w:hAnsiTheme="majorBidi" w:cstheme="majorBidi"/>
          <w:sz w:val="26"/>
          <w:szCs w:val="26"/>
        </w:rPr>
        <w:t xml:space="preserve"> of </w:t>
      </w:r>
      <w:proofErr w:type="gramStart"/>
      <w:r w:rsidR="007E6926" w:rsidRPr="005E4852">
        <w:rPr>
          <w:rFonts w:asciiTheme="majorBidi" w:hAnsiTheme="majorBidi" w:cstheme="majorBidi"/>
          <w:sz w:val="26"/>
          <w:szCs w:val="26"/>
        </w:rPr>
        <w:t>Jerusalem</w:t>
      </w:r>
      <w:r w:rsidR="00EF3090" w:rsidRPr="005E485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5E4852">
        <w:rPr>
          <w:rFonts w:asciiTheme="majorBidi" w:hAnsiTheme="majorBidi" w:cstheme="majorBidi"/>
          <w:sz w:val="26"/>
          <w:szCs w:val="26"/>
        </w:rPr>
        <w:t>which</w:t>
      </w:r>
      <w:proofErr w:type="gramEnd"/>
      <w:r w:rsidR="007E6926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A36A82" w:rsidRPr="005E4852">
        <w:rPr>
          <w:rFonts w:asciiTheme="majorBidi" w:hAnsiTheme="majorBidi" w:cstheme="majorBidi"/>
          <w:sz w:val="26"/>
          <w:szCs w:val="26"/>
        </w:rPr>
        <w:t>were</w:t>
      </w:r>
      <w:r w:rsidR="007E6926" w:rsidRPr="005E4852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5E4852">
        <w:rPr>
          <w:rFonts w:asciiTheme="majorBidi" w:hAnsiTheme="majorBidi" w:cstheme="majorBidi"/>
          <w:sz w:val="26"/>
          <w:szCs w:val="26"/>
        </w:rPr>
        <w:t>i</w:t>
      </w:r>
      <w:r w:rsidR="007E6926" w:rsidRPr="005E4852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5E4852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817F99" w:rsidRPr="005E4852" w:rsidRDefault="00817F99" w:rsidP="00935D4F">
      <w:pPr>
        <w:pStyle w:val="BodyText"/>
        <w:tabs>
          <w:tab w:val="right" w:pos="2127"/>
        </w:tabs>
        <w:bidi w:val="0"/>
        <w:spacing w:after="120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5E4852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The deficit in trade balance of goods is the main reason </w:t>
      </w:r>
      <w:r w:rsidR="00935D4F" w:rsidRPr="005E4852">
        <w:rPr>
          <w:rFonts w:asciiTheme="majorBidi" w:hAnsiTheme="majorBidi" w:cstheme="majorBidi"/>
          <w:b/>
          <w:bCs/>
          <w:sz w:val="26"/>
          <w:szCs w:val="26"/>
          <w:lang w:val="en-GB"/>
        </w:rPr>
        <w:t>behind</w:t>
      </w:r>
      <w:r w:rsidRPr="005E4852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the current account deficit</w:t>
      </w:r>
    </w:p>
    <w:p w:rsidR="004D1601" w:rsidRPr="005E4852" w:rsidRDefault="003E65F8" w:rsidP="007A612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E4852">
        <w:rPr>
          <w:rFonts w:asciiTheme="majorBidi" w:hAnsiTheme="majorBidi" w:cstheme="majorBidi"/>
          <w:sz w:val="26"/>
          <w:szCs w:val="26"/>
          <w:lang w:val="en-GB"/>
        </w:rPr>
        <w:t>An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incessant deficit </w:t>
      </w:r>
      <w:r w:rsidR="00ED0711" w:rsidRPr="005E4852">
        <w:rPr>
          <w:rFonts w:asciiTheme="majorBidi" w:hAnsiTheme="majorBidi" w:cstheme="majorBidi"/>
          <w:sz w:val="26"/>
          <w:szCs w:val="26"/>
        </w:rPr>
        <w:t>in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the Current Account</w:t>
      </w:r>
      <w:r w:rsidR="00EE02A9" w:rsidRPr="005E4852">
        <w:rPr>
          <w:rFonts w:asciiTheme="majorBidi" w:hAnsiTheme="majorBidi" w:cstheme="majorBidi"/>
          <w:sz w:val="26"/>
          <w:szCs w:val="26"/>
        </w:rPr>
        <w:t xml:space="preserve"> (</w:t>
      </w:r>
      <w:r w:rsidR="00E06E08" w:rsidRPr="005E4852">
        <w:rPr>
          <w:rFonts w:asciiTheme="majorBidi" w:hAnsiTheme="majorBidi" w:cstheme="majorBidi"/>
          <w:sz w:val="26"/>
          <w:szCs w:val="26"/>
        </w:rPr>
        <w:t>g</w:t>
      </w:r>
      <w:r w:rsidR="00EE02A9" w:rsidRPr="005E4852">
        <w:rPr>
          <w:rFonts w:asciiTheme="majorBidi" w:hAnsiTheme="majorBidi" w:cstheme="majorBidi"/>
          <w:sz w:val="26"/>
          <w:szCs w:val="26"/>
        </w:rPr>
        <w:t xml:space="preserve">oods, </w:t>
      </w:r>
      <w:r w:rsidR="00E06E08" w:rsidRPr="005E4852">
        <w:rPr>
          <w:rFonts w:asciiTheme="majorBidi" w:hAnsiTheme="majorBidi" w:cstheme="majorBidi"/>
          <w:sz w:val="26"/>
          <w:szCs w:val="26"/>
        </w:rPr>
        <w:t>s</w:t>
      </w:r>
      <w:r w:rsidR="00EE02A9" w:rsidRPr="005E4852">
        <w:rPr>
          <w:rFonts w:asciiTheme="majorBidi" w:hAnsiTheme="majorBidi" w:cstheme="majorBidi"/>
          <w:sz w:val="26"/>
          <w:szCs w:val="26"/>
        </w:rPr>
        <w:t xml:space="preserve">ervices, </w:t>
      </w:r>
      <w:r w:rsidR="00E06E08" w:rsidRPr="005E4852">
        <w:rPr>
          <w:rFonts w:asciiTheme="majorBidi" w:hAnsiTheme="majorBidi" w:cstheme="majorBidi"/>
          <w:sz w:val="26"/>
          <w:szCs w:val="26"/>
        </w:rPr>
        <w:t>i</w:t>
      </w:r>
      <w:r w:rsidR="00EE02A9" w:rsidRPr="005E4852">
        <w:rPr>
          <w:rFonts w:asciiTheme="majorBidi" w:hAnsiTheme="majorBidi" w:cstheme="majorBidi"/>
          <w:sz w:val="26"/>
          <w:szCs w:val="26"/>
        </w:rPr>
        <w:t xml:space="preserve">ncome, </w:t>
      </w:r>
      <w:r w:rsidR="00E06E08" w:rsidRPr="005E4852">
        <w:rPr>
          <w:rFonts w:asciiTheme="majorBidi" w:hAnsiTheme="majorBidi" w:cstheme="majorBidi"/>
          <w:sz w:val="26"/>
          <w:szCs w:val="26"/>
        </w:rPr>
        <w:t>c</w:t>
      </w:r>
      <w:r w:rsidR="00EE02A9" w:rsidRPr="005E4852">
        <w:rPr>
          <w:rFonts w:asciiTheme="majorBidi" w:hAnsiTheme="majorBidi" w:cstheme="majorBidi"/>
          <w:sz w:val="26"/>
          <w:szCs w:val="26"/>
        </w:rPr>
        <w:t xml:space="preserve">urrent </w:t>
      </w:r>
      <w:r w:rsidR="00E06E08" w:rsidRPr="005E4852">
        <w:rPr>
          <w:rFonts w:asciiTheme="majorBidi" w:hAnsiTheme="majorBidi" w:cstheme="majorBidi"/>
          <w:sz w:val="26"/>
          <w:szCs w:val="26"/>
        </w:rPr>
        <w:t>t</w:t>
      </w:r>
      <w:r w:rsidR="00EE02A9" w:rsidRPr="005E4852">
        <w:rPr>
          <w:rFonts w:asciiTheme="majorBidi" w:hAnsiTheme="majorBidi" w:cstheme="majorBidi"/>
          <w:sz w:val="26"/>
          <w:szCs w:val="26"/>
        </w:rPr>
        <w:t xml:space="preserve">ransfers) </w:t>
      </w:r>
      <w:r w:rsidR="00382E41" w:rsidRPr="005E4852">
        <w:rPr>
          <w:rFonts w:asciiTheme="majorBidi" w:hAnsiTheme="majorBidi" w:cstheme="majorBidi"/>
          <w:sz w:val="26"/>
          <w:szCs w:val="26"/>
        </w:rPr>
        <w:t xml:space="preserve">which </w:t>
      </w:r>
      <w:r w:rsidR="00E16D50" w:rsidRPr="005E4852">
        <w:rPr>
          <w:rFonts w:asciiTheme="majorBidi" w:hAnsiTheme="majorBidi" w:cstheme="majorBidi"/>
          <w:sz w:val="26"/>
          <w:szCs w:val="26"/>
        </w:rPr>
        <w:t>totaled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USD </w:t>
      </w:r>
      <w:r w:rsidR="007A612B" w:rsidRPr="005E4852">
        <w:rPr>
          <w:rFonts w:asciiTheme="majorBidi" w:hAnsiTheme="majorBidi" w:cstheme="majorBidi" w:hint="cs"/>
          <w:sz w:val="26"/>
          <w:szCs w:val="26"/>
          <w:rtl/>
        </w:rPr>
        <w:t>775</w:t>
      </w:r>
      <w:r w:rsidR="00817F99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5E4852">
        <w:rPr>
          <w:rFonts w:asciiTheme="majorBidi" w:hAnsiTheme="majorBidi" w:cstheme="majorBidi"/>
          <w:sz w:val="26"/>
          <w:szCs w:val="26"/>
        </w:rPr>
        <w:t>million</w:t>
      </w:r>
      <w:r w:rsidR="006419A4" w:rsidRPr="005E4852">
        <w:rPr>
          <w:rFonts w:asciiTheme="majorBidi" w:hAnsiTheme="majorBidi" w:cstheme="majorBidi"/>
          <w:sz w:val="26"/>
          <w:szCs w:val="26"/>
        </w:rPr>
        <w:t>.</w:t>
      </w:r>
      <w:r w:rsidR="00ED79EC" w:rsidRPr="005E4852">
        <w:rPr>
          <w:rFonts w:asciiTheme="majorBidi" w:hAnsiTheme="majorBidi" w:cstheme="majorBidi"/>
          <w:sz w:val="26"/>
          <w:szCs w:val="26"/>
        </w:rPr>
        <w:t xml:space="preserve">  </w:t>
      </w:r>
      <w:r w:rsidR="008339BA" w:rsidRPr="005E4852">
        <w:rPr>
          <w:rFonts w:asciiTheme="majorBidi" w:hAnsiTheme="majorBidi" w:cstheme="majorBidi"/>
          <w:sz w:val="26"/>
          <w:szCs w:val="26"/>
        </w:rPr>
        <w:t>M</w:t>
      </w:r>
      <w:r w:rsidR="00E16D50" w:rsidRPr="005E4852">
        <w:rPr>
          <w:rFonts w:asciiTheme="majorBidi" w:hAnsiTheme="majorBidi" w:cstheme="majorBidi"/>
          <w:sz w:val="26"/>
          <w:szCs w:val="26"/>
        </w:rPr>
        <w:t xml:space="preserve">ainly triggered </w:t>
      </w:r>
      <w:r w:rsidR="005B47E8" w:rsidRPr="005E4852">
        <w:rPr>
          <w:rFonts w:asciiTheme="majorBidi" w:hAnsiTheme="majorBidi" w:cstheme="majorBidi"/>
          <w:sz w:val="26"/>
          <w:szCs w:val="26"/>
        </w:rPr>
        <w:t xml:space="preserve">by the </w:t>
      </w:r>
      <w:r w:rsidR="006239FE" w:rsidRPr="005E4852">
        <w:rPr>
          <w:rFonts w:asciiTheme="majorBidi" w:hAnsiTheme="majorBidi" w:cstheme="majorBidi"/>
          <w:sz w:val="26"/>
          <w:szCs w:val="26"/>
        </w:rPr>
        <w:t>d</w:t>
      </w:r>
      <w:r w:rsidR="0009408F" w:rsidRPr="005E4852">
        <w:rPr>
          <w:rFonts w:asciiTheme="majorBidi" w:hAnsiTheme="majorBidi" w:cstheme="majorBidi"/>
          <w:sz w:val="26"/>
          <w:szCs w:val="26"/>
        </w:rPr>
        <w:t xml:space="preserve">eficit </w:t>
      </w:r>
      <w:r w:rsidR="003E0504" w:rsidRPr="005E4852">
        <w:rPr>
          <w:rFonts w:asciiTheme="majorBidi" w:hAnsiTheme="majorBidi" w:cstheme="majorBidi"/>
          <w:sz w:val="26"/>
          <w:szCs w:val="26"/>
        </w:rPr>
        <w:t>of</w:t>
      </w:r>
      <w:r w:rsidR="0009408F" w:rsidRPr="005E4852">
        <w:rPr>
          <w:rFonts w:asciiTheme="majorBidi" w:hAnsiTheme="majorBidi" w:cstheme="majorBidi"/>
          <w:sz w:val="26"/>
          <w:szCs w:val="26"/>
        </w:rPr>
        <w:t xml:space="preserve"> the Trade Balance of G</w:t>
      </w:r>
      <w:r w:rsidR="006239FE" w:rsidRPr="005E4852">
        <w:rPr>
          <w:rFonts w:asciiTheme="majorBidi" w:hAnsiTheme="majorBidi" w:cstheme="majorBidi"/>
          <w:sz w:val="26"/>
          <w:szCs w:val="26"/>
        </w:rPr>
        <w:t>oods</w:t>
      </w:r>
      <w:r w:rsidR="00E16D50" w:rsidRPr="005E4852">
        <w:rPr>
          <w:rFonts w:asciiTheme="majorBidi" w:hAnsiTheme="majorBidi" w:cstheme="majorBidi"/>
          <w:sz w:val="26"/>
          <w:szCs w:val="26"/>
        </w:rPr>
        <w:t>,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which </w:t>
      </w:r>
      <w:r w:rsidR="00E16D50" w:rsidRPr="005E4852">
        <w:rPr>
          <w:rFonts w:asciiTheme="majorBidi" w:hAnsiTheme="majorBidi" w:cstheme="majorBidi"/>
          <w:sz w:val="26"/>
          <w:szCs w:val="26"/>
        </w:rPr>
        <w:t xml:space="preserve">reached </w:t>
      </w:r>
      <w:r w:rsidR="006239FE" w:rsidRPr="005E4852">
        <w:rPr>
          <w:rFonts w:asciiTheme="majorBidi" w:hAnsiTheme="majorBidi" w:cstheme="majorBidi"/>
          <w:sz w:val="26"/>
          <w:szCs w:val="26"/>
        </w:rPr>
        <w:t>USD</w:t>
      </w:r>
      <w:r w:rsidR="00E74CB6" w:rsidRPr="005E4852">
        <w:rPr>
          <w:rFonts w:asciiTheme="majorBidi" w:hAnsiTheme="majorBidi" w:cstheme="majorBidi"/>
          <w:sz w:val="26"/>
          <w:szCs w:val="26"/>
        </w:rPr>
        <w:t xml:space="preserve"> 1,</w:t>
      </w:r>
      <w:r w:rsidR="007A612B" w:rsidRPr="005E4852">
        <w:rPr>
          <w:rFonts w:asciiTheme="majorBidi" w:hAnsiTheme="majorBidi" w:cstheme="majorBidi"/>
          <w:sz w:val="26"/>
          <w:szCs w:val="26"/>
        </w:rPr>
        <w:t>936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5E4852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FE58E0" w:rsidRPr="005E4852">
        <w:rPr>
          <w:rFonts w:asciiTheme="majorBidi" w:hAnsiTheme="majorBidi" w:cstheme="majorBidi"/>
          <w:sz w:val="26"/>
          <w:szCs w:val="26"/>
        </w:rPr>
        <w:t>,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3E0A13" w:rsidRPr="005E4852">
        <w:rPr>
          <w:rFonts w:asciiTheme="majorBidi" w:hAnsiTheme="majorBidi" w:cstheme="majorBidi"/>
          <w:sz w:val="26"/>
          <w:szCs w:val="26"/>
        </w:rPr>
        <w:t>a</w:t>
      </w:r>
      <w:r w:rsidR="005B47E8" w:rsidRPr="005E4852">
        <w:rPr>
          <w:rFonts w:asciiTheme="majorBidi" w:hAnsiTheme="majorBidi" w:cstheme="majorBidi"/>
          <w:sz w:val="26"/>
          <w:szCs w:val="26"/>
        </w:rPr>
        <w:t xml:space="preserve">s well as the </w:t>
      </w:r>
      <w:r w:rsidR="00F57E68" w:rsidRPr="005E4852">
        <w:rPr>
          <w:rFonts w:asciiTheme="majorBidi" w:hAnsiTheme="majorBidi" w:cstheme="majorBidi"/>
          <w:sz w:val="26"/>
          <w:szCs w:val="26"/>
        </w:rPr>
        <w:t>deficit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in Services Balance</w:t>
      </w:r>
      <w:r w:rsidR="006C27F7" w:rsidRPr="005E4852">
        <w:rPr>
          <w:rFonts w:asciiTheme="majorBidi" w:hAnsiTheme="majorBidi" w:cstheme="majorBidi"/>
          <w:sz w:val="26"/>
          <w:szCs w:val="26"/>
        </w:rPr>
        <w:t>,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5E4852">
        <w:rPr>
          <w:rFonts w:asciiTheme="majorBidi" w:hAnsiTheme="majorBidi" w:cstheme="majorBidi"/>
          <w:sz w:val="26"/>
          <w:szCs w:val="26"/>
        </w:rPr>
        <w:t>which amounted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to</w:t>
      </w:r>
      <w:r w:rsidR="00A441A5" w:rsidRPr="005E4852">
        <w:rPr>
          <w:rFonts w:asciiTheme="majorBidi" w:hAnsiTheme="majorBidi" w:cstheme="majorBidi"/>
          <w:sz w:val="26"/>
          <w:szCs w:val="26"/>
        </w:rPr>
        <w:t xml:space="preserve"> USD</w:t>
      </w:r>
      <w:r w:rsidR="00ED79EC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7A612B" w:rsidRPr="005E4852">
        <w:rPr>
          <w:rFonts w:asciiTheme="majorBidi" w:hAnsiTheme="majorBidi" w:cstheme="majorBidi" w:hint="cs"/>
          <w:sz w:val="26"/>
          <w:szCs w:val="26"/>
          <w:rtl/>
        </w:rPr>
        <w:t>380</w:t>
      </w:r>
      <w:r w:rsidR="00312DAB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795FD1" w:rsidRPr="005E4852">
        <w:rPr>
          <w:rFonts w:asciiTheme="majorBidi" w:hAnsiTheme="majorBidi" w:cstheme="majorBidi"/>
          <w:sz w:val="26"/>
          <w:szCs w:val="26"/>
        </w:rPr>
        <w:t>million</w:t>
      </w:r>
      <w:r w:rsidR="00122B0F" w:rsidRPr="005E4852">
        <w:rPr>
          <w:rFonts w:asciiTheme="majorBidi" w:hAnsiTheme="majorBidi" w:cstheme="majorBidi"/>
          <w:sz w:val="26"/>
          <w:szCs w:val="26"/>
        </w:rPr>
        <w:t>.</w:t>
      </w:r>
    </w:p>
    <w:p w:rsidR="00835713" w:rsidRPr="005E4852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5302EF" w:rsidRPr="005E4852" w:rsidRDefault="005302EF" w:rsidP="00935D4F">
      <w:pPr>
        <w:pStyle w:val="BodyText"/>
        <w:tabs>
          <w:tab w:val="right" w:pos="2127"/>
        </w:tabs>
        <w:bidi w:val="0"/>
        <w:spacing w:after="12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E4852">
        <w:rPr>
          <w:rFonts w:asciiTheme="majorBidi" w:hAnsiTheme="majorBidi" w:cstheme="majorBidi"/>
          <w:b/>
          <w:bCs/>
          <w:sz w:val="26"/>
          <w:szCs w:val="26"/>
        </w:rPr>
        <w:t xml:space="preserve">The compensations of employees working in Israel </w:t>
      </w:r>
      <w:r w:rsidR="00C62E2F" w:rsidRPr="005E4852">
        <w:rPr>
          <w:rFonts w:asciiTheme="majorBidi" w:hAnsiTheme="majorBidi" w:cstheme="majorBidi"/>
          <w:b/>
          <w:bCs/>
          <w:sz w:val="26"/>
          <w:szCs w:val="26"/>
        </w:rPr>
        <w:t>are</w:t>
      </w:r>
      <w:r w:rsidRPr="005E4852">
        <w:rPr>
          <w:rFonts w:asciiTheme="majorBidi" w:hAnsiTheme="majorBidi" w:cstheme="majorBidi"/>
          <w:b/>
          <w:bCs/>
          <w:sz w:val="26"/>
          <w:szCs w:val="26"/>
        </w:rPr>
        <w:t xml:space="preserve"> the main reason </w:t>
      </w:r>
      <w:r w:rsidR="00935D4F" w:rsidRPr="005E4852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behind </w:t>
      </w:r>
      <w:r w:rsidRPr="005E4852">
        <w:rPr>
          <w:rFonts w:asciiTheme="majorBidi" w:hAnsiTheme="majorBidi" w:cstheme="majorBidi"/>
          <w:b/>
          <w:bCs/>
          <w:sz w:val="26"/>
          <w:szCs w:val="26"/>
        </w:rPr>
        <w:t>the income account surplus</w:t>
      </w:r>
    </w:p>
    <w:p w:rsidR="007440AA" w:rsidRPr="005E4852" w:rsidRDefault="00710F52" w:rsidP="007A612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5E4852">
        <w:rPr>
          <w:rFonts w:asciiTheme="majorBidi" w:hAnsiTheme="majorBidi" w:cstheme="majorBidi"/>
          <w:sz w:val="26"/>
          <w:szCs w:val="26"/>
        </w:rPr>
        <w:t>T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he </w:t>
      </w:r>
      <w:r w:rsidR="00BA47E0" w:rsidRPr="005E4852">
        <w:rPr>
          <w:rFonts w:asciiTheme="majorBidi" w:hAnsiTheme="majorBidi" w:cstheme="majorBidi"/>
          <w:sz w:val="26"/>
          <w:szCs w:val="26"/>
        </w:rPr>
        <w:t xml:space="preserve">surplus in </w:t>
      </w:r>
      <w:r w:rsidR="00412B95" w:rsidRPr="005E4852">
        <w:rPr>
          <w:rFonts w:asciiTheme="majorBidi" w:hAnsiTheme="majorBidi" w:cstheme="majorBidi"/>
          <w:sz w:val="26"/>
          <w:szCs w:val="26"/>
        </w:rPr>
        <w:t>I</w:t>
      </w:r>
      <w:r w:rsidR="00382E41" w:rsidRPr="005E4852">
        <w:rPr>
          <w:rFonts w:asciiTheme="majorBidi" w:hAnsiTheme="majorBidi" w:cstheme="majorBidi"/>
          <w:sz w:val="26"/>
          <w:szCs w:val="26"/>
        </w:rPr>
        <w:t xml:space="preserve">ncome </w:t>
      </w:r>
      <w:r w:rsidR="00412B95" w:rsidRPr="005E4852">
        <w:rPr>
          <w:rFonts w:asciiTheme="majorBidi" w:hAnsiTheme="majorBidi" w:cstheme="majorBidi"/>
          <w:sz w:val="26"/>
          <w:szCs w:val="26"/>
        </w:rPr>
        <w:t>A</w:t>
      </w:r>
      <w:r w:rsidR="00382E41" w:rsidRPr="005E4852">
        <w:rPr>
          <w:rFonts w:asciiTheme="majorBidi" w:hAnsiTheme="majorBidi" w:cstheme="majorBidi"/>
          <w:sz w:val="26"/>
          <w:szCs w:val="26"/>
        </w:rPr>
        <w:t xml:space="preserve">ccount 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(compensations of employees and investments income) </w:t>
      </w:r>
      <w:r w:rsidR="00382E41" w:rsidRPr="005E4852">
        <w:rPr>
          <w:rFonts w:asciiTheme="majorBidi" w:hAnsiTheme="majorBidi" w:cstheme="majorBidi"/>
          <w:sz w:val="26"/>
          <w:szCs w:val="26"/>
        </w:rPr>
        <w:t>amount</w:t>
      </w:r>
      <w:r w:rsidR="00BA47E0" w:rsidRPr="005E4852">
        <w:rPr>
          <w:rFonts w:asciiTheme="majorBidi" w:hAnsiTheme="majorBidi" w:cstheme="majorBidi"/>
          <w:sz w:val="26"/>
          <w:szCs w:val="26"/>
        </w:rPr>
        <w:t>ed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A47E0" w:rsidRPr="005E4852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5E4852">
        <w:rPr>
          <w:rFonts w:asciiTheme="majorBidi" w:hAnsiTheme="majorBidi" w:cstheme="majorBidi"/>
          <w:sz w:val="26"/>
          <w:szCs w:val="26"/>
        </w:rPr>
        <w:t>USD</w:t>
      </w:r>
      <w:r w:rsidR="00F747ED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5E4852">
        <w:rPr>
          <w:rFonts w:asciiTheme="majorBidi" w:hAnsiTheme="majorBidi" w:cstheme="majorBidi"/>
          <w:sz w:val="26"/>
          <w:szCs w:val="26"/>
        </w:rPr>
        <w:t>9</w:t>
      </w:r>
      <w:r w:rsidR="007A612B" w:rsidRPr="005E4852">
        <w:rPr>
          <w:rFonts w:asciiTheme="majorBidi" w:hAnsiTheme="majorBidi" w:cstheme="majorBidi"/>
          <w:sz w:val="26"/>
          <w:szCs w:val="26"/>
        </w:rPr>
        <w:t>53</w:t>
      </w:r>
      <w:r w:rsidR="00F747ED" w:rsidRPr="005E4852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5E4852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E16D50" w:rsidRPr="005E4852">
        <w:rPr>
          <w:rFonts w:asciiTheme="majorBidi" w:hAnsiTheme="majorBidi" w:cstheme="majorBidi"/>
          <w:sz w:val="26"/>
          <w:szCs w:val="26"/>
        </w:rPr>
        <w:t>.</w:t>
      </w:r>
      <w:r w:rsidR="00F747ED" w:rsidRPr="005E4852">
        <w:rPr>
          <w:rFonts w:asciiTheme="majorBidi" w:hAnsiTheme="majorBidi" w:cstheme="majorBidi"/>
          <w:sz w:val="26"/>
          <w:szCs w:val="26"/>
        </w:rPr>
        <w:t xml:space="preserve">  </w:t>
      </w:r>
      <w:r w:rsidR="00E16D50" w:rsidRPr="005E4852">
        <w:rPr>
          <w:rFonts w:asciiTheme="majorBidi" w:hAnsiTheme="majorBidi" w:cstheme="majorBidi"/>
          <w:sz w:val="26"/>
          <w:szCs w:val="26"/>
        </w:rPr>
        <w:t>This</w:t>
      </w:r>
      <w:r w:rsidR="00EA4DBD" w:rsidRPr="005E4852">
        <w:rPr>
          <w:rFonts w:asciiTheme="majorBidi" w:hAnsiTheme="majorBidi" w:cstheme="majorBidi"/>
          <w:sz w:val="26"/>
          <w:szCs w:val="26"/>
        </w:rPr>
        <w:t xml:space="preserve"> surplus was due to compensations of </w:t>
      </w:r>
      <w:r w:rsidR="003E0A13" w:rsidRPr="005E4852">
        <w:rPr>
          <w:rFonts w:asciiTheme="majorBidi" w:hAnsiTheme="majorBidi" w:cstheme="majorBidi"/>
          <w:sz w:val="26"/>
          <w:szCs w:val="26"/>
        </w:rPr>
        <w:t xml:space="preserve">the </w:t>
      </w:r>
      <w:r w:rsidR="00EA4DBD" w:rsidRPr="005E4852">
        <w:rPr>
          <w:rFonts w:asciiTheme="majorBidi" w:hAnsiTheme="majorBidi" w:cstheme="majorBidi"/>
          <w:sz w:val="26"/>
          <w:szCs w:val="26"/>
        </w:rPr>
        <w:t>e</w:t>
      </w:r>
      <w:r w:rsidR="006239FE" w:rsidRPr="005E4852">
        <w:rPr>
          <w:rFonts w:asciiTheme="majorBidi" w:hAnsiTheme="majorBidi" w:cstheme="majorBidi"/>
          <w:sz w:val="26"/>
          <w:szCs w:val="26"/>
        </w:rPr>
        <w:t>mployees working in Israel</w:t>
      </w:r>
      <w:r w:rsidR="00E16D50" w:rsidRPr="005E4852">
        <w:rPr>
          <w:rFonts w:asciiTheme="majorBidi" w:hAnsiTheme="majorBidi" w:cstheme="majorBidi"/>
          <w:sz w:val="26"/>
          <w:szCs w:val="26"/>
        </w:rPr>
        <w:t>,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5E4852">
        <w:rPr>
          <w:rFonts w:asciiTheme="majorBidi" w:hAnsiTheme="majorBidi" w:cstheme="majorBidi"/>
          <w:sz w:val="26"/>
          <w:szCs w:val="26"/>
        </w:rPr>
        <w:t>which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reached USD </w:t>
      </w:r>
      <w:r w:rsidR="00B03155" w:rsidRPr="005E4852">
        <w:rPr>
          <w:rFonts w:asciiTheme="majorBidi" w:hAnsiTheme="majorBidi" w:cstheme="majorBidi"/>
          <w:sz w:val="26"/>
          <w:szCs w:val="26"/>
        </w:rPr>
        <w:t>9</w:t>
      </w:r>
      <w:r w:rsidR="007A612B" w:rsidRPr="005E4852">
        <w:rPr>
          <w:rFonts w:asciiTheme="majorBidi" w:hAnsiTheme="majorBidi" w:cstheme="majorBidi"/>
          <w:sz w:val="26"/>
          <w:szCs w:val="26"/>
        </w:rPr>
        <w:t>17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5E4852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6239FE" w:rsidRPr="005E4852">
        <w:rPr>
          <w:rFonts w:asciiTheme="majorBidi" w:hAnsiTheme="majorBidi" w:cstheme="majorBidi"/>
          <w:sz w:val="26"/>
          <w:szCs w:val="26"/>
        </w:rPr>
        <w:t xml:space="preserve">. </w:t>
      </w:r>
      <w:r w:rsidR="00382E41" w:rsidRPr="005E4852">
        <w:rPr>
          <w:rFonts w:asciiTheme="majorBidi" w:hAnsiTheme="majorBidi" w:cstheme="majorBidi"/>
          <w:sz w:val="26"/>
          <w:szCs w:val="26"/>
        </w:rPr>
        <w:t xml:space="preserve">As for the </w:t>
      </w:r>
      <w:r w:rsidR="006239FE" w:rsidRPr="005E4852">
        <w:rPr>
          <w:rFonts w:asciiTheme="majorBidi" w:hAnsiTheme="majorBidi" w:cstheme="majorBidi"/>
          <w:sz w:val="26"/>
          <w:szCs w:val="26"/>
        </w:rPr>
        <w:t>received investments income</w:t>
      </w:r>
      <w:r w:rsidR="00382E41" w:rsidRPr="005E4852">
        <w:rPr>
          <w:rFonts w:asciiTheme="majorBidi" w:hAnsiTheme="majorBidi" w:cstheme="majorBidi"/>
          <w:sz w:val="26"/>
          <w:szCs w:val="26"/>
        </w:rPr>
        <w:t xml:space="preserve">, it </w:t>
      </w:r>
      <w:r w:rsidR="006239FE" w:rsidRPr="005E4852">
        <w:rPr>
          <w:rFonts w:asciiTheme="majorBidi" w:hAnsiTheme="majorBidi" w:cstheme="majorBidi"/>
          <w:sz w:val="26"/>
          <w:szCs w:val="26"/>
        </w:rPr>
        <w:t>amounted to USD</w:t>
      </w:r>
      <w:r w:rsidR="00F747ED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5E4852">
        <w:rPr>
          <w:rFonts w:asciiTheme="majorBidi" w:hAnsiTheme="majorBidi" w:cstheme="majorBidi"/>
          <w:sz w:val="26"/>
          <w:szCs w:val="26"/>
        </w:rPr>
        <w:t>6</w:t>
      </w:r>
      <w:r w:rsidR="007A612B" w:rsidRPr="005E4852">
        <w:rPr>
          <w:rFonts w:asciiTheme="majorBidi" w:hAnsiTheme="majorBidi" w:cstheme="majorBidi"/>
          <w:sz w:val="26"/>
          <w:szCs w:val="26"/>
        </w:rPr>
        <w:t>7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5E4852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122B0F" w:rsidRPr="005E4852">
        <w:rPr>
          <w:rFonts w:asciiTheme="majorBidi" w:hAnsiTheme="majorBidi" w:cstheme="majorBidi"/>
          <w:sz w:val="26"/>
          <w:szCs w:val="26"/>
        </w:rPr>
        <w:t>;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382E41" w:rsidRPr="005E4852">
        <w:rPr>
          <w:rFonts w:asciiTheme="majorBidi" w:hAnsiTheme="majorBidi" w:cstheme="majorBidi"/>
          <w:sz w:val="26"/>
          <w:szCs w:val="26"/>
        </w:rPr>
        <w:t xml:space="preserve">and </w:t>
      </w:r>
      <w:r w:rsidR="006239FE" w:rsidRPr="005E4852">
        <w:rPr>
          <w:rFonts w:asciiTheme="majorBidi" w:hAnsiTheme="majorBidi" w:cstheme="majorBidi"/>
          <w:sz w:val="26"/>
          <w:szCs w:val="26"/>
        </w:rPr>
        <w:t>was mainly caused by the</w:t>
      </w:r>
      <w:r w:rsidR="007440AA" w:rsidRPr="005E4852">
        <w:rPr>
          <w:rFonts w:asciiTheme="majorBidi" w:hAnsiTheme="majorBidi" w:cstheme="majorBidi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interest received on </w:t>
      </w:r>
      <w:r w:rsidR="003E0A13" w:rsidRPr="005E4852">
        <w:rPr>
          <w:rFonts w:asciiTheme="majorBidi" w:hAnsiTheme="majorBidi" w:cstheme="majorBidi"/>
          <w:sz w:val="26"/>
          <w:szCs w:val="26"/>
        </w:rPr>
        <w:t xml:space="preserve">the </w:t>
      </w:r>
      <w:r w:rsidR="00D63CCC" w:rsidRPr="005E4852">
        <w:rPr>
          <w:rFonts w:asciiTheme="majorBidi" w:hAnsiTheme="majorBidi" w:cstheme="majorBidi"/>
          <w:sz w:val="26"/>
          <w:szCs w:val="26"/>
        </w:rPr>
        <w:t xml:space="preserve">Palestinian </w:t>
      </w:r>
      <w:r w:rsidR="008B2BC1" w:rsidRPr="005E4852">
        <w:rPr>
          <w:rFonts w:asciiTheme="majorBidi" w:hAnsiTheme="majorBidi" w:cstheme="majorBidi"/>
          <w:sz w:val="26"/>
          <w:szCs w:val="26"/>
        </w:rPr>
        <w:t>deposits in banks abroad</w:t>
      </w:r>
      <w:r w:rsidR="007440AA" w:rsidRPr="005E4852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9812F7" w:rsidRPr="005E4852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6"/>
          <w:szCs w:val="26"/>
        </w:rPr>
      </w:pPr>
    </w:p>
    <w:p w:rsidR="005302EF" w:rsidRPr="005E4852" w:rsidRDefault="005302EF" w:rsidP="00935D4F">
      <w:pPr>
        <w:pStyle w:val="BodyText"/>
        <w:bidi w:val="0"/>
        <w:spacing w:after="120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5E4852">
        <w:rPr>
          <w:rFonts w:asciiTheme="majorBidi" w:hAnsiTheme="majorBidi" w:cstheme="majorBidi"/>
          <w:b/>
          <w:iCs/>
          <w:sz w:val="26"/>
          <w:szCs w:val="26"/>
        </w:rPr>
        <w:t>The current transfers from abroad to other (non-governmen</w:t>
      </w:r>
      <w:r w:rsidR="00C62E2F" w:rsidRPr="005E4852">
        <w:rPr>
          <w:rFonts w:asciiTheme="majorBidi" w:hAnsiTheme="majorBidi" w:cstheme="majorBidi"/>
          <w:b/>
          <w:iCs/>
          <w:sz w:val="26"/>
          <w:szCs w:val="26"/>
        </w:rPr>
        <w:t>t) sectors are</w:t>
      </w:r>
      <w:r w:rsidRPr="005E4852">
        <w:rPr>
          <w:rFonts w:asciiTheme="majorBidi" w:hAnsiTheme="majorBidi" w:cstheme="majorBidi"/>
          <w:b/>
          <w:iCs/>
          <w:sz w:val="26"/>
          <w:szCs w:val="26"/>
        </w:rPr>
        <w:t xml:space="preserve"> the main reason </w:t>
      </w:r>
      <w:r w:rsidR="00935D4F" w:rsidRPr="005E4852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behind </w:t>
      </w:r>
      <w:r w:rsidRPr="005E4852">
        <w:rPr>
          <w:rFonts w:asciiTheme="majorBidi" w:hAnsiTheme="majorBidi" w:cstheme="majorBidi"/>
          <w:b/>
          <w:iCs/>
          <w:sz w:val="26"/>
          <w:szCs w:val="26"/>
        </w:rPr>
        <w:t xml:space="preserve">the current </w:t>
      </w:r>
      <w:proofErr w:type="gramStart"/>
      <w:r w:rsidRPr="005E4852">
        <w:rPr>
          <w:rFonts w:asciiTheme="majorBidi" w:hAnsiTheme="majorBidi" w:cstheme="majorBidi"/>
          <w:b/>
          <w:iCs/>
          <w:sz w:val="26"/>
          <w:szCs w:val="26"/>
        </w:rPr>
        <w:t>transfers</w:t>
      </w:r>
      <w:proofErr w:type="gramEnd"/>
      <w:r w:rsidRPr="005E4852">
        <w:rPr>
          <w:rFonts w:asciiTheme="majorBidi" w:hAnsiTheme="majorBidi" w:cstheme="majorBidi"/>
          <w:b/>
          <w:iCs/>
          <w:sz w:val="26"/>
          <w:szCs w:val="26"/>
        </w:rPr>
        <w:t xml:space="preserve"> surplus</w:t>
      </w:r>
    </w:p>
    <w:p w:rsidR="004D1601" w:rsidRPr="005E4852" w:rsidRDefault="00710F52" w:rsidP="00065419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E4852">
        <w:rPr>
          <w:rFonts w:asciiTheme="majorBidi" w:hAnsiTheme="majorBidi" w:cstheme="majorBidi"/>
          <w:sz w:val="26"/>
          <w:szCs w:val="26"/>
        </w:rPr>
        <w:t>T</w:t>
      </w:r>
      <w:r w:rsidR="006239FE" w:rsidRPr="005E4852">
        <w:rPr>
          <w:rFonts w:asciiTheme="majorBidi" w:hAnsiTheme="majorBidi" w:cstheme="majorBidi"/>
          <w:sz w:val="26"/>
          <w:szCs w:val="26"/>
        </w:rPr>
        <w:t>he Current Transfers</w:t>
      </w:r>
      <w:r w:rsidR="00382E41" w:rsidRPr="005E4852">
        <w:rPr>
          <w:rFonts w:asciiTheme="majorBidi" w:hAnsiTheme="majorBidi" w:cstheme="majorBidi"/>
          <w:sz w:val="26"/>
          <w:szCs w:val="26"/>
        </w:rPr>
        <w:t xml:space="preserve"> achieved a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surplus value amount</w:t>
      </w:r>
      <w:r w:rsidR="003E0A13" w:rsidRPr="005E4852">
        <w:rPr>
          <w:rFonts w:asciiTheme="majorBidi" w:hAnsiTheme="majorBidi" w:cstheme="majorBidi"/>
          <w:sz w:val="26"/>
          <w:szCs w:val="26"/>
        </w:rPr>
        <w:t>ed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5E4852">
        <w:rPr>
          <w:rFonts w:asciiTheme="majorBidi" w:hAnsiTheme="majorBidi" w:cstheme="majorBidi"/>
          <w:sz w:val="26"/>
          <w:szCs w:val="26"/>
        </w:rPr>
        <w:t>to USD</w:t>
      </w:r>
      <w:r w:rsidR="001B23AC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5E4852">
        <w:rPr>
          <w:rFonts w:asciiTheme="majorBidi" w:hAnsiTheme="majorBidi" w:cstheme="majorBidi"/>
          <w:sz w:val="26"/>
          <w:szCs w:val="26"/>
        </w:rPr>
        <w:t>5</w:t>
      </w:r>
      <w:r w:rsidR="007A612B" w:rsidRPr="005E4852">
        <w:rPr>
          <w:rFonts w:asciiTheme="majorBidi" w:hAnsiTheme="majorBidi" w:cstheme="majorBidi"/>
          <w:sz w:val="26"/>
          <w:szCs w:val="26"/>
        </w:rPr>
        <w:t>88</w:t>
      </w:r>
      <w:r w:rsidR="001B23AC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CF2F0B" w:rsidRPr="005E4852">
        <w:rPr>
          <w:rFonts w:asciiTheme="majorBidi" w:hAnsiTheme="majorBidi" w:cstheme="majorBidi"/>
          <w:sz w:val="26"/>
          <w:szCs w:val="26"/>
        </w:rPr>
        <w:t>million</w:t>
      </w:r>
      <w:r w:rsidR="00382E41" w:rsidRPr="005E4852">
        <w:rPr>
          <w:rFonts w:asciiTheme="majorBidi" w:hAnsiTheme="majorBidi" w:cstheme="majorBidi"/>
          <w:sz w:val="26"/>
          <w:szCs w:val="26"/>
        </w:rPr>
        <w:t>.</w:t>
      </w:r>
      <w:r w:rsidR="00886ABF" w:rsidRPr="005E4852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C059A2" w:rsidRPr="005E4852">
        <w:rPr>
          <w:rFonts w:asciiTheme="majorBidi" w:hAnsiTheme="majorBidi" w:cstheme="majorBidi"/>
          <w:sz w:val="26"/>
          <w:szCs w:val="26"/>
        </w:rPr>
        <w:t>where</w:t>
      </w:r>
      <w:proofErr w:type="gramEnd"/>
      <w:r w:rsidR="00C059A2" w:rsidRPr="005E4852">
        <w:rPr>
          <w:rFonts w:asciiTheme="majorBidi" w:hAnsiTheme="majorBidi" w:cstheme="majorBidi"/>
          <w:sz w:val="26"/>
          <w:szCs w:val="26"/>
        </w:rPr>
        <w:t xml:space="preserve"> the current transfers for the government sector constituted 1</w:t>
      </w:r>
      <w:r w:rsidR="007A612B" w:rsidRPr="005E4852">
        <w:rPr>
          <w:rFonts w:asciiTheme="majorBidi" w:hAnsiTheme="majorBidi" w:cstheme="majorBidi"/>
          <w:sz w:val="26"/>
          <w:szCs w:val="26"/>
        </w:rPr>
        <w:t>7</w:t>
      </w:r>
      <w:r w:rsidR="00C059A2" w:rsidRPr="005E4852">
        <w:rPr>
          <w:rFonts w:asciiTheme="majorBidi" w:hAnsiTheme="majorBidi" w:cstheme="majorBidi"/>
          <w:sz w:val="26"/>
          <w:szCs w:val="26"/>
        </w:rPr>
        <w:t>% of the total transfers from abroad</w:t>
      </w:r>
      <w:r w:rsidR="006D6EEF" w:rsidRPr="005E4852">
        <w:rPr>
          <w:rFonts w:asciiTheme="majorBidi" w:hAnsiTheme="majorBidi" w:cstheme="majorBidi"/>
          <w:sz w:val="26"/>
          <w:szCs w:val="26"/>
        </w:rPr>
        <w:t xml:space="preserve">, while the </w:t>
      </w:r>
      <w:r w:rsidR="00A378CF" w:rsidRPr="005E4852">
        <w:rPr>
          <w:rFonts w:asciiTheme="majorBidi" w:hAnsiTheme="majorBidi" w:cstheme="majorBidi"/>
          <w:sz w:val="26"/>
          <w:szCs w:val="26"/>
        </w:rPr>
        <w:t xml:space="preserve">percentage of the </w:t>
      </w:r>
      <w:r w:rsidR="006D6EEF" w:rsidRPr="005E4852">
        <w:rPr>
          <w:rFonts w:asciiTheme="majorBidi" w:hAnsiTheme="majorBidi" w:cstheme="majorBidi"/>
          <w:sz w:val="26"/>
          <w:szCs w:val="26"/>
        </w:rPr>
        <w:t>transfers to other sectors</w:t>
      </w:r>
      <w:r w:rsidR="001B23AC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A378CF" w:rsidRPr="005E4852">
        <w:rPr>
          <w:rFonts w:asciiTheme="majorBidi" w:hAnsiTheme="majorBidi" w:cstheme="majorBidi"/>
          <w:sz w:val="26"/>
          <w:szCs w:val="26"/>
        </w:rPr>
        <w:t>reached</w:t>
      </w:r>
      <w:r w:rsidR="001B23AC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5E4852">
        <w:rPr>
          <w:rFonts w:asciiTheme="majorBidi" w:hAnsiTheme="majorBidi" w:cstheme="majorBidi"/>
          <w:sz w:val="26"/>
          <w:szCs w:val="26"/>
        </w:rPr>
        <w:t>8</w:t>
      </w:r>
      <w:r w:rsidR="007A612B" w:rsidRPr="005E4852">
        <w:rPr>
          <w:rFonts w:asciiTheme="majorBidi" w:hAnsiTheme="majorBidi" w:cstheme="majorBidi"/>
          <w:sz w:val="26"/>
          <w:szCs w:val="26"/>
        </w:rPr>
        <w:t>3</w:t>
      </w:r>
      <w:r w:rsidR="0068736E" w:rsidRPr="005E4852">
        <w:rPr>
          <w:rFonts w:asciiTheme="majorBidi" w:hAnsiTheme="majorBidi" w:cstheme="majorBidi"/>
          <w:sz w:val="26"/>
          <w:szCs w:val="26"/>
        </w:rPr>
        <w:t>%.  T</w:t>
      </w:r>
      <w:r w:rsidR="006239FE" w:rsidRPr="005E4852">
        <w:rPr>
          <w:rFonts w:asciiTheme="majorBidi" w:hAnsiTheme="majorBidi" w:cstheme="majorBidi"/>
          <w:sz w:val="26"/>
          <w:szCs w:val="26"/>
        </w:rPr>
        <w:t>he donors</w:t>
      </w:r>
      <w:r w:rsidR="00E16D50" w:rsidRPr="005E4852">
        <w:rPr>
          <w:rFonts w:asciiTheme="majorBidi" w:hAnsiTheme="majorBidi" w:cstheme="majorBidi"/>
          <w:sz w:val="26"/>
          <w:szCs w:val="26"/>
        </w:rPr>
        <w:t>’</w:t>
      </w:r>
      <w:r w:rsidR="0017537B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current transfers </w:t>
      </w:r>
      <w:r w:rsidR="00E16D50" w:rsidRPr="005E4852">
        <w:rPr>
          <w:rFonts w:asciiTheme="majorBidi" w:hAnsiTheme="majorBidi" w:cstheme="majorBidi"/>
          <w:sz w:val="26"/>
          <w:szCs w:val="26"/>
        </w:rPr>
        <w:t xml:space="preserve">constituted </w:t>
      </w:r>
      <w:r w:rsidR="007A612B" w:rsidRPr="005E4852">
        <w:rPr>
          <w:rFonts w:asciiTheme="majorBidi" w:hAnsiTheme="majorBidi" w:cstheme="majorBidi"/>
          <w:sz w:val="26"/>
          <w:szCs w:val="26"/>
        </w:rPr>
        <w:t>13</w:t>
      </w:r>
      <w:r w:rsidR="006239FE" w:rsidRPr="005E4852">
        <w:rPr>
          <w:rFonts w:asciiTheme="majorBidi" w:hAnsiTheme="majorBidi" w:cstheme="majorBidi"/>
          <w:sz w:val="26"/>
          <w:szCs w:val="26"/>
        </w:rPr>
        <w:t>% of total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C0487" w:rsidRPr="005E4852">
        <w:rPr>
          <w:rFonts w:asciiTheme="majorBidi" w:hAnsiTheme="majorBidi" w:cstheme="majorBidi"/>
          <w:sz w:val="26"/>
          <w:szCs w:val="26"/>
        </w:rPr>
        <w:t>transfers</w:t>
      </w:r>
      <w:r w:rsidR="00161954" w:rsidRPr="005E4852">
        <w:rPr>
          <w:rFonts w:asciiTheme="majorBidi" w:hAnsiTheme="majorBidi" w:cstheme="majorBidi"/>
          <w:sz w:val="26"/>
          <w:szCs w:val="26"/>
        </w:rPr>
        <w:t xml:space="preserve"> from abroad.</w:t>
      </w:r>
    </w:p>
    <w:p w:rsidR="009812F7" w:rsidRPr="005E4852" w:rsidRDefault="009812F7" w:rsidP="009812F7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86174" w:rsidRPr="005E4852" w:rsidRDefault="00E007BE" w:rsidP="0006541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E4852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5E4852">
        <w:rPr>
          <w:rFonts w:asciiTheme="majorBidi" w:hAnsiTheme="majorBidi" w:cstheme="majorBidi"/>
          <w:sz w:val="26"/>
          <w:szCs w:val="26"/>
        </w:rPr>
        <w:t>preliminary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Pr="005E4852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5E4852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5E4852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5E4852">
        <w:rPr>
          <w:rFonts w:asciiTheme="majorBidi" w:hAnsiTheme="majorBidi" w:cstheme="majorBidi"/>
          <w:sz w:val="26"/>
          <w:szCs w:val="26"/>
        </w:rPr>
        <w:t>ed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to USD </w:t>
      </w:r>
      <w:r w:rsidR="00065419" w:rsidRPr="005E4852">
        <w:rPr>
          <w:rFonts w:asciiTheme="majorBidi" w:hAnsiTheme="majorBidi" w:cstheme="majorBidi"/>
          <w:sz w:val="26"/>
          <w:szCs w:val="26"/>
        </w:rPr>
        <w:t>1</w:t>
      </w:r>
      <w:r w:rsidR="00024CA3" w:rsidRPr="005E4852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065419" w:rsidRPr="005E4852">
        <w:rPr>
          <w:rFonts w:asciiTheme="majorBidi" w:hAnsiTheme="majorBidi" w:cstheme="majorBidi"/>
          <w:sz w:val="26"/>
          <w:szCs w:val="26"/>
        </w:rPr>
        <w:t>b</w:t>
      </w:r>
      <w:r w:rsidR="006239FE" w:rsidRPr="005E4852">
        <w:rPr>
          <w:rFonts w:asciiTheme="majorBidi" w:hAnsiTheme="majorBidi" w:cstheme="majorBidi"/>
          <w:sz w:val="26"/>
          <w:szCs w:val="26"/>
        </w:rPr>
        <w:t>illion</w:t>
      </w:r>
      <w:proofErr w:type="gramEnd"/>
      <w:r w:rsidR="0017537B" w:rsidRPr="005E4852">
        <w:rPr>
          <w:rFonts w:asciiTheme="majorBidi" w:hAnsiTheme="majorBidi" w:cstheme="majorBidi"/>
          <w:sz w:val="26"/>
          <w:szCs w:val="26"/>
        </w:rPr>
        <w:t>,</w:t>
      </w:r>
      <w:r w:rsidR="00024CA3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5E4852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065466" w:rsidRPr="005E4852">
        <w:rPr>
          <w:rFonts w:asciiTheme="majorBidi" w:hAnsiTheme="majorBidi" w:cstheme="majorBidi"/>
          <w:sz w:val="26"/>
          <w:szCs w:val="26"/>
        </w:rPr>
        <w:t>Financial</w:t>
      </w:r>
      <w:r w:rsidR="00BF4821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F17FD5" w:rsidRPr="005E4852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7A612B" w:rsidRPr="005E4852">
        <w:rPr>
          <w:rFonts w:asciiTheme="majorBidi" w:hAnsiTheme="majorBidi" w:cstheme="majorBidi"/>
          <w:sz w:val="26"/>
          <w:szCs w:val="26"/>
        </w:rPr>
        <w:t>901</w:t>
      </w:r>
      <w:r w:rsidR="00F17FD5" w:rsidRPr="005E4852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5E4852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5E4852">
        <w:rPr>
          <w:rFonts w:asciiTheme="majorBidi" w:hAnsiTheme="majorBidi" w:cstheme="majorBidi"/>
          <w:sz w:val="26"/>
          <w:szCs w:val="26"/>
        </w:rPr>
        <w:t xml:space="preserve">There </w:t>
      </w:r>
      <w:r w:rsidRPr="005E4852">
        <w:rPr>
          <w:rFonts w:asciiTheme="majorBidi" w:hAnsiTheme="majorBidi" w:cstheme="majorBidi"/>
          <w:sz w:val="26"/>
          <w:szCs w:val="26"/>
        </w:rPr>
        <w:t>was a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5E4852">
        <w:rPr>
          <w:rFonts w:asciiTheme="majorBidi" w:hAnsiTheme="majorBidi" w:cstheme="majorBidi"/>
          <w:sz w:val="26"/>
          <w:szCs w:val="26"/>
        </w:rPr>
        <w:t>de</w:t>
      </w:r>
      <w:r w:rsidR="00BC6532" w:rsidRPr="005E4852">
        <w:rPr>
          <w:rFonts w:asciiTheme="majorBidi" w:hAnsiTheme="majorBidi" w:cstheme="majorBidi"/>
          <w:sz w:val="26"/>
          <w:szCs w:val="26"/>
        </w:rPr>
        <w:t>crease</w:t>
      </w:r>
      <w:r w:rsidR="00013A84" w:rsidRPr="005E4852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5E4852">
        <w:rPr>
          <w:rFonts w:asciiTheme="majorBidi" w:hAnsiTheme="majorBidi" w:cstheme="majorBidi"/>
          <w:sz w:val="26"/>
          <w:szCs w:val="26"/>
        </w:rPr>
        <w:t>r</w:t>
      </w:r>
      <w:r w:rsidR="001862D7" w:rsidRPr="005E4852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5E4852">
        <w:rPr>
          <w:rFonts w:asciiTheme="majorBidi" w:hAnsiTheme="majorBidi" w:cstheme="majorBidi"/>
          <w:sz w:val="26"/>
          <w:szCs w:val="26"/>
        </w:rPr>
        <w:t>a</w:t>
      </w:r>
      <w:r w:rsidR="001862D7" w:rsidRPr="005E4852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5E4852">
        <w:rPr>
          <w:rFonts w:asciiTheme="majorBidi" w:hAnsiTheme="majorBidi" w:cstheme="majorBidi"/>
          <w:sz w:val="26"/>
          <w:szCs w:val="26"/>
        </w:rPr>
        <w:t>at PMA</w:t>
      </w:r>
      <w:r w:rsidR="006239FE" w:rsidRPr="005E4852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5E4852">
        <w:rPr>
          <w:rFonts w:asciiTheme="majorBidi" w:hAnsiTheme="majorBidi" w:cstheme="majorBidi"/>
          <w:sz w:val="26"/>
          <w:szCs w:val="26"/>
        </w:rPr>
        <w:t>ed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5E4852">
        <w:rPr>
          <w:rFonts w:asciiTheme="majorBidi" w:hAnsiTheme="majorBidi" w:cstheme="majorBidi"/>
          <w:sz w:val="26"/>
          <w:szCs w:val="26"/>
        </w:rPr>
        <w:t>to USD</w:t>
      </w:r>
      <w:r w:rsidR="00024CA3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7A612B" w:rsidRPr="005E4852">
        <w:rPr>
          <w:rFonts w:asciiTheme="majorBidi" w:hAnsiTheme="majorBidi" w:cstheme="majorBidi"/>
          <w:sz w:val="26"/>
          <w:szCs w:val="26"/>
        </w:rPr>
        <w:t>34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5E4852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0C156F" w:rsidRPr="005E4852">
        <w:rPr>
          <w:rFonts w:asciiTheme="majorBidi" w:hAnsiTheme="majorBidi" w:cstheme="majorBidi"/>
          <w:sz w:val="26"/>
          <w:szCs w:val="26"/>
        </w:rPr>
        <w:t>,</w:t>
      </w:r>
      <w:r w:rsidR="0061614B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5E4852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5E4852">
        <w:rPr>
          <w:rFonts w:asciiTheme="majorBidi" w:hAnsiTheme="majorBidi" w:cstheme="majorBidi"/>
          <w:sz w:val="26"/>
          <w:szCs w:val="26"/>
        </w:rPr>
        <w:t>a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7A612B" w:rsidRPr="005E4852">
        <w:rPr>
          <w:rFonts w:asciiTheme="majorBidi" w:hAnsiTheme="majorBidi" w:cstheme="majorBidi"/>
          <w:sz w:val="26"/>
          <w:szCs w:val="26"/>
        </w:rPr>
        <w:t>de</w:t>
      </w:r>
      <w:r w:rsidR="003D5B8B" w:rsidRPr="005E4852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5E4852">
        <w:rPr>
          <w:rFonts w:asciiTheme="majorBidi" w:hAnsiTheme="majorBidi" w:cstheme="majorBidi"/>
          <w:sz w:val="26"/>
          <w:szCs w:val="26"/>
        </w:rPr>
        <w:t>of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5E4852">
        <w:rPr>
          <w:rFonts w:asciiTheme="majorBidi" w:hAnsiTheme="majorBidi" w:cstheme="majorBidi"/>
          <w:sz w:val="26"/>
          <w:szCs w:val="26"/>
        </w:rPr>
        <w:t>USD</w:t>
      </w:r>
      <w:r w:rsidR="00024CA3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5E4852">
        <w:rPr>
          <w:rFonts w:asciiTheme="majorBidi" w:hAnsiTheme="majorBidi" w:cstheme="majorBidi"/>
          <w:sz w:val="26"/>
          <w:szCs w:val="26"/>
        </w:rPr>
        <w:t>9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5E4852">
        <w:rPr>
          <w:rFonts w:asciiTheme="majorBidi" w:hAnsiTheme="majorBidi" w:cstheme="majorBidi"/>
          <w:sz w:val="26"/>
          <w:szCs w:val="26"/>
        </w:rPr>
        <w:t>million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5E4852">
        <w:rPr>
          <w:rFonts w:asciiTheme="majorBidi" w:hAnsiTheme="majorBidi" w:cstheme="majorBidi"/>
          <w:sz w:val="26"/>
          <w:szCs w:val="26"/>
        </w:rPr>
        <w:t>in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Pr="005E4852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5E4852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5E4852">
        <w:rPr>
          <w:rFonts w:asciiTheme="majorBidi" w:hAnsiTheme="majorBidi" w:cstheme="majorBidi"/>
          <w:sz w:val="26"/>
          <w:szCs w:val="26"/>
        </w:rPr>
        <w:t>.</w:t>
      </w:r>
    </w:p>
    <w:p w:rsidR="00591A90" w:rsidRPr="005E4852" w:rsidRDefault="00591A90" w:rsidP="00591A90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F8270B" w:rsidRPr="005E4852" w:rsidRDefault="00F8270B" w:rsidP="003F586E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F8270B" w:rsidRPr="005E4852" w:rsidRDefault="00F8270B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D1601" w:rsidRPr="005E4852" w:rsidRDefault="003F586E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E4852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5E4852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5E4852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5E4852">
        <w:rPr>
          <w:rFonts w:asciiTheme="majorBidi" w:hAnsiTheme="majorBidi" w:cstheme="majorBidi"/>
          <w:sz w:val="26"/>
          <w:szCs w:val="26"/>
        </w:rPr>
        <w:t>B</w:t>
      </w:r>
      <w:r w:rsidR="00C5265D" w:rsidRPr="005E4852">
        <w:rPr>
          <w:rFonts w:asciiTheme="majorBidi" w:hAnsiTheme="majorBidi" w:cstheme="majorBidi"/>
          <w:sz w:val="26"/>
          <w:szCs w:val="26"/>
        </w:rPr>
        <w:t>o</w:t>
      </w:r>
      <w:r w:rsidR="003D6FF3" w:rsidRPr="005E4852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5E4852">
        <w:rPr>
          <w:rFonts w:asciiTheme="majorBidi" w:hAnsiTheme="majorBidi" w:cstheme="majorBidi"/>
          <w:sz w:val="26"/>
          <w:szCs w:val="26"/>
        </w:rPr>
        <w:t xml:space="preserve">) </w:t>
      </w:r>
      <w:proofErr w:type="gramStart"/>
      <w:r w:rsidR="003D6FF3" w:rsidRPr="005E4852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5E4852">
        <w:rPr>
          <w:rStyle w:val="hps"/>
          <w:rFonts w:asciiTheme="majorBidi" w:hAnsiTheme="majorBidi" w:cstheme="majorBidi"/>
          <w:bCs/>
          <w:iCs/>
          <w:sz w:val="26"/>
          <w:szCs w:val="26"/>
        </w:rPr>
        <w:t>used</w:t>
      </w:r>
      <w:proofErr w:type="gramEnd"/>
      <w:r w:rsidR="00E16D50" w:rsidRPr="005E4852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 to determine</w:t>
      </w:r>
      <w:r w:rsidR="003D6FF3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5E4852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5E4852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5E4852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5E4852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5E4852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5E4852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5E4852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5E4852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5E485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5E4852">
        <w:rPr>
          <w:rFonts w:asciiTheme="majorBidi" w:hAnsiTheme="majorBidi" w:cstheme="majorBidi"/>
          <w:sz w:val="26"/>
          <w:szCs w:val="26"/>
        </w:rPr>
        <w:t>This</w:t>
      </w:r>
      <w:r w:rsidR="000042EC" w:rsidRPr="005E4852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5E4852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5E4852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5E4852">
        <w:rPr>
          <w:rFonts w:asciiTheme="majorBidi" w:hAnsiTheme="majorBidi" w:cstheme="majorBidi"/>
          <w:sz w:val="26"/>
          <w:szCs w:val="26"/>
        </w:rPr>
        <w:t>to devise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5E4852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5E4852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5E4852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5E4852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5E4852">
        <w:rPr>
          <w:rFonts w:asciiTheme="majorBidi" w:hAnsiTheme="majorBidi" w:cstheme="majorBidi"/>
          <w:sz w:val="26"/>
          <w:szCs w:val="26"/>
        </w:rPr>
        <w:t>external</w:t>
      </w:r>
      <w:r w:rsidR="00E16D50" w:rsidRPr="005E4852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5E4852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5E4852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5E4852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5E4852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5E4852">
        <w:rPr>
          <w:rFonts w:asciiTheme="majorBidi" w:hAnsiTheme="majorBidi" w:cstheme="majorBidi"/>
          <w:sz w:val="26"/>
          <w:szCs w:val="26"/>
        </w:rPr>
        <w:t>B</w:t>
      </w:r>
      <w:r w:rsidR="00C5265D" w:rsidRPr="005E4852">
        <w:rPr>
          <w:rFonts w:asciiTheme="majorBidi" w:hAnsiTheme="majorBidi" w:cstheme="majorBidi"/>
          <w:sz w:val="26"/>
          <w:szCs w:val="26"/>
        </w:rPr>
        <w:t>o</w:t>
      </w:r>
      <w:r w:rsidR="00F60F15" w:rsidRPr="005E4852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5E4852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5E4852">
        <w:rPr>
          <w:rFonts w:asciiTheme="majorBidi" w:hAnsiTheme="majorBidi" w:cstheme="majorBidi"/>
          <w:sz w:val="26"/>
          <w:szCs w:val="26"/>
        </w:rPr>
        <w:t>was</w:t>
      </w:r>
      <w:r w:rsidR="00F60F15" w:rsidRPr="005E4852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5E4852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5E4852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5E4852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5E4852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5E4852">
        <w:rPr>
          <w:rFonts w:asciiTheme="majorBidi" w:hAnsiTheme="majorBidi" w:cstheme="majorBidi"/>
          <w:sz w:val="26"/>
          <w:szCs w:val="26"/>
        </w:rPr>
        <w:t>situation</w:t>
      </w:r>
      <w:r w:rsidR="00613DED" w:rsidRPr="005E4852">
        <w:rPr>
          <w:rFonts w:asciiTheme="majorBidi" w:hAnsiTheme="majorBidi" w:cstheme="majorBidi"/>
          <w:sz w:val="26"/>
          <w:szCs w:val="26"/>
        </w:rPr>
        <w:t>.</w:t>
      </w:r>
    </w:p>
    <w:p w:rsidR="00613DED" w:rsidRPr="005E4852" w:rsidRDefault="00613DED" w:rsidP="00613DED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F91DCF" w:rsidRPr="00297E85" w:rsidRDefault="00F91DCF" w:rsidP="006352F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CF4A51" w:rsidRPr="00297E85" w:rsidRDefault="00CF4A51" w:rsidP="00CF4A5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CF4A51" w:rsidRPr="00297E85" w:rsidRDefault="00CF4A51" w:rsidP="00CF4A5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E4852" w:rsidRPr="00297E85" w:rsidRDefault="005E4852" w:rsidP="005E485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86DE1" w:rsidRPr="00297E85" w:rsidRDefault="00D86DE1" w:rsidP="00D86DE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86DE1" w:rsidRPr="00297E85" w:rsidRDefault="00D86DE1" w:rsidP="00D86DE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461" w:type="dxa"/>
        <w:tblInd w:w="94" w:type="dxa"/>
        <w:tblLook w:val="04A0" w:firstRow="1" w:lastRow="0" w:firstColumn="1" w:lastColumn="0" w:noHBand="0" w:noVBand="1"/>
      </w:tblPr>
      <w:tblGrid>
        <w:gridCol w:w="9461"/>
      </w:tblGrid>
      <w:tr w:rsidR="00B578D2" w:rsidRPr="00297E85" w:rsidTr="000818C0">
        <w:trPr>
          <w:trHeight w:val="36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297E85" w:rsidRDefault="00B578D2" w:rsidP="007A612B">
            <w:pPr>
              <w:jc w:val="center"/>
              <w:rPr>
                <w:rFonts w:ascii="Arial" w:hAnsi="Arial" w:cs="Arial"/>
                <w:bCs/>
                <w:i w:val="0"/>
              </w:rPr>
            </w:pPr>
            <w:r w:rsidRPr="00297E85">
              <w:rPr>
                <w:rFonts w:ascii="Arial" w:hAnsi="Arial" w:cs="Arial"/>
                <w:bCs/>
                <w:i w:val="0"/>
                <w:sz w:val="22"/>
                <w:szCs w:val="22"/>
              </w:rPr>
              <w:lastRenderedPageBreak/>
              <w:t xml:space="preserve">Table 1: Balance of Payments In Palestine* for the </w:t>
            </w:r>
            <w:r w:rsidR="00515BEE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first </w:t>
            </w:r>
            <w:r w:rsidR="007A612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and second </w:t>
            </w:r>
            <w:r w:rsidR="00515BEE">
              <w:rPr>
                <w:rFonts w:ascii="Arial" w:hAnsi="Arial" w:cs="Arial"/>
                <w:bCs/>
                <w:i w:val="0"/>
                <w:sz w:val="22"/>
                <w:szCs w:val="22"/>
              </w:rPr>
              <w:t>quarter</w:t>
            </w:r>
            <w:r w:rsidR="007A612B">
              <w:rPr>
                <w:rFonts w:ascii="Arial" w:hAnsi="Arial" w:cs="Arial"/>
                <w:bCs/>
                <w:i w:val="0"/>
                <w:sz w:val="22"/>
                <w:szCs w:val="22"/>
              </w:rPr>
              <w:t>s</w:t>
            </w:r>
            <w:r w:rsidR="00515BEE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 2022</w:t>
            </w:r>
          </w:p>
        </w:tc>
      </w:tr>
    </w:tbl>
    <w:p w:rsidR="00B769D0" w:rsidRPr="00297E85" w:rsidRDefault="00B769D0">
      <w:pPr>
        <w:rPr>
          <w:b w:val="0"/>
          <w:bCs/>
          <w:i w:val="0"/>
          <w:iCs/>
          <w:sz w:val="20"/>
          <w:szCs w:val="20"/>
          <w:rtl/>
        </w:rPr>
      </w:pPr>
    </w:p>
    <w:tbl>
      <w:tblPr>
        <w:tblW w:w="7342" w:type="dxa"/>
        <w:jc w:val="center"/>
        <w:tblLook w:val="04A0" w:firstRow="1" w:lastRow="0" w:firstColumn="1" w:lastColumn="0" w:noHBand="0" w:noVBand="1"/>
      </w:tblPr>
      <w:tblGrid>
        <w:gridCol w:w="5237"/>
        <w:gridCol w:w="1042"/>
        <w:gridCol w:w="1063"/>
      </w:tblGrid>
      <w:tr w:rsidR="00297E85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5E4852" w:rsidRDefault="0058621D" w:rsidP="0058621D">
            <w:pPr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</w:pPr>
            <w:r w:rsidRPr="005E4852"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  <w:t>(Value in million USD)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297E85" w:rsidRDefault="0058621D" w:rsidP="0058621D">
            <w:pP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297E85" w:rsidRDefault="0058621D" w:rsidP="0058621D">
            <w:pP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jc w:val="center"/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sz w:val="18"/>
                <w:szCs w:val="18"/>
              </w:rPr>
              <w:t>Indicator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bidi/>
              <w:jc w:val="center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Q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1</w:t>
            </w: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- 202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bidi/>
              <w:jc w:val="center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Q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2</w:t>
            </w: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- 202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2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1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Current account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-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623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-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775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1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Goods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-1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,810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-1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,936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Exports (fob)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622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601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Imports (fob)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2</w:t>
            </w:r>
            <w:r w:rsidRPr="00BB790E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,</w:t>
            </w: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432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2</w:t>
            </w:r>
            <w:r w:rsidRPr="00BB790E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,</w:t>
            </w: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537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1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Services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  <w:rtl/>
              </w:rPr>
            </w:pPr>
            <w:r w:rsidRPr="00BB790E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-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347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  <w:rtl/>
              </w:rPr>
            </w:pPr>
            <w:r w:rsidRPr="00BB790E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-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380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Exports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239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231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Imports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586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611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1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 xml:space="preserve">  Income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987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953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Receipts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1,034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997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Compensation of employees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965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930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 Of which from Israel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  <w:t>952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  <w:t>917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Investment income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69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67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Payments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47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44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 Current transfers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547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588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Inflows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642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682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To the government sector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88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114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of which from Donors transfers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  <w:t>33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  <w:t>61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To the other sectors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554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568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of which from Donors transfers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  <w:t>25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  <w:t>25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Outflows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95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94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Capital and financial account (net)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514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1000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Capital account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103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99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Capital transfers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103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99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 Inflows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103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99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    To the government sector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12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25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 xml:space="preserve">                of which from Donors transfers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  <w:t>12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Cs/>
                <w:sz w:val="18"/>
                <w:szCs w:val="18"/>
              </w:rPr>
              <w:t>25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    To the other sectors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91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74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 Outflows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0</w:t>
            </w:r>
          </w:p>
        </w:tc>
      </w:tr>
      <w:tr w:rsidR="007A612B" w:rsidRPr="00297E85" w:rsidTr="00F140D0">
        <w:trPr>
          <w:trHeight w:val="337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B" w:rsidRPr="00297E85" w:rsidRDefault="007A612B" w:rsidP="007A612B">
            <w:pPr>
              <w:ind w:left="295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Acquisition / disposal of non-Produced, non-financial assets non-financial assets (net)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0</w:t>
            </w:r>
          </w:p>
        </w:tc>
      </w:tr>
    </w:tbl>
    <w:p w:rsidR="00295C09" w:rsidRPr="00297E85" w:rsidRDefault="00295C09">
      <w:pPr>
        <w:rPr>
          <w:b w:val="0"/>
          <w:bCs/>
          <w:i w:val="0"/>
          <w:iCs/>
          <w:sz w:val="20"/>
          <w:szCs w:val="20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E4396" w:rsidRPr="00297E85" w:rsidRDefault="00DE4396" w:rsidP="00DE4396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E4396" w:rsidRPr="00297E85" w:rsidRDefault="00DE4396" w:rsidP="00DE4396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297E85" w:rsidRPr="00297E85" w:rsidTr="00021DB6">
        <w:trPr>
          <w:trHeight w:val="379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8D2" w:rsidRPr="00297E85" w:rsidRDefault="00B578D2" w:rsidP="00021DB6">
            <w:pPr>
              <w:bidi/>
              <w:rPr>
                <w:rFonts w:cs="Simplified Arabic"/>
                <w:bCs/>
                <w:i w:val="0"/>
              </w:rPr>
            </w:pPr>
          </w:p>
        </w:tc>
      </w:tr>
      <w:tr w:rsidR="00B578D2" w:rsidRPr="00297E85" w:rsidTr="00021DB6">
        <w:trPr>
          <w:trHeight w:val="360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297E85" w:rsidRDefault="00B578D2" w:rsidP="007A612B">
            <w:pPr>
              <w:jc w:val="center"/>
              <w:rPr>
                <w:rFonts w:ascii="Arial" w:hAnsi="Arial" w:cs="Arial"/>
                <w:bCs/>
                <w:i w:val="0"/>
              </w:rPr>
            </w:pPr>
            <w:r w:rsidRPr="00297E85">
              <w:rPr>
                <w:rFonts w:ascii="Arial" w:hAnsi="Arial" w:cs="Arial"/>
                <w:bCs/>
                <w:i w:val="0"/>
                <w:sz w:val="22"/>
                <w:szCs w:val="22"/>
              </w:rPr>
              <w:lastRenderedPageBreak/>
              <w:t xml:space="preserve">Table 1 (Cont.): Balance of Payments In Palestine* </w:t>
            </w:r>
            <w:r w:rsidR="00515BEE" w:rsidRPr="00297E85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for the </w:t>
            </w:r>
            <w:r w:rsidR="00515BEE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first </w:t>
            </w:r>
            <w:r w:rsidR="007A612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and second </w:t>
            </w:r>
            <w:r w:rsidR="00515BEE">
              <w:rPr>
                <w:rFonts w:ascii="Arial" w:hAnsi="Arial" w:cs="Arial"/>
                <w:bCs/>
                <w:i w:val="0"/>
                <w:sz w:val="22"/>
                <w:szCs w:val="22"/>
              </w:rPr>
              <w:t>quarter</w:t>
            </w:r>
            <w:r w:rsidR="007A612B">
              <w:rPr>
                <w:rFonts w:ascii="Arial" w:hAnsi="Arial" w:cs="Arial"/>
                <w:bCs/>
                <w:i w:val="0"/>
                <w:sz w:val="22"/>
                <w:szCs w:val="22"/>
              </w:rPr>
              <w:t>s</w:t>
            </w:r>
            <w:r w:rsidR="00515BEE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 2022</w:t>
            </w:r>
          </w:p>
        </w:tc>
      </w:tr>
    </w:tbl>
    <w:p w:rsidR="00BB40CB" w:rsidRPr="00297E85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7064" w:type="dxa"/>
        <w:jc w:val="center"/>
        <w:tblLook w:val="04A0" w:firstRow="1" w:lastRow="0" w:firstColumn="1" w:lastColumn="0" w:noHBand="0" w:noVBand="1"/>
      </w:tblPr>
      <w:tblGrid>
        <w:gridCol w:w="4973"/>
        <w:gridCol w:w="1002"/>
        <w:gridCol w:w="1089"/>
      </w:tblGrid>
      <w:tr w:rsidR="00297E85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5E4852" w:rsidRDefault="0058621D" w:rsidP="0058621D">
            <w:pPr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bookmarkStart w:id="0" w:name="_GoBack" w:colFirst="0" w:colLast="0"/>
            <w:r w:rsidRPr="005E4852">
              <w:rPr>
                <w:rFonts w:ascii="Arial" w:hAnsi="Arial" w:cs="Arial"/>
                <w:i w:val="0"/>
                <w:iCs/>
                <w:sz w:val="18"/>
                <w:szCs w:val="18"/>
              </w:rPr>
              <w:t>(Value in million USD)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21D" w:rsidRPr="00297E85" w:rsidRDefault="0058621D" w:rsidP="0058621D">
            <w:pPr>
              <w:rPr>
                <w:rFonts w:asciiTheme="majorBidi" w:hAnsiTheme="majorBidi" w:cstheme="majorBidi"/>
                <w:b w:val="0"/>
                <w:i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21D" w:rsidRPr="00297E85" w:rsidRDefault="0058621D" w:rsidP="0058621D">
            <w:pPr>
              <w:rPr>
                <w:rFonts w:asciiTheme="majorBidi" w:hAnsiTheme="majorBidi" w:cstheme="majorBidi"/>
                <w:b w:val="0"/>
                <w:i w:val="0"/>
                <w:sz w:val="18"/>
                <w:szCs w:val="18"/>
              </w:rPr>
            </w:pPr>
          </w:p>
        </w:tc>
      </w:tr>
      <w:bookmarkEnd w:id="0"/>
      <w:tr w:rsidR="007A612B" w:rsidRPr="00297E85" w:rsidTr="00F140D0">
        <w:trPr>
          <w:trHeight w:val="64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jc w:val="center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Indicator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B" w:rsidRPr="00297E85" w:rsidRDefault="007A612B" w:rsidP="007A612B">
            <w:pPr>
              <w:bidi/>
              <w:ind w:firstLineChars="9" w:firstLine="16"/>
              <w:jc w:val="center"/>
              <w:rPr>
                <w:rFonts w:asciiTheme="minorBidi" w:hAnsiTheme="minorBidi" w:cstheme="minorBidi"/>
                <w:bCs/>
                <w:i w:val="0"/>
                <w:sz w:val="18"/>
                <w:szCs w:val="18"/>
                <w:rtl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Q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1</w:t>
            </w: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- 202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bidi/>
              <w:ind w:firstLineChars="9" w:firstLine="16"/>
              <w:jc w:val="center"/>
              <w:rPr>
                <w:rFonts w:asciiTheme="minorBidi" w:hAnsiTheme="minorBidi" w:cstheme="minorBidi"/>
                <w:bCs/>
                <w:i w:val="0"/>
                <w:sz w:val="18"/>
                <w:szCs w:val="18"/>
                <w:rtl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Q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2</w:t>
            </w: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- 202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2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Financial account (net)**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B" w:rsidRPr="005162D4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  <w:t>411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5162D4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  <w:t>901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  Foreign Direct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 w:val="0"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 w:val="0"/>
                <w:bCs/>
                <w:sz w:val="18"/>
                <w:szCs w:val="18"/>
                <w:rtl/>
              </w:rPr>
              <w:t>108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investment abroad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C64ABB" w:rsidRDefault="007A612B" w:rsidP="007A612B">
            <w:pPr>
              <w:ind w:firstLineChars="100" w:firstLine="18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C64ABB" w:rsidRDefault="007A612B" w:rsidP="007A612B">
            <w:pPr>
              <w:ind w:firstLineChars="100" w:firstLine="18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investment in Palestine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100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  Foreign  Portfolio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  <w:t>17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  <w:t>157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Assets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-</w:t>
            </w: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100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Liabilities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18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57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  Foreign Other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  <w:t>279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  <w:t>602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Assets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290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659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 xml:space="preserve">            Of which Currency and deposits***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C92D9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i w:val="0"/>
                <w:iCs/>
                <w:sz w:val="18"/>
                <w:szCs w:val="18"/>
                <w:rtl/>
              </w:rPr>
              <w:t>339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12B" w:rsidRPr="00C92D9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i w:val="0"/>
                <w:iCs/>
                <w:sz w:val="18"/>
                <w:szCs w:val="18"/>
                <w:rtl/>
              </w:rPr>
              <w:t>652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Liabilities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-11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-57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 xml:space="preserve">            Of which Loans nonresidents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-4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/>
                <w:i w:val="0"/>
                <w:iCs/>
                <w:sz w:val="18"/>
                <w:szCs w:val="18"/>
                <w:rtl/>
              </w:rPr>
              <w:t>35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 xml:space="preserve">            Of which Currency and deposits****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>-9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>-93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Net errors and omissions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  <w:t>109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i w:val="0"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i w:val="0"/>
                <w:iCs/>
                <w:sz w:val="18"/>
                <w:szCs w:val="18"/>
              </w:rPr>
              <w:t>-225</w:t>
            </w:r>
          </w:p>
        </w:tc>
      </w:tr>
      <w:tr w:rsidR="007A612B" w:rsidRPr="00297E85" w:rsidTr="00F140D0">
        <w:trPr>
          <w:trHeight w:val="406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Overall balance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60210C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60210C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-9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12B" w:rsidRPr="0060210C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60210C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-</w:t>
            </w: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34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Financing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34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Exceptional financing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A612B" w:rsidRPr="00BB790E" w:rsidRDefault="007A612B" w:rsidP="007A612B">
            <w:pPr>
              <w:bidi/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BB790E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0</w:t>
            </w:r>
          </w:p>
        </w:tc>
      </w:tr>
      <w:tr w:rsidR="007A612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B" w:rsidRPr="00297E85" w:rsidRDefault="007A612B" w:rsidP="007A612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Change in Reserve assets (- = Increase/+= decrease)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B" w:rsidRPr="00DD433B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 w:val="0"/>
                <w:bCs/>
                <w:sz w:val="18"/>
                <w:szCs w:val="18"/>
                <w:rtl/>
              </w:rPr>
            </w:pPr>
            <w:r w:rsidRPr="00DD433B">
              <w:rPr>
                <w:rFonts w:asciiTheme="minorBidi" w:hAnsiTheme="minorBidi" w:cstheme="minorBidi" w:hint="cs"/>
                <w:b w:val="0"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B" w:rsidRPr="00DD433B" w:rsidRDefault="007A612B" w:rsidP="007A612B">
            <w:pPr>
              <w:bidi/>
              <w:ind w:firstLineChars="100" w:firstLine="181"/>
              <w:rPr>
                <w:rFonts w:asciiTheme="minorBidi" w:hAnsiTheme="minorBidi" w:cstheme="minorBidi"/>
                <w:b w:val="0"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/>
                <w:sz w:val="18"/>
                <w:szCs w:val="18"/>
                <w:rtl/>
              </w:rPr>
              <w:t>34</w:t>
            </w:r>
          </w:p>
        </w:tc>
      </w:tr>
    </w:tbl>
    <w:p w:rsidR="00021DB6" w:rsidRPr="00297E85" w:rsidRDefault="00021DB6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7541" w:type="dxa"/>
        <w:jc w:val="center"/>
        <w:tblLayout w:type="fixed"/>
        <w:tblLook w:val="0000" w:firstRow="0" w:lastRow="0" w:firstColumn="0" w:lastColumn="0" w:noHBand="0" w:noVBand="0"/>
      </w:tblPr>
      <w:tblGrid>
        <w:gridCol w:w="7541"/>
      </w:tblGrid>
      <w:tr w:rsidR="00297E85" w:rsidRPr="00297E85" w:rsidTr="00327CC3">
        <w:trPr>
          <w:trHeight w:val="594"/>
          <w:jc w:val="center"/>
        </w:trPr>
        <w:tc>
          <w:tcPr>
            <w:tcW w:w="9836" w:type="dxa"/>
            <w:vAlign w:val="center"/>
          </w:tcPr>
          <w:p w:rsidR="00327CC3" w:rsidRPr="00297E85" w:rsidRDefault="00327CC3" w:rsidP="00327CC3">
            <w:pPr>
              <w:pStyle w:val="FootnoteText"/>
              <w:rPr>
                <w:b w:val="0"/>
                <w:bCs/>
                <w:i w:val="0"/>
                <w:iCs/>
                <w:noProof/>
                <w:sz w:val="18"/>
                <w:szCs w:val="18"/>
              </w:rPr>
            </w:pPr>
            <w:r w:rsidRPr="00297E85">
              <w:rPr>
                <w:b w:val="0"/>
                <w:bCs/>
                <w:i w:val="0"/>
                <w:iCs/>
                <w:noProof/>
                <w:sz w:val="18"/>
                <w:szCs w:val="18"/>
              </w:rPr>
              <w:t>*The data excludes those part of Jerusalem which were annexed by Israeli occupation in 1967.</w:t>
            </w:r>
          </w:p>
        </w:tc>
      </w:tr>
      <w:tr w:rsidR="00297E85" w:rsidRPr="00297E85" w:rsidTr="00327CC3">
        <w:trPr>
          <w:trHeight w:val="288"/>
          <w:jc w:val="center"/>
        </w:trPr>
        <w:tc>
          <w:tcPr>
            <w:tcW w:w="9836" w:type="dxa"/>
            <w:vAlign w:val="center"/>
          </w:tcPr>
          <w:p w:rsidR="00327CC3" w:rsidRPr="00297E85" w:rsidRDefault="00327CC3" w:rsidP="00327CC3">
            <w:pPr>
              <w:ind w:left="24" w:hanging="24"/>
              <w:jc w:val="lowKashida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b w:val="0"/>
                <w:bCs/>
                <w:i w:val="0"/>
                <w:iCs/>
                <w:sz w:val="18"/>
                <w:szCs w:val="18"/>
              </w:rPr>
              <w:t>** Include reserve assets.</w:t>
            </w:r>
          </w:p>
        </w:tc>
      </w:tr>
      <w:tr w:rsidR="00297E85" w:rsidRPr="00297E85" w:rsidTr="00327CC3">
        <w:trPr>
          <w:trHeight w:val="288"/>
          <w:jc w:val="center"/>
        </w:trPr>
        <w:tc>
          <w:tcPr>
            <w:tcW w:w="9836" w:type="dxa"/>
            <w:vAlign w:val="center"/>
          </w:tcPr>
          <w:p w:rsidR="00327CC3" w:rsidRPr="00297E85" w:rsidRDefault="00327CC3" w:rsidP="00C916C6">
            <w:pPr>
              <w:ind w:left="27"/>
              <w:jc w:val="lowKashida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b w:val="0"/>
                <w:bCs/>
                <w:i w:val="0"/>
                <w:iCs/>
                <w:sz w:val="18"/>
                <w:szCs w:val="18"/>
              </w:rPr>
              <w:t xml:space="preserve">***Currency and deposits: Including the cash of foreign currency in the banks and the deposits </w:t>
            </w:r>
          </w:p>
          <w:p w:rsidR="00327CC3" w:rsidRPr="00297E85" w:rsidRDefault="00327CC3" w:rsidP="00C916C6">
            <w:pPr>
              <w:ind w:left="27"/>
              <w:jc w:val="lowKashida"/>
              <w:rPr>
                <w:b w:val="0"/>
                <w:bCs/>
                <w:i w:val="0"/>
                <w:iCs/>
                <w:sz w:val="18"/>
                <w:szCs w:val="18"/>
                <w:rtl/>
                <w:lang w:val="en-GB"/>
              </w:rPr>
            </w:pPr>
            <w:proofErr w:type="gramStart"/>
            <w:r w:rsidRPr="00297E85">
              <w:rPr>
                <w:b w:val="0"/>
                <w:bCs/>
                <w:i w:val="0"/>
                <w:iCs/>
                <w:sz w:val="18"/>
                <w:szCs w:val="18"/>
              </w:rPr>
              <w:t>of</w:t>
            </w:r>
            <w:proofErr w:type="gramEnd"/>
            <w:r w:rsidRPr="00297E85">
              <w:rPr>
                <w:b w:val="0"/>
                <w:bCs/>
                <w:i w:val="0"/>
                <w:iCs/>
                <w:sz w:val="18"/>
                <w:szCs w:val="18"/>
              </w:rPr>
              <w:t xml:space="preserve"> the Palestinian institutions deposited abroad.</w:t>
            </w:r>
          </w:p>
        </w:tc>
      </w:tr>
      <w:tr w:rsidR="00327CC3" w:rsidRPr="00297E85" w:rsidTr="00327CC3">
        <w:trPr>
          <w:trHeight w:val="340"/>
          <w:jc w:val="center"/>
        </w:trPr>
        <w:tc>
          <w:tcPr>
            <w:tcW w:w="9836" w:type="dxa"/>
            <w:vAlign w:val="center"/>
          </w:tcPr>
          <w:p w:rsidR="00327CC3" w:rsidRPr="00297E85" w:rsidRDefault="00327CC3" w:rsidP="00A234E7">
            <w:pPr>
              <w:ind w:left="27" w:right="209"/>
              <w:jc w:val="lowKashida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b w:val="0"/>
                <w:bCs/>
                <w:i w:val="0"/>
                <w:iCs/>
                <w:sz w:val="18"/>
                <w:szCs w:val="18"/>
              </w:rPr>
              <w:t>****Currency and deposits: Includes the deposits of non-residents deposited in Local banks.</w:t>
            </w:r>
          </w:p>
        </w:tc>
      </w:tr>
    </w:tbl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B578D2" w:rsidRPr="00297E85" w:rsidSect="00132B71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EC" w:rsidRDefault="00385FEC" w:rsidP="00885BEC">
      <w:r>
        <w:separator/>
      </w:r>
    </w:p>
  </w:endnote>
  <w:endnote w:type="continuationSeparator" w:id="0">
    <w:p w:rsidR="00385FEC" w:rsidRDefault="00385FEC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243935"/>
      <w:docPartObj>
        <w:docPartGallery w:val="Page Numbers (Bottom of Page)"/>
        <w:docPartUnique/>
      </w:docPartObj>
    </w:sdtPr>
    <w:sdtContent>
      <w:p w:rsidR="005E4852" w:rsidRDefault="005E4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4852" w:rsidRDefault="005E4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EC" w:rsidRDefault="00385FEC" w:rsidP="00885BEC">
      <w:r>
        <w:separator/>
      </w:r>
    </w:p>
  </w:footnote>
  <w:footnote w:type="continuationSeparator" w:id="0">
    <w:p w:rsidR="00385FEC" w:rsidRDefault="00385FEC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19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5FEC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50B29"/>
    <w:rsid w:val="00451315"/>
    <w:rsid w:val="004531AA"/>
    <w:rsid w:val="00453BCE"/>
    <w:rsid w:val="00454F9D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908D8"/>
    <w:rsid w:val="004920F5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5E85"/>
    <w:rsid w:val="005D76C7"/>
    <w:rsid w:val="005E1B65"/>
    <w:rsid w:val="005E2862"/>
    <w:rsid w:val="005E2897"/>
    <w:rsid w:val="005E3128"/>
    <w:rsid w:val="005E34DD"/>
    <w:rsid w:val="005E3A8E"/>
    <w:rsid w:val="005E4852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2DC7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6B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655A9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7904-AFD1-4027-A531-9F783EFB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LOAY SHEHADEH</cp:lastModifiedBy>
  <cp:revision>3</cp:revision>
  <cp:lastPrinted>2022-09-26T11:26:00Z</cp:lastPrinted>
  <dcterms:created xsi:type="dcterms:W3CDTF">2022-09-26T11:26:00Z</dcterms:created>
  <dcterms:modified xsi:type="dcterms:W3CDTF">2022-09-26T11:28:00Z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