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55" w:rsidRPr="00DA6D55" w:rsidRDefault="00DA6D55" w:rsidP="00DA6D55">
      <w:pPr>
        <w:jc w:val="center"/>
        <w:rPr>
          <w:rFonts w:asciiTheme="majorBidi" w:hAnsiTheme="majorBidi" w:cstheme="majorBidi"/>
          <w:b/>
          <w:bCs/>
          <w:sz w:val="32"/>
          <w:szCs w:val="32"/>
          <w:rtl/>
        </w:rPr>
      </w:pPr>
      <w:r w:rsidRPr="00DA6D55">
        <w:rPr>
          <w:b/>
          <w:bCs/>
          <w:color w:val="000000"/>
          <w:sz w:val="32"/>
          <w:szCs w:val="32"/>
        </w:rPr>
        <w:t>Palestinian Central Bureau of Statistics (PCBS)</w:t>
      </w:r>
    </w:p>
    <w:p w:rsidR="00DA6D55" w:rsidRPr="00DA6D55" w:rsidRDefault="00DA6D55" w:rsidP="00DA6D55">
      <w:pPr>
        <w:jc w:val="center"/>
        <w:rPr>
          <w:rFonts w:asciiTheme="majorBidi" w:hAnsiTheme="majorBidi" w:cstheme="majorBidi"/>
          <w:b/>
          <w:bCs/>
          <w:sz w:val="16"/>
          <w:szCs w:val="16"/>
        </w:rPr>
      </w:pPr>
    </w:p>
    <w:p w:rsidR="00DA6D55" w:rsidRPr="00DA6D55" w:rsidRDefault="00DA6D55" w:rsidP="00DA6D55">
      <w:pPr>
        <w:jc w:val="center"/>
        <w:rPr>
          <w:rFonts w:asciiTheme="majorBidi" w:hAnsiTheme="majorBidi" w:cstheme="majorBidi"/>
          <w:b/>
          <w:bCs/>
          <w:sz w:val="32"/>
          <w:szCs w:val="32"/>
        </w:rPr>
      </w:pPr>
      <w:r w:rsidRPr="00DA6D55">
        <w:rPr>
          <w:rFonts w:asciiTheme="majorBidi" w:hAnsiTheme="majorBidi" w:cstheme="majorBidi"/>
          <w:b/>
          <w:bCs/>
          <w:sz w:val="32"/>
          <w:szCs w:val="32"/>
        </w:rPr>
        <w:t xml:space="preserve"> </w:t>
      </w:r>
      <w:r w:rsidRPr="00DA6D55">
        <w:rPr>
          <w:b/>
          <w:bCs/>
          <w:sz w:val="32"/>
          <w:szCs w:val="32"/>
        </w:rPr>
        <w:t>Press Release</w:t>
      </w:r>
      <w:r w:rsidRPr="00DA6D55">
        <w:rPr>
          <w:rFonts w:asciiTheme="majorBidi" w:hAnsiTheme="majorBidi" w:cstheme="majorBidi"/>
          <w:b/>
          <w:bCs/>
          <w:sz w:val="32"/>
          <w:szCs w:val="32"/>
        </w:rPr>
        <w:t xml:space="preserve"> On the Eve of International Literacy Day, 8</w:t>
      </w:r>
      <w:r w:rsidRPr="00DA6D55">
        <w:rPr>
          <w:rFonts w:asciiTheme="majorBidi" w:hAnsiTheme="majorBidi" w:cstheme="majorBidi"/>
          <w:b/>
          <w:bCs/>
          <w:sz w:val="32"/>
          <w:szCs w:val="32"/>
          <w:vertAlign w:val="superscript"/>
        </w:rPr>
        <w:t>th</w:t>
      </w:r>
      <w:r w:rsidRPr="00DA6D55">
        <w:rPr>
          <w:rFonts w:asciiTheme="majorBidi" w:hAnsiTheme="majorBidi" w:cstheme="majorBidi"/>
          <w:b/>
          <w:bCs/>
          <w:sz w:val="32"/>
          <w:szCs w:val="32"/>
        </w:rPr>
        <w:t xml:space="preserve"> September</w:t>
      </w:r>
    </w:p>
    <w:p w:rsidR="00DA6D55" w:rsidRPr="00DA6D55" w:rsidRDefault="00DA6D55" w:rsidP="00DA6D55">
      <w:pPr>
        <w:jc w:val="center"/>
        <w:rPr>
          <w:rFonts w:asciiTheme="majorBidi" w:hAnsiTheme="majorBidi" w:cstheme="majorBidi"/>
          <w:color w:val="FF0000"/>
        </w:rPr>
      </w:pPr>
    </w:p>
    <w:p w:rsidR="00DA6D55" w:rsidRPr="00DA6D55" w:rsidRDefault="00DA6D55" w:rsidP="00DA6D55">
      <w:pPr>
        <w:jc w:val="both"/>
        <w:rPr>
          <w:rFonts w:asciiTheme="majorBidi" w:hAnsiTheme="majorBidi" w:cstheme="majorBidi"/>
        </w:rPr>
      </w:pPr>
      <w:r w:rsidRPr="00DA6D55">
        <w:rPr>
          <w:rFonts w:asciiTheme="majorBidi" w:hAnsiTheme="majorBidi" w:cstheme="majorBidi"/>
        </w:rPr>
        <w:t>On the eve of the International Literacy Day, 8</w:t>
      </w:r>
      <w:r w:rsidRPr="00DA6D55">
        <w:rPr>
          <w:rFonts w:asciiTheme="majorBidi" w:hAnsiTheme="majorBidi" w:cstheme="majorBidi"/>
          <w:vertAlign w:val="superscript"/>
        </w:rPr>
        <w:t>th</w:t>
      </w:r>
      <w:r w:rsidRPr="00DA6D55">
        <w:rPr>
          <w:rFonts w:asciiTheme="majorBidi" w:hAnsiTheme="majorBidi" w:cstheme="majorBidi"/>
        </w:rPr>
        <w:t xml:space="preserve"> September 2016, the President of Palestinian Central Bureau of Statistics announced that there were about 94 thousands illiterate persons in Palestine aged 15 years and above in 2015. According to the United Nations for Educational, Scientific and Cultural Organization (UNESCO) – the illiterate person applies to persons unable to read and write with understanding a simple statement related to one’s daily life.</w:t>
      </w:r>
    </w:p>
    <w:p w:rsidR="00DA6D55" w:rsidRPr="00DA6D55" w:rsidRDefault="00DA6D55" w:rsidP="00DA6D55">
      <w:pPr>
        <w:jc w:val="both"/>
        <w:rPr>
          <w:rFonts w:asciiTheme="majorBidi" w:hAnsiTheme="majorBidi" w:cstheme="majorBidi"/>
          <w:sz w:val="16"/>
          <w:szCs w:val="16"/>
          <w:rtl/>
        </w:rPr>
      </w:pPr>
      <w:r w:rsidRPr="00DA6D55">
        <w:rPr>
          <w:rFonts w:asciiTheme="majorBidi" w:hAnsiTheme="majorBidi" w:cstheme="majorBidi"/>
          <w:sz w:val="16"/>
          <w:szCs w:val="16"/>
        </w:rPr>
        <w:t xml:space="preserve"> </w:t>
      </w:r>
    </w:p>
    <w:p w:rsidR="00DA6D55" w:rsidRPr="00DA6D55" w:rsidRDefault="00DA6D55" w:rsidP="00DA6D55">
      <w:pPr>
        <w:jc w:val="lowKashida"/>
        <w:rPr>
          <w:rFonts w:asciiTheme="majorBidi" w:hAnsiTheme="majorBidi" w:cstheme="majorBidi"/>
          <w:b/>
          <w:bCs/>
          <w:sz w:val="25"/>
          <w:szCs w:val="25"/>
        </w:rPr>
      </w:pPr>
      <w:r w:rsidRPr="00DA6D55">
        <w:rPr>
          <w:rFonts w:asciiTheme="majorBidi" w:hAnsiTheme="majorBidi" w:cstheme="majorBidi"/>
          <w:b/>
          <w:bCs/>
          <w:sz w:val="25"/>
          <w:szCs w:val="25"/>
        </w:rPr>
        <w:t>The illiteracy rate among females is about three and a half times that of males</w:t>
      </w:r>
    </w:p>
    <w:p w:rsidR="00DA6D55" w:rsidRPr="00DA6D55" w:rsidRDefault="00DA6D55" w:rsidP="00DA6D55">
      <w:pPr>
        <w:jc w:val="lowKashida"/>
        <w:rPr>
          <w:rFonts w:asciiTheme="majorBidi" w:hAnsiTheme="majorBidi" w:cstheme="majorBidi"/>
          <w:color w:val="FF0000"/>
        </w:rPr>
      </w:pPr>
      <w:r w:rsidRPr="00DA6D55">
        <w:rPr>
          <w:rFonts w:asciiTheme="majorBidi" w:hAnsiTheme="majorBidi" w:cstheme="majorBidi"/>
        </w:rPr>
        <w:t>In 2015, the illiteracy rate among persons 15 years and above in Palestine was 3.3% (93,843 illiterate): 3.5% in the West Bank (63,105 illiterate) and 3.0% in Gaza Strip (30,738 illiterate). The illiteracy rate varies considerably between sexes: 1.5% for males (21,814 illiterate) compared to 5.1% for females (72,029 illiterate) in the same year.</w:t>
      </w:r>
      <w:r w:rsidRPr="00DA6D55">
        <w:rPr>
          <w:rFonts w:asciiTheme="majorBidi" w:hAnsiTheme="majorBidi" w:cstheme="majorBidi"/>
          <w:color w:val="FF0000"/>
        </w:rPr>
        <w:t xml:space="preserve">  </w:t>
      </w:r>
    </w:p>
    <w:p w:rsidR="00DA6D55" w:rsidRPr="00DA6D55" w:rsidRDefault="00DA6D55" w:rsidP="00DA6D55">
      <w:pPr>
        <w:jc w:val="both"/>
        <w:rPr>
          <w:rFonts w:asciiTheme="majorBidi" w:hAnsiTheme="majorBidi" w:cstheme="majorBidi"/>
        </w:rPr>
      </w:pPr>
      <w:r w:rsidRPr="00DA6D55">
        <w:rPr>
          <w:rFonts w:asciiTheme="majorBidi" w:hAnsiTheme="majorBidi" w:cstheme="majorBidi"/>
        </w:rPr>
        <w:t>In 2015, the illiteracy rate among older persons aged 65 years and above attained 38.6% (52,463 illiterate). The rate was 4.4% in the 45-64 year age group (22,881 illiterate), 1.1% in the 30-44 year age group (8,984 illiterate) and 0.7% among young people aged between 15-29 years (9,515 illiterate) in the same year.</w:t>
      </w:r>
    </w:p>
    <w:p w:rsidR="00DA6D55" w:rsidRPr="00DA6D55" w:rsidRDefault="00DA6D55" w:rsidP="00DA6D55">
      <w:pPr>
        <w:jc w:val="both"/>
        <w:rPr>
          <w:rFonts w:asciiTheme="majorBidi" w:hAnsiTheme="majorBidi" w:cstheme="majorBidi"/>
          <w:sz w:val="16"/>
          <w:szCs w:val="16"/>
        </w:rPr>
      </w:pPr>
    </w:p>
    <w:p w:rsidR="00DA6D55" w:rsidRPr="00DA6D55" w:rsidRDefault="00DA6D55" w:rsidP="00DA6D55">
      <w:pPr>
        <w:jc w:val="both"/>
        <w:rPr>
          <w:rFonts w:asciiTheme="majorBidi" w:hAnsiTheme="majorBidi" w:cstheme="majorBidi"/>
          <w:b/>
          <w:bCs/>
          <w:sz w:val="25"/>
          <w:szCs w:val="25"/>
        </w:rPr>
      </w:pPr>
      <w:r w:rsidRPr="00DA6D55">
        <w:rPr>
          <w:rFonts w:asciiTheme="majorBidi" w:hAnsiTheme="majorBidi" w:cstheme="majorBidi"/>
          <w:b/>
          <w:bCs/>
          <w:sz w:val="25"/>
          <w:szCs w:val="25"/>
        </w:rPr>
        <w:t>More than half of illiterates are elderly</w:t>
      </w:r>
    </w:p>
    <w:p w:rsidR="00DA6D55" w:rsidRPr="00DA6D55" w:rsidRDefault="00DA6D55" w:rsidP="00DA6D55">
      <w:pPr>
        <w:jc w:val="both"/>
        <w:rPr>
          <w:rFonts w:asciiTheme="majorBidi" w:hAnsiTheme="majorBidi" w:cstheme="majorBidi"/>
        </w:rPr>
      </w:pPr>
      <w:r w:rsidRPr="00DA6D55">
        <w:rPr>
          <w:rFonts w:asciiTheme="majorBidi" w:hAnsiTheme="majorBidi" w:cstheme="majorBidi"/>
          <w:color w:val="222222"/>
        </w:rPr>
        <w:t>Around 56% of illiterate persons are aged 65 years and over, while the lowest rate is among persons aged 30-44 years.</w:t>
      </w:r>
    </w:p>
    <w:p w:rsidR="00DA6D55" w:rsidRDefault="00DA6D55" w:rsidP="00DA6D55">
      <w:pPr>
        <w:spacing w:line="360" w:lineRule="exact"/>
        <w:jc w:val="center"/>
        <w:rPr>
          <w:rFonts w:asciiTheme="majorBidi" w:hAnsiTheme="majorBidi" w:cstheme="majorBidi"/>
          <w:b/>
          <w:bCs/>
          <w:sz w:val="16"/>
          <w:szCs w:val="16"/>
        </w:rPr>
      </w:pPr>
      <w:r w:rsidRPr="00DA6D55">
        <w:rPr>
          <w:rFonts w:asciiTheme="majorBidi" w:hAnsiTheme="majorBidi" w:cstheme="majorBidi"/>
          <w:b/>
          <w:bCs/>
          <w:sz w:val="25"/>
          <w:szCs w:val="25"/>
        </w:rPr>
        <w:t>Percentage distribution for illiterate persons (15 years and above) by year age group,  2015</w:t>
      </w:r>
    </w:p>
    <w:p w:rsidR="00962EDB" w:rsidRPr="00962EDB" w:rsidRDefault="00962EDB" w:rsidP="00962EDB">
      <w:pPr>
        <w:spacing w:line="360" w:lineRule="exact"/>
        <w:rPr>
          <w:rFonts w:asciiTheme="majorBidi" w:hAnsiTheme="majorBidi" w:cstheme="majorBidi"/>
          <w:b/>
          <w:bCs/>
          <w:sz w:val="16"/>
          <w:szCs w:val="16"/>
        </w:rPr>
      </w:pPr>
    </w:p>
    <w:p w:rsidR="00DA6D55" w:rsidRPr="00DA6D55" w:rsidRDefault="00DA6D55" w:rsidP="00DA6D55">
      <w:pPr>
        <w:tabs>
          <w:tab w:val="left" w:pos="-48"/>
        </w:tabs>
        <w:jc w:val="center"/>
        <w:rPr>
          <w:rFonts w:asciiTheme="majorBidi" w:hAnsiTheme="majorBidi" w:cstheme="majorBidi"/>
          <w:rtl/>
        </w:rPr>
      </w:pPr>
      <w:r w:rsidRPr="00DA6D55">
        <w:rPr>
          <w:rFonts w:asciiTheme="majorBidi" w:hAnsiTheme="majorBidi" w:cstheme="majorBidi"/>
          <w:noProof/>
          <w:rtl/>
        </w:rPr>
        <w:drawing>
          <wp:inline distT="0" distB="0" distL="0" distR="0">
            <wp:extent cx="2816225" cy="1657350"/>
            <wp:effectExtent l="19050" t="0" r="22225"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A6D55" w:rsidRPr="00DA6D55" w:rsidRDefault="00DA6D55" w:rsidP="00DA6D55">
      <w:pPr>
        <w:spacing w:line="360" w:lineRule="exact"/>
        <w:jc w:val="lowKashida"/>
        <w:rPr>
          <w:rFonts w:asciiTheme="majorBidi" w:hAnsiTheme="majorBidi" w:cstheme="majorBidi"/>
          <w:color w:val="FF0000"/>
          <w:sz w:val="16"/>
          <w:szCs w:val="16"/>
        </w:rPr>
      </w:pPr>
    </w:p>
    <w:p w:rsidR="00DA6D55" w:rsidRPr="00DA6D55" w:rsidRDefault="00DA6D55" w:rsidP="00DA6D55">
      <w:pPr>
        <w:jc w:val="both"/>
        <w:rPr>
          <w:rFonts w:asciiTheme="majorBidi" w:hAnsiTheme="majorBidi" w:cstheme="majorBidi"/>
          <w:b/>
          <w:bCs/>
          <w:sz w:val="25"/>
          <w:szCs w:val="25"/>
        </w:rPr>
      </w:pPr>
      <w:r w:rsidRPr="00DA6D55">
        <w:rPr>
          <w:rFonts w:asciiTheme="majorBidi" w:hAnsiTheme="majorBidi" w:cstheme="majorBidi"/>
          <w:b/>
          <w:bCs/>
          <w:sz w:val="25"/>
          <w:szCs w:val="25"/>
          <w:lang w:bidi="ar-EG"/>
        </w:rPr>
        <w:t xml:space="preserve">The illiteracy rate is the highest in rural areas </w:t>
      </w:r>
      <w:r w:rsidRPr="00DA6D55">
        <w:rPr>
          <w:rFonts w:asciiTheme="majorBidi" w:hAnsiTheme="majorBidi" w:cstheme="majorBidi"/>
          <w:b/>
          <w:bCs/>
          <w:sz w:val="25"/>
          <w:szCs w:val="25"/>
        </w:rPr>
        <w:t>compared to other localities</w:t>
      </w:r>
    </w:p>
    <w:p w:rsidR="00DA6D55" w:rsidRDefault="00DA6D55" w:rsidP="00DA6D55">
      <w:pPr>
        <w:jc w:val="both"/>
        <w:rPr>
          <w:rFonts w:asciiTheme="majorBidi" w:hAnsiTheme="majorBidi" w:cstheme="majorBidi"/>
        </w:rPr>
      </w:pPr>
      <w:r w:rsidRPr="00DA6D55">
        <w:rPr>
          <w:rFonts w:asciiTheme="majorBidi" w:hAnsiTheme="majorBidi" w:cstheme="majorBidi"/>
        </w:rPr>
        <w:t>In 2015, the illiteracy rate among rural localities reached 4.8% (25,086 illiterate), while scored 3.0% (60,600 illiterate) in urban areas and 3.0% (8,157 illiterate) in the refugee camps. In 2015, the male illiteracy rate was highest in rural localities, followed by urban areas and refugee camps respectively. Female illiteracy rate was highest in rural localities, followed by refugee camps and urban areas respectively.</w:t>
      </w:r>
    </w:p>
    <w:p w:rsidR="00962EDB" w:rsidRPr="00962EDB" w:rsidRDefault="00962EDB" w:rsidP="00DA6D55">
      <w:pPr>
        <w:jc w:val="both"/>
        <w:rPr>
          <w:rFonts w:asciiTheme="majorBidi" w:hAnsiTheme="majorBidi" w:cstheme="majorBidi"/>
          <w:sz w:val="16"/>
          <w:szCs w:val="16"/>
        </w:rPr>
      </w:pPr>
    </w:p>
    <w:p w:rsidR="00DA6D55" w:rsidRPr="00DA6D55" w:rsidRDefault="00DA6D55" w:rsidP="00DA6D55">
      <w:pPr>
        <w:spacing w:line="360" w:lineRule="exact"/>
        <w:jc w:val="center"/>
        <w:rPr>
          <w:rFonts w:asciiTheme="majorBidi" w:hAnsiTheme="majorBidi" w:cstheme="majorBidi"/>
          <w:b/>
          <w:bCs/>
          <w:sz w:val="25"/>
          <w:szCs w:val="25"/>
        </w:rPr>
      </w:pPr>
      <w:r w:rsidRPr="00DA6D55">
        <w:rPr>
          <w:rFonts w:asciiTheme="majorBidi" w:hAnsiTheme="majorBidi" w:cstheme="majorBidi"/>
          <w:b/>
          <w:bCs/>
          <w:sz w:val="25"/>
          <w:szCs w:val="25"/>
        </w:rPr>
        <w:t>Illiteracy rate for persons (15 years and above) in Palestine by locality type and sex, 2015</w:t>
      </w:r>
    </w:p>
    <w:p w:rsidR="00DA6D55" w:rsidRPr="00DA6D55" w:rsidRDefault="00DA6D55" w:rsidP="00DA6D55">
      <w:pPr>
        <w:jc w:val="both"/>
        <w:rPr>
          <w:rFonts w:asciiTheme="majorBidi" w:hAnsiTheme="majorBidi" w:cstheme="majorBidi"/>
          <w:sz w:val="16"/>
          <w:szCs w:val="16"/>
        </w:rPr>
      </w:pPr>
    </w:p>
    <w:p w:rsidR="00DA6D55" w:rsidRPr="00DA6D55" w:rsidRDefault="00DA6D55" w:rsidP="00DA6D55">
      <w:pPr>
        <w:jc w:val="center"/>
        <w:rPr>
          <w:rFonts w:asciiTheme="majorBidi" w:hAnsiTheme="majorBidi" w:cstheme="majorBidi"/>
        </w:rPr>
      </w:pPr>
      <w:r w:rsidRPr="00DA6D55">
        <w:rPr>
          <w:rFonts w:asciiTheme="majorBidi" w:hAnsiTheme="majorBidi" w:cstheme="majorBidi"/>
          <w:noProof/>
        </w:rPr>
        <w:drawing>
          <wp:inline distT="0" distB="0" distL="0" distR="0">
            <wp:extent cx="2942590" cy="1466850"/>
            <wp:effectExtent l="19050" t="0" r="1016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6D55" w:rsidRDefault="00DA6D55" w:rsidP="00DA6D55">
      <w:pPr>
        <w:jc w:val="lowKashida"/>
        <w:rPr>
          <w:rFonts w:asciiTheme="majorBidi" w:hAnsiTheme="majorBidi" w:cstheme="majorBidi"/>
        </w:rPr>
      </w:pPr>
    </w:p>
    <w:p w:rsidR="00DA6D55" w:rsidRPr="00DA6D55" w:rsidRDefault="00DA6D55" w:rsidP="00DA6D55">
      <w:pPr>
        <w:jc w:val="lowKashida"/>
        <w:rPr>
          <w:rFonts w:asciiTheme="majorBidi" w:hAnsiTheme="majorBidi" w:cstheme="majorBidi"/>
          <w:b/>
          <w:bCs/>
          <w:sz w:val="25"/>
          <w:szCs w:val="25"/>
        </w:rPr>
      </w:pPr>
      <w:r w:rsidRPr="00DA6D55">
        <w:rPr>
          <w:rFonts w:asciiTheme="majorBidi" w:hAnsiTheme="majorBidi" w:cstheme="majorBidi"/>
          <w:b/>
          <w:bCs/>
          <w:sz w:val="25"/>
          <w:szCs w:val="25"/>
        </w:rPr>
        <w:t xml:space="preserve">The highest illiteracy rate was in Tubas and </w:t>
      </w:r>
      <w:proofErr w:type="spellStart"/>
      <w:r w:rsidRPr="00DA6D55">
        <w:rPr>
          <w:rFonts w:asciiTheme="majorBidi" w:hAnsiTheme="majorBidi" w:cstheme="majorBidi"/>
          <w:b/>
          <w:bCs/>
          <w:sz w:val="25"/>
          <w:szCs w:val="25"/>
        </w:rPr>
        <w:t>Salfit</w:t>
      </w:r>
      <w:proofErr w:type="spellEnd"/>
      <w:r w:rsidRPr="00DA6D55">
        <w:rPr>
          <w:rFonts w:asciiTheme="majorBidi" w:hAnsiTheme="majorBidi" w:cstheme="majorBidi"/>
          <w:b/>
          <w:bCs/>
          <w:sz w:val="25"/>
          <w:szCs w:val="25"/>
        </w:rPr>
        <w:t xml:space="preserve"> Governorates</w:t>
      </w:r>
    </w:p>
    <w:p w:rsidR="00DA6D55" w:rsidRDefault="00DA6D55" w:rsidP="00DA6D55">
      <w:pPr>
        <w:jc w:val="both"/>
        <w:rPr>
          <w:rFonts w:asciiTheme="majorBidi" w:hAnsiTheme="majorBidi" w:cstheme="majorBidi"/>
        </w:rPr>
      </w:pPr>
      <w:r w:rsidRPr="00DA6D55">
        <w:rPr>
          <w:rFonts w:asciiTheme="majorBidi" w:hAnsiTheme="majorBidi" w:cstheme="majorBidi"/>
        </w:rPr>
        <w:t xml:space="preserve">In 2015, the highest illiteracy rate among persons aged 15 years and above was in Tubas and </w:t>
      </w:r>
      <w:proofErr w:type="spellStart"/>
      <w:r w:rsidRPr="00DA6D55">
        <w:rPr>
          <w:rFonts w:asciiTheme="majorBidi" w:hAnsiTheme="majorBidi" w:cstheme="majorBidi"/>
        </w:rPr>
        <w:t>Salfit</w:t>
      </w:r>
      <w:proofErr w:type="spellEnd"/>
      <w:r w:rsidRPr="00DA6D55">
        <w:rPr>
          <w:rFonts w:asciiTheme="majorBidi" w:hAnsiTheme="majorBidi" w:cstheme="majorBidi"/>
        </w:rPr>
        <w:t xml:space="preserve"> governorates, scoring 4.7% (1,991 illiterate) in Tubas governorate and (2,102 illiterate) in </w:t>
      </w:r>
      <w:proofErr w:type="spellStart"/>
      <w:r w:rsidRPr="00DA6D55">
        <w:rPr>
          <w:rFonts w:asciiTheme="majorBidi" w:hAnsiTheme="majorBidi" w:cstheme="majorBidi"/>
        </w:rPr>
        <w:t>Salfit</w:t>
      </w:r>
      <w:proofErr w:type="spellEnd"/>
      <w:r w:rsidRPr="00DA6D55">
        <w:rPr>
          <w:rFonts w:asciiTheme="majorBidi" w:hAnsiTheme="majorBidi" w:cstheme="majorBidi"/>
        </w:rPr>
        <w:t xml:space="preserve"> governorate. The lowest rate was in Gaza and North Gaza governorates with 2.7% (9,728 illiterate) in Gaza governorate and (5,579 illiterate) in North Gaza governorate.</w:t>
      </w:r>
    </w:p>
    <w:p w:rsidR="00962EDB" w:rsidRPr="00962EDB" w:rsidRDefault="00962EDB" w:rsidP="00DA6D55">
      <w:pPr>
        <w:jc w:val="both"/>
        <w:rPr>
          <w:rFonts w:asciiTheme="majorBidi" w:hAnsiTheme="majorBidi" w:cstheme="majorBidi"/>
          <w:sz w:val="16"/>
          <w:szCs w:val="16"/>
        </w:rPr>
      </w:pPr>
    </w:p>
    <w:p w:rsidR="00962EDB" w:rsidRDefault="00DA6D55" w:rsidP="00962EDB">
      <w:pPr>
        <w:spacing w:line="360" w:lineRule="exact"/>
        <w:jc w:val="center"/>
        <w:rPr>
          <w:rFonts w:asciiTheme="majorBidi" w:hAnsiTheme="majorBidi" w:cstheme="majorBidi"/>
          <w:b/>
          <w:bCs/>
          <w:sz w:val="8"/>
          <w:szCs w:val="8"/>
        </w:rPr>
      </w:pPr>
      <w:r w:rsidRPr="00DA6D55">
        <w:rPr>
          <w:rFonts w:asciiTheme="majorBidi" w:hAnsiTheme="majorBidi" w:cstheme="majorBidi"/>
          <w:b/>
          <w:bCs/>
          <w:sz w:val="25"/>
          <w:szCs w:val="25"/>
        </w:rPr>
        <w:t>Illiteracy rate for persons (15 years and above) by governorate, 2015</w:t>
      </w:r>
    </w:p>
    <w:p w:rsidR="00962EDB" w:rsidRPr="00EE5ACB" w:rsidRDefault="00962EDB" w:rsidP="00962EDB">
      <w:pPr>
        <w:spacing w:line="360" w:lineRule="exact"/>
        <w:rPr>
          <w:rFonts w:asciiTheme="majorBidi" w:hAnsiTheme="majorBidi" w:cstheme="majorBidi"/>
          <w:b/>
          <w:bCs/>
          <w:sz w:val="16"/>
          <w:szCs w:val="16"/>
          <w:rtl/>
        </w:rPr>
      </w:pPr>
    </w:p>
    <w:tbl>
      <w:tblPr>
        <w:tblW w:w="5326" w:type="dxa"/>
        <w:jc w:val="center"/>
        <w:tblInd w:w="-238" w:type="dxa"/>
        <w:tblBorders>
          <w:top w:val="single" w:sz="12" w:space="0" w:color="008000"/>
          <w:bottom w:val="single" w:sz="12" w:space="0" w:color="008000"/>
        </w:tblBorders>
        <w:tblLook w:val="0000"/>
      </w:tblPr>
      <w:tblGrid>
        <w:gridCol w:w="1890"/>
        <w:gridCol w:w="900"/>
        <w:gridCol w:w="1440"/>
        <w:gridCol w:w="1096"/>
      </w:tblGrid>
      <w:tr w:rsidR="00DA6D55" w:rsidRPr="00DA6D55" w:rsidTr="00EE5ACB">
        <w:trPr>
          <w:jc w:val="center"/>
        </w:trPr>
        <w:tc>
          <w:tcPr>
            <w:tcW w:w="1890"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tl/>
              </w:rPr>
            </w:pPr>
            <w:r w:rsidRPr="00DA6D55">
              <w:rPr>
                <w:rFonts w:asciiTheme="majorBidi" w:hAnsiTheme="majorBidi" w:cstheme="majorBidi"/>
                <w:color w:val="000000"/>
              </w:rPr>
              <w:t>Governorate</w:t>
            </w:r>
          </w:p>
        </w:tc>
        <w:tc>
          <w:tcPr>
            <w:tcW w:w="900" w:type="dxa"/>
            <w:tcBorders>
              <w:top w:val="single" w:sz="12" w:space="0" w:color="auto"/>
              <w:left w:val="single" w:sz="12" w:space="0" w:color="auto"/>
              <w:bottom w:val="single" w:sz="12" w:space="0" w:color="auto"/>
              <w:right w:val="double" w:sz="4" w:space="0" w:color="auto"/>
            </w:tcBorders>
            <w:vAlign w:val="center"/>
          </w:tcPr>
          <w:p w:rsidR="00DA6D55" w:rsidRPr="00DA6D55" w:rsidRDefault="00DA6D55" w:rsidP="00F401B2">
            <w:pPr>
              <w:pStyle w:val="Heading4"/>
              <w:rPr>
                <w:rFonts w:asciiTheme="majorBidi" w:hAnsiTheme="majorBidi" w:cstheme="majorBidi"/>
                <w:b w:val="0"/>
                <w:bCs w:val="0"/>
                <w:color w:val="000000"/>
                <w:sz w:val="24"/>
                <w:szCs w:val="24"/>
                <w:rtl/>
              </w:rPr>
            </w:pPr>
            <w:r w:rsidRPr="00DA6D55">
              <w:rPr>
                <w:rFonts w:asciiTheme="majorBidi" w:hAnsiTheme="majorBidi" w:cstheme="majorBidi"/>
                <w:b w:val="0"/>
                <w:bCs w:val="0"/>
                <w:color w:val="000000"/>
                <w:sz w:val="24"/>
                <w:szCs w:val="24"/>
              </w:rPr>
              <w:t>Rate</w:t>
            </w:r>
          </w:p>
        </w:tc>
        <w:tc>
          <w:tcPr>
            <w:tcW w:w="1440" w:type="dxa"/>
            <w:tcBorders>
              <w:top w:val="single" w:sz="12" w:space="0" w:color="auto"/>
              <w:left w:val="double" w:sz="4"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tl/>
              </w:rPr>
            </w:pPr>
            <w:r w:rsidRPr="00DA6D55">
              <w:rPr>
                <w:rFonts w:asciiTheme="majorBidi" w:hAnsiTheme="majorBidi" w:cstheme="majorBidi"/>
                <w:color w:val="000000"/>
              </w:rPr>
              <w:t>Governorate</w:t>
            </w:r>
          </w:p>
        </w:tc>
        <w:tc>
          <w:tcPr>
            <w:tcW w:w="1096"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pStyle w:val="Heading4"/>
              <w:rPr>
                <w:rFonts w:asciiTheme="majorBidi" w:hAnsiTheme="majorBidi" w:cstheme="majorBidi"/>
                <w:b w:val="0"/>
                <w:bCs w:val="0"/>
                <w:color w:val="000000"/>
                <w:sz w:val="24"/>
                <w:szCs w:val="24"/>
                <w:rtl/>
              </w:rPr>
            </w:pPr>
            <w:r w:rsidRPr="00DA6D55">
              <w:rPr>
                <w:rFonts w:asciiTheme="majorBidi" w:hAnsiTheme="majorBidi" w:cstheme="majorBidi"/>
                <w:b w:val="0"/>
                <w:bCs w:val="0"/>
                <w:color w:val="000000"/>
                <w:sz w:val="24"/>
                <w:szCs w:val="24"/>
              </w:rPr>
              <w:t>Rate</w:t>
            </w:r>
          </w:p>
        </w:tc>
      </w:tr>
      <w:tr w:rsidR="00DA6D55" w:rsidRPr="00DA6D55" w:rsidTr="00EE5ACB">
        <w:trPr>
          <w:jc w:val="center"/>
        </w:trPr>
        <w:tc>
          <w:tcPr>
            <w:tcW w:w="1890"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r w:rsidRPr="00DA6D55">
              <w:rPr>
                <w:rFonts w:asciiTheme="majorBidi" w:hAnsiTheme="majorBidi" w:cstheme="majorBidi"/>
                <w:color w:val="000000"/>
              </w:rPr>
              <w:t>Tubas</w:t>
            </w:r>
          </w:p>
        </w:tc>
        <w:tc>
          <w:tcPr>
            <w:tcW w:w="900" w:type="dxa"/>
            <w:tcBorders>
              <w:top w:val="single" w:sz="12" w:space="0" w:color="auto"/>
              <w:left w:val="single" w:sz="12" w:space="0" w:color="auto"/>
              <w:bottom w:val="single" w:sz="12" w:space="0" w:color="auto"/>
              <w:right w:val="double" w:sz="4"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4.7</w:t>
            </w:r>
          </w:p>
        </w:tc>
        <w:tc>
          <w:tcPr>
            <w:tcW w:w="1440" w:type="dxa"/>
            <w:tcBorders>
              <w:top w:val="single" w:sz="12" w:space="0" w:color="auto"/>
              <w:left w:val="double" w:sz="4"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r w:rsidRPr="00DA6D55">
              <w:rPr>
                <w:rFonts w:asciiTheme="majorBidi" w:hAnsiTheme="majorBidi" w:cstheme="majorBidi"/>
              </w:rPr>
              <w:t>Bethlehem</w:t>
            </w:r>
          </w:p>
        </w:tc>
        <w:tc>
          <w:tcPr>
            <w:tcW w:w="1096"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3.3</w:t>
            </w:r>
          </w:p>
        </w:tc>
      </w:tr>
      <w:tr w:rsidR="00DA6D55" w:rsidRPr="00DA6D55" w:rsidTr="00EE5ACB">
        <w:trPr>
          <w:jc w:val="center"/>
        </w:trPr>
        <w:tc>
          <w:tcPr>
            <w:tcW w:w="1890"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proofErr w:type="spellStart"/>
            <w:r w:rsidRPr="00DA6D55">
              <w:rPr>
                <w:rFonts w:asciiTheme="majorBidi" w:hAnsiTheme="majorBidi" w:cstheme="majorBidi"/>
                <w:color w:val="000000"/>
              </w:rPr>
              <w:t>Salfit</w:t>
            </w:r>
            <w:proofErr w:type="spellEnd"/>
          </w:p>
        </w:tc>
        <w:tc>
          <w:tcPr>
            <w:tcW w:w="900" w:type="dxa"/>
            <w:tcBorders>
              <w:top w:val="single" w:sz="12" w:space="0" w:color="auto"/>
              <w:left w:val="single" w:sz="12" w:space="0" w:color="auto"/>
              <w:bottom w:val="single" w:sz="12" w:space="0" w:color="auto"/>
              <w:right w:val="double" w:sz="4"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4.7</w:t>
            </w:r>
          </w:p>
        </w:tc>
        <w:tc>
          <w:tcPr>
            <w:tcW w:w="1440" w:type="dxa"/>
            <w:tcBorders>
              <w:top w:val="single" w:sz="12" w:space="0" w:color="auto"/>
              <w:left w:val="double" w:sz="4"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proofErr w:type="spellStart"/>
            <w:r w:rsidRPr="00DA6D55">
              <w:rPr>
                <w:rFonts w:asciiTheme="majorBidi" w:hAnsiTheme="majorBidi" w:cstheme="majorBidi"/>
              </w:rPr>
              <w:t>Qalqilya</w:t>
            </w:r>
            <w:proofErr w:type="spellEnd"/>
          </w:p>
        </w:tc>
        <w:tc>
          <w:tcPr>
            <w:tcW w:w="1096"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3.2</w:t>
            </w:r>
          </w:p>
        </w:tc>
      </w:tr>
      <w:tr w:rsidR="00DA6D55" w:rsidRPr="00DA6D55" w:rsidTr="00EE5ACB">
        <w:trPr>
          <w:jc w:val="center"/>
        </w:trPr>
        <w:tc>
          <w:tcPr>
            <w:tcW w:w="1890"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rPr>
            </w:pPr>
            <w:r w:rsidRPr="00DA6D55">
              <w:rPr>
                <w:rFonts w:asciiTheme="majorBidi" w:hAnsiTheme="majorBidi" w:cstheme="majorBidi"/>
              </w:rPr>
              <w:t xml:space="preserve">Jericho and Al </w:t>
            </w:r>
            <w:proofErr w:type="spellStart"/>
            <w:r w:rsidRPr="00DA6D55">
              <w:rPr>
                <w:rFonts w:asciiTheme="majorBidi" w:hAnsiTheme="majorBidi" w:cstheme="majorBidi"/>
              </w:rPr>
              <w:t>Aghwar</w:t>
            </w:r>
            <w:proofErr w:type="spellEnd"/>
          </w:p>
        </w:tc>
        <w:tc>
          <w:tcPr>
            <w:tcW w:w="900" w:type="dxa"/>
            <w:tcBorders>
              <w:top w:val="single" w:sz="12" w:space="0" w:color="auto"/>
              <w:left w:val="single" w:sz="12" w:space="0" w:color="auto"/>
              <w:bottom w:val="single" w:sz="12" w:space="0" w:color="auto"/>
              <w:right w:val="double" w:sz="4"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4.1</w:t>
            </w:r>
          </w:p>
        </w:tc>
        <w:tc>
          <w:tcPr>
            <w:tcW w:w="1440" w:type="dxa"/>
            <w:tcBorders>
              <w:top w:val="single" w:sz="12" w:space="0" w:color="auto"/>
              <w:left w:val="double" w:sz="4"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r w:rsidRPr="00DA6D55">
              <w:rPr>
                <w:rFonts w:asciiTheme="majorBidi" w:hAnsiTheme="majorBidi" w:cstheme="majorBidi"/>
              </w:rPr>
              <w:t>Jerusalem</w:t>
            </w:r>
          </w:p>
        </w:tc>
        <w:tc>
          <w:tcPr>
            <w:tcW w:w="1096"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3.1</w:t>
            </w:r>
          </w:p>
        </w:tc>
      </w:tr>
      <w:tr w:rsidR="00DA6D55" w:rsidRPr="00DA6D55" w:rsidTr="00EE5ACB">
        <w:trPr>
          <w:jc w:val="center"/>
        </w:trPr>
        <w:tc>
          <w:tcPr>
            <w:tcW w:w="1890"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r w:rsidRPr="00DA6D55">
              <w:rPr>
                <w:rFonts w:asciiTheme="majorBidi" w:hAnsiTheme="majorBidi" w:cstheme="majorBidi"/>
                <w:color w:val="000000"/>
              </w:rPr>
              <w:t>Ramallah and Al-</w:t>
            </w:r>
            <w:proofErr w:type="spellStart"/>
            <w:r w:rsidRPr="00DA6D55">
              <w:rPr>
                <w:rFonts w:asciiTheme="majorBidi" w:hAnsiTheme="majorBidi" w:cstheme="majorBidi"/>
                <w:color w:val="000000"/>
              </w:rPr>
              <w:t>Bireh</w:t>
            </w:r>
            <w:proofErr w:type="spellEnd"/>
          </w:p>
        </w:tc>
        <w:tc>
          <w:tcPr>
            <w:tcW w:w="900" w:type="dxa"/>
            <w:tcBorders>
              <w:top w:val="single" w:sz="12" w:space="0" w:color="auto"/>
              <w:left w:val="single" w:sz="12" w:space="0" w:color="auto"/>
              <w:bottom w:val="single" w:sz="12" w:space="0" w:color="auto"/>
              <w:right w:val="double" w:sz="4"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4.0</w:t>
            </w:r>
          </w:p>
        </w:tc>
        <w:tc>
          <w:tcPr>
            <w:tcW w:w="1440" w:type="dxa"/>
            <w:tcBorders>
              <w:top w:val="single" w:sz="12" w:space="0" w:color="auto"/>
              <w:left w:val="double" w:sz="4"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proofErr w:type="spellStart"/>
            <w:r w:rsidRPr="00DA6D55">
              <w:rPr>
                <w:rFonts w:asciiTheme="majorBidi" w:hAnsiTheme="majorBidi" w:cstheme="majorBidi"/>
              </w:rPr>
              <w:t>Tulkarm</w:t>
            </w:r>
            <w:proofErr w:type="spellEnd"/>
          </w:p>
        </w:tc>
        <w:tc>
          <w:tcPr>
            <w:tcW w:w="1096"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3.1</w:t>
            </w:r>
          </w:p>
        </w:tc>
      </w:tr>
      <w:tr w:rsidR="00DA6D55" w:rsidRPr="00DA6D55" w:rsidTr="00EE5ACB">
        <w:trPr>
          <w:jc w:val="center"/>
        </w:trPr>
        <w:tc>
          <w:tcPr>
            <w:tcW w:w="1890"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r w:rsidRPr="00DA6D55">
              <w:rPr>
                <w:rFonts w:asciiTheme="majorBidi" w:hAnsiTheme="majorBidi" w:cstheme="majorBidi"/>
                <w:color w:val="000000"/>
              </w:rPr>
              <w:t>Hebron</w:t>
            </w:r>
          </w:p>
        </w:tc>
        <w:tc>
          <w:tcPr>
            <w:tcW w:w="900" w:type="dxa"/>
            <w:tcBorders>
              <w:top w:val="single" w:sz="12" w:space="0" w:color="auto"/>
              <w:left w:val="single" w:sz="12" w:space="0" w:color="auto"/>
              <w:bottom w:val="single" w:sz="12" w:space="0" w:color="auto"/>
              <w:right w:val="double" w:sz="4"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3.7</w:t>
            </w:r>
          </w:p>
        </w:tc>
        <w:tc>
          <w:tcPr>
            <w:tcW w:w="1440" w:type="dxa"/>
            <w:tcBorders>
              <w:top w:val="single" w:sz="12" w:space="0" w:color="auto"/>
              <w:left w:val="double" w:sz="4"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proofErr w:type="spellStart"/>
            <w:r w:rsidRPr="00DA6D55">
              <w:rPr>
                <w:rFonts w:asciiTheme="majorBidi" w:hAnsiTheme="majorBidi" w:cstheme="majorBidi"/>
              </w:rPr>
              <w:t>Deir</w:t>
            </w:r>
            <w:proofErr w:type="spellEnd"/>
            <w:r w:rsidRPr="00DA6D55">
              <w:rPr>
                <w:rFonts w:asciiTheme="majorBidi" w:hAnsiTheme="majorBidi" w:cstheme="majorBidi"/>
              </w:rPr>
              <w:t xml:space="preserve"> Al-</w:t>
            </w:r>
            <w:proofErr w:type="spellStart"/>
            <w:r w:rsidRPr="00DA6D55">
              <w:rPr>
                <w:rFonts w:asciiTheme="majorBidi" w:hAnsiTheme="majorBidi" w:cstheme="majorBidi"/>
              </w:rPr>
              <w:t>Balah</w:t>
            </w:r>
            <w:proofErr w:type="spellEnd"/>
          </w:p>
        </w:tc>
        <w:tc>
          <w:tcPr>
            <w:tcW w:w="1096"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2.8</w:t>
            </w:r>
          </w:p>
        </w:tc>
      </w:tr>
      <w:tr w:rsidR="00DA6D55" w:rsidRPr="00DA6D55" w:rsidTr="00EE5ACB">
        <w:trPr>
          <w:jc w:val="center"/>
        </w:trPr>
        <w:tc>
          <w:tcPr>
            <w:tcW w:w="1890"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proofErr w:type="spellStart"/>
            <w:r w:rsidRPr="00DA6D55">
              <w:rPr>
                <w:rFonts w:asciiTheme="majorBidi" w:hAnsiTheme="majorBidi" w:cstheme="majorBidi"/>
                <w:color w:val="000000"/>
              </w:rPr>
              <w:t>Rafah</w:t>
            </w:r>
            <w:proofErr w:type="spellEnd"/>
          </w:p>
        </w:tc>
        <w:tc>
          <w:tcPr>
            <w:tcW w:w="900" w:type="dxa"/>
            <w:tcBorders>
              <w:top w:val="single" w:sz="12" w:space="0" w:color="auto"/>
              <w:left w:val="single" w:sz="12" w:space="0" w:color="auto"/>
              <w:bottom w:val="single" w:sz="12" w:space="0" w:color="auto"/>
              <w:right w:val="double" w:sz="4"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3.6</w:t>
            </w:r>
          </w:p>
        </w:tc>
        <w:tc>
          <w:tcPr>
            <w:tcW w:w="1440" w:type="dxa"/>
            <w:tcBorders>
              <w:top w:val="single" w:sz="12" w:space="0" w:color="auto"/>
              <w:left w:val="double" w:sz="4"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proofErr w:type="spellStart"/>
            <w:r w:rsidRPr="00DA6D55">
              <w:rPr>
                <w:rFonts w:asciiTheme="majorBidi" w:hAnsiTheme="majorBidi" w:cstheme="majorBidi"/>
              </w:rPr>
              <w:t>Jenin</w:t>
            </w:r>
            <w:proofErr w:type="spellEnd"/>
          </w:p>
        </w:tc>
        <w:tc>
          <w:tcPr>
            <w:tcW w:w="1096"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2.8</w:t>
            </w:r>
          </w:p>
        </w:tc>
      </w:tr>
      <w:tr w:rsidR="00DA6D55" w:rsidRPr="00DA6D55" w:rsidTr="00EE5ACB">
        <w:trPr>
          <w:jc w:val="center"/>
        </w:trPr>
        <w:tc>
          <w:tcPr>
            <w:tcW w:w="1890"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r w:rsidRPr="00DA6D55">
              <w:rPr>
                <w:rFonts w:asciiTheme="majorBidi" w:hAnsiTheme="majorBidi" w:cstheme="majorBidi"/>
              </w:rPr>
              <w:t xml:space="preserve">Khan </w:t>
            </w:r>
            <w:proofErr w:type="spellStart"/>
            <w:r w:rsidRPr="00DA6D55">
              <w:rPr>
                <w:rFonts w:asciiTheme="majorBidi" w:hAnsiTheme="majorBidi" w:cstheme="majorBidi"/>
              </w:rPr>
              <w:t>Yunis</w:t>
            </w:r>
            <w:proofErr w:type="spellEnd"/>
          </w:p>
        </w:tc>
        <w:tc>
          <w:tcPr>
            <w:tcW w:w="900" w:type="dxa"/>
            <w:tcBorders>
              <w:top w:val="single" w:sz="12" w:space="0" w:color="auto"/>
              <w:left w:val="single" w:sz="12" w:space="0" w:color="auto"/>
              <w:bottom w:val="single" w:sz="12" w:space="0" w:color="auto"/>
              <w:right w:val="double" w:sz="4"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3.5</w:t>
            </w:r>
          </w:p>
        </w:tc>
        <w:tc>
          <w:tcPr>
            <w:tcW w:w="1440" w:type="dxa"/>
            <w:tcBorders>
              <w:top w:val="single" w:sz="12" w:space="0" w:color="auto"/>
              <w:left w:val="double" w:sz="4"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r w:rsidRPr="00DA6D55">
              <w:rPr>
                <w:rFonts w:asciiTheme="majorBidi" w:hAnsiTheme="majorBidi" w:cstheme="majorBidi"/>
              </w:rPr>
              <w:t>Gaza</w:t>
            </w:r>
          </w:p>
        </w:tc>
        <w:tc>
          <w:tcPr>
            <w:tcW w:w="1096"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2.7</w:t>
            </w:r>
          </w:p>
        </w:tc>
      </w:tr>
      <w:tr w:rsidR="00DA6D55" w:rsidRPr="00DA6D55" w:rsidTr="00EE5ACB">
        <w:trPr>
          <w:jc w:val="center"/>
        </w:trPr>
        <w:tc>
          <w:tcPr>
            <w:tcW w:w="1890"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r w:rsidRPr="00DA6D55">
              <w:rPr>
                <w:rFonts w:asciiTheme="majorBidi" w:hAnsiTheme="majorBidi" w:cstheme="majorBidi"/>
                <w:color w:val="000000"/>
              </w:rPr>
              <w:t>Nablus</w:t>
            </w:r>
          </w:p>
        </w:tc>
        <w:tc>
          <w:tcPr>
            <w:tcW w:w="900" w:type="dxa"/>
            <w:tcBorders>
              <w:top w:val="single" w:sz="12" w:space="0" w:color="auto"/>
              <w:left w:val="single" w:sz="12" w:space="0" w:color="auto"/>
              <w:bottom w:val="single" w:sz="12" w:space="0" w:color="auto"/>
              <w:right w:val="double" w:sz="4"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3.4</w:t>
            </w:r>
          </w:p>
        </w:tc>
        <w:tc>
          <w:tcPr>
            <w:tcW w:w="1440" w:type="dxa"/>
            <w:tcBorders>
              <w:top w:val="single" w:sz="12" w:space="0" w:color="auto"/>
              <w:left w:val="double" w:sz="4" w:space="0" w:color="auto"/>
              <w:bottom w:val="single" w:sz="12" w:space="0" w:color="auto"/>
              <w:right w:val="single" w:sz="12" w:space="0" w:color="auto"/>
            </w:tcBorders>
            <w:vAlign w:val="center"/>
          </w:tcPr>
          <w:p w:rsidR="00DA6D55" w:rsidRPr="00DA6D55" w:rsidRDefault="00DA6D55" w:rsidP="00F401B2">
            <w:pPr>
              <w:rPr>
                <w:rFonts w:asciiTheme="majorBidi" w:hAnsiTheme="majorBidi" w:cstheme="majorBidi"/>
                <w:color w:val="000000"/>
              </w:rPr>
            </w:pPr>
            <w:r w:rsidRPr="00DA6D55">
              <w:rPr>
                <w:rFonts w:asciiTheme="majorBidi" w:hAnsiTheme="majorBidi" w:cstheme="majorBidi"/>
              </w:rPr>
              <w:t>North Gaza</w:t>
            </w:r>
          </w:p>
        </w:tc>
        <w:tc>
          <w:tcPr>
            <w:tcW w:w="1096" w:type="dxa"/>
            <w:tcBorders>
              <w:top w:val="single" w:sz="12" w:space="0" w:color="auto"/>
              <w:left w:val="single" w:sz="12" w:space="0" w:color="auto"/>
              <w:bottom w:val="single" w:sz="12" w:space="0" w:color="auto"/>
              <w:right w:val="single" w:sz="12" w:space="0" w:color="auto"/>
            </w:tcBorders>
            <w:vAlign w:val="center"/>
          </w:tcPr>
          <w:p w:rsidR="00DA6D55" w:rsidRPr="00DA6D55" w:rsidRDefault="00DA6D55" w:rsidP="00F401B2">
            <w:pPr>
              <w:jc w:val="center"/>
              <w:rPr>
                <w:rFonts w:asciiTheme="majorBidi" w:hAnsiTheme="majorBidi" w:cstheme="majorBidi"/>
                <w:color w:val="000000"/>
              </w:rPr>
            </w:pPr>
            <w:r w:rsidRPr="00DA6D55">
              <w:rPr>
                <w:rFonts w:asciiTheme="majorBidi" w:hAnsiTheme="majorBidi" w:cstheme="majorBidi"/>
                <w:color w:val="000000"/>
              </w:rPr>
              <w:t>2.7</w:t>
            </w:r>
          </w:p>
        </w:tc>
      </w:tr>
    </w:tbl>
    <w:p w:rsidR="00DA6D55" w:rsidRPr="00DA6D55" w:rsidRDefault="00DA6D55" w:rsidP="00DA6D55">
      <w:pPr>
        <w:jc w:val="both"/>
        <w:rPr>
          <w:rFonts w:asciiTheme="majorBidi" w:hAnsiTheme="majorBidi" w:cstheme="majorBidi"/>
          <w:sz w:val="16"/>
          <w:szCs w:val="16"/>
        </w:rPr>
      </w:pPr>
    </w:p>
    <w:p w:rsidR="00DA6D55" w:rsidRPr="00DA6D55" w:rsidRDefault="00DA6D55" w:rsidP="00DA6D55">
      <w:pPr>
        <w:pStyle w:val="BodyText2"/>
        <w:jc w:val="both"/>
        <w:rPr>
          <w:rFonts w:asciiTheme="majorBidi" w:hAnsiTheme="majorBidi" w:cstheme="majorBidi"/>
          <w:b w:val="0"/>
          <w:bCs w:val="0"/>
          <w:sz w:val="24"/>
          <w:szCs w:val="24"/>
        </w:rPr>
      </w:pPr>
      <w:r w:rsidRPr="00DA6D55">
        <w:rPr>
          <w:rFonts w:asciiTheme="majorBidi" w:hAnsiTheme="majorBidi" w:cstheme="majorBidi"/>
          <w:b w:val="0"/>
          <w:bCs w:val="0"/>
          <w:sz w:val="24"/>
          <w:szCs w:val="24"/>
        </w:rPr>
        <w:t>The illiteracy rates reduced in Palestine from 13.9% in 1997 to 3.3% in 2015</w:t>
      </w:r>
    </w:p>
    <w:p w:rsidR="00DA6D55" w:rsidRPr="00DA6D55" w:rsidRDefault="00DA6D55" w:rsidP="00DA6D55">
      <w:pPr>
        <w:jc w:val="both"/>
        <w:rPr>
          <w:rFonts w:asciiTheme="majorBidi" w:hAnsiTheme="majorBidi" w:cstheme="majorBidi"/>
          <w:lang w:bidi="ar-EG"/>
        </w:rPr>
      </w:pPr>
      <w:r w:rsidRPr="00DA6D55">
        <w:rPr>
          <w:rFonts w:asciiTheme="majorBidi" w:hAnsiTheme="majorBidi" w:cstheme="majorBidi"/>
        </w:rPr>
        <w:t>Illiteracy rates among persons aged 15 years and above in Palestine fell in the period 1997-2015 from 13.9% to 3.3%. For males, the rate fell from 7.8% in 1997 to 1.5% in 2015, while for females it fell from 20.3% to 5.1% over</w:t>
      </w:r>
      <w:bookmarkStart w:id="0" w:name="_GoBack"/>
      <w:bookmarkEnd w:id="0"/>
      <w:r w:rsidRPr="00DA6D55">
        <w:rPr>
          <w:rFonts w:asciiTheme="majorBidi" w:hAnsiTheme="majorBidi" w:cstheme="majorBidi"/>
        </w:rPr>
        <w:t xml:space="preserve"> the same period</w:t>
      </w:r>
      <w:r w:rsidRPr="00DA6D55">
        <w:rPr>
          <w:rFonts w:asciiTheme="majorBidi" w:hAnsiTheme="majorBidi" w:cstheme="majorBidi"/>
          <w:lang w:bidi="ar-EG"/>
        </w:rPr>
        <w:t>.</w:t>
      </w:r>
    </w:p>
    <w:p w:rsidR="00DA6D55" w:rsidRPr="00DA6D55" w:rsidRDefault="00DA6D55" w:rsidP="00DA6D55">
      <w:pPr>
        <w:jc w:val="both"/>
        <w:rPr>
          <w:rFonts w:asciiTheme="majorBidi" w:hAnsiTheme="majorBidi" w:cstheme="majorBidi"/>
          <w:sz w:val="16"/>
          <w:szCs w:val="16"/>
          <w:lang w:bidi="ar-EG"/>
        </w:rPr>
      </w:pPr>
    </w:p>
    <w:p w:rsidR="00DA6D55" w:rsidRDefault="00DA6D55" w:rsidP="00DA6D55">
      <w:pPr>
        <w:spacing w:line="360" w:lineRule="exact"/>
        <w:jc w:val="center"/>
        <w:rPr>
          <w:rFonts w:asciiTheme="majorBidi" w:hAnsiTheme="majorBidi" w:cstheme="majorBidi"/>
          <w:b/>
          <w:bCs/>
          <w:sz w:val="8"/>
          <w:szCs w:val="8"/>
        </w:rPr>
      </w:pPr>
      <w:r w:rsidRPr="00DA6D55">
        <w:rPr>
          <w:rFonts w:asciiTheme="majorBidi" w:hAnsiTheme="majorBidi" w:cstheme="majorBidi"/>
          <w:b/>
          <w:bCs/>
          <w:sz w:val="25"/>
          <w:szCs w:val="25"/>
        </w:rPr>
        <w:t>Illiteracy rates for persons (15 years and above) in Palestine by sex for years 1997, 2000-201</w:t>
      </w:r>
      <w:r>
        <w:rPr>
          <w:rFonts w:asciiTheme="majorBidi" w:hAnsiTheme="majorBidi" w:cstheme="majorBidi"/>
          <w:b/>
          <w:bCs/>
          <w:sz w:val="25"/>
          <w:szCs w:val="25"/>
        </w:rPr>
        <w:t>5</w:t>
      </w:r>
    </w:p>
    <w:p w:rsidR="00962EDB" w:rsidRPr="00962EDB" w:rsidRDefault="00962EDB" w:rsidP="00962EDB">
      <w:pPr>
        <w:spacing w:line="360" w:lineRule="exact"/>
        <w:jc w:val="center"/>
        <w:rPr>
          <w:rFonts w:asciiTheme="majorBidi" w:hAnsiTheme="majorBidi" w:cstheme="majorBidi"/>
          <w:b/>
          <w:bCs/>
          <w:sz w:val="16"/>
          <w:szCs w:val="16"/>
        </w:rPr>
      </w:pPr>
    </w:p>
    <w:p w:rsidR="00DA6D55" w:rsidRPr="00DA6D55" w:rsidRDefault="00DA6D55" w:rsidP="00DA6D55">
      <w:pPr>
        <w:jc w:val="center"/>
        <w:rPr>
          <w:rFonts w:asciiTheme="majorBidi" w:hAnsiTheme="majorBidi" w:cstheme="majorBidi"/>
          <w:color w:val="FF0000"/>
          <w:lang w:bidi="ar-EG"/>
        </w:rPr>
      </w:pPr>
      <w:r w:rsidRPr="00DA6D55">
        <w:rPr>
          <w:rFonts w:asciiTheme="majorBidi" w:hAnsiTheme="majorBidi" w:cstheme="majorBidi"/>
          <w:noProof/>
          <w:color w:val="FF0000"/>
        </w:rPr>
        <w:drawing>
          <wp:inline distT="0" distB="0" distL="0" distR="0">
            <wp:extent cx="2942590" cy="1905000"/>
            <wp:effectExtent l="19050" t="0" r="1016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6D55" w:rsidRPr="00DA6D55" w:rsidRDefault="00DA6D55" w:rsidP="00DA6D55">
      <w:pPr>
        <w:jc w:val="lowKashida"/>
        <w:rPr>
          <w:rFonts w:asciiTheme="majorBidi" w:hAnsiTheme="majorBidi" w:cstheme="majorBidi"/>
          <w:sz w:val="16"/>
          <w:szCs w:val="16"/>
        </w:rPr>
      </w:pPr>
    </w:p>
    <w:p w:rsidR="00DA6D55" w:rsidRPr="00DA6D55" w:rsidRDefault="00DA6D55" w:rsidP="00DA6D55">
      <w:pPr>
        <w:pStyle w:val="BodyText2"/>
        <w:jc w:val="both"/>
        <w:rPr>
          <w:rFonts w:asciiTheme="majorBidi" w:hAnsiTheme="majorBidi" w:cstheme="majorBidi"/>
          <w:b w:val="0"/>
          <w:bCs w:val="0"/>
          <w:sz w:val="24"/>
          <w:szCs w:val="24"/>
        </w:rPr>
      </w:pPr>
      <w:r w:rsidRPr="00DA6D55">
        <w:rPr>
          <w:rFonts w:asciiTheme="majorBidi" w:hAnsiTheme="majorBidi" w:cstheme="majorBidi"/>
          <w:b w:val="0"/>
          <w:bCs w:val="0"/>
          <w:sz w:val="24"/>
          <w:szCs w:val="24"/>
        </w:rPr>
        <w:t>The illiteracy rate in Palestine is one of the lowest in the world</w:t>
      </w:r>
    </w:p>
    <w:p w:rsidR="00DA6D55" w:rsidRPr="00DA6D55" w:rsidRDefault="00DA6D55" w:rsidP="00DA6D55">
      <w:pPr>
        <w:pStyle w:val="BodyText2"/>
        <w:jc w:val="both"/>
        <w:rPr>
          <w:rFonts w:asciiTheme="majorBidi" w:hAnsiTheme="majorBidi" w:cstheme="majorBidi"/>
          <w:b w:val="0"/>
          <w:bCs w:val="0"/>
          <w:sz w:val="24"/>
          <w:szCs w:val="24"/>
        </w:rPr>
      </w:pPr>
      <w:r w:rsidRPr="00DA6D55">
        <w:rPr>
          <w:rFonts w:asciiTheme="majorBidi" w:hAnsiTheme="majorBidi" w:cstheme="majorBidi"/>
          <w:b w:val="0"/>
          <w:bCs w:val="0"/>
          <w:sz w:val="24"/>
          <w:szCs w:val="24"/>
        </w:rPr>
        <w:t xml:space="preserve">According to UNESCO Institute for Statistics, the illiteracy rate among persons 15 years and above in </w:t>
      </w:r>
      <w:r w:rsidRPr="00DA6D55">
        <w:rPr>
          <w:rFonts w:asciiTheme="majorBidi" w:hAnsiTheme="majorBidi" w:cstheme="majorBidi"/>
          <w:b w:val="0"/>
          <w:bCs w:val="0"/>
          <w:i/>
          <w:iCs/>
          <w:sz w:val="24"/>
          <w:szCs w:val="24"/>
        </w:rPr>
        <w:t>Arab States</w:t>
      </w:r>
      <w:r w:rsidRPr="00DA6D55">
        <w:rPr>
          <w:rFonts w:asciiTheme="majorBidi" w:hAnsiTheme="majorBidi" w:cstheme="majorBidi"/>
          <w:b w:val="0"/>
          <w:bCs w:val="0"/>
          <w:sz w:val="24"/>
          <w:szCs w:val="24"/>
        </w:rPr>
        <w:t xml:space="preserve"> was 21.5% (about 51.4 million illiterate) in 2014: for males, 14.2% (17.7 million illiterate) compared to 29.4% for females (33.7 million illiterate). For the same year, the rate was 14.7% (about 758.2 million illiterate) in the world among the same age group: for males. 10.8% (279.2 million illiterate) compared to 18.5% for females (479.0 million illiterate). </w:t>
      </w:r>
    </w:p>
    <w:p w:rsidR="00DA6D55" w:rsidRPr="00DA6D55" w:rsidRDefault="00DA6D55" w:rsidP="00DA6D55">
      <w:pPr>
        <w:jc w:val="both"/>
        <w:rPr>
          <w:rFonts w:asciiTheme="majorBidi" w:hAnsiTheme="majorBidi" w:cstheme="majorBidi"/>
        </w:rPr>
      </w:pPr>
    </w:p>
    <w:p w:rsidR="00E70270" w:rsidRPr="00DA6D55" w:rsidRDefault="00E70270">
      <w:pPr>
        <w:rPr>
          <w:rFonts w:asciiTheme="majorBidi" w:hAnsiTheme="majorBidi" w:cstheme="majorBidi"/>
        </w:rPr>
      </w:pPr>
    </w:p>
    <w:sectPr w:rsidR="00E70270" w:rsidRPr="00DA6D55" w:rsidSect="00DA6D55">
      <w:headerReference w:type="default" r:id="rId10"/>
      <w:footerReference w:type="default" r:id="rId11"/>
      <w:pgSz w:w="11906" w:h="16838"/>
      <w:pgMar w:top="720" w:right="720" w:bottom="720" w:left="720"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5EF" w:rsidRDefault="00B115EF" w:rsidP="00DA6D55">
      <w:r>
        <w:separator/>
      </w:r>
    </w:p>
  </w:endnote>
  <w:endnote w:type="continuationSeparator" w:id="0">
    <w:p w:rsidR="00B115EF" w:rsidRDefault="00B115EF" w:rsidP="00DA6D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182344"/>
      <w:docPartObj>
        <w:docPartGallery w:val="Page Numbers (Bottom of Page)"/>
        <w:docPartUnique/>
      </w:docPartObj>
    </w:sdtPr>
    <w:sdtContent>
      <w:p w:rsidR="00962EDB" w:rsidRDefault="008A3D05">
        <w:pPr>
          <w:pStyle w:val="Footer"/>
          <w:jc w:val="center"/>
        </w:pPr>
        <w:fldSimple w:instr=" PAGE   \* MERGEFORMAT ">
          <w:r w:rsidR="00EE5ACB">
            <w:rPr>
              <w:noProof/>
            </w:rPr>
            <w:t>2</w:t>
          </w:r>
        </w:fldSimple>
      </w:p>
    </w:sdtContent>
  </w:sdt>
  <w:p w:rsidR="00962EDB" w:rsidRDefault="00962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5EF" w:rsidRDefault="00B115EF" w:rsidP="00DA6D55">
      <w:r>
        <w:separator/>
      </w:r>
    </w:p>
  </w:footnote>
  <w:footnote w:type="continuationSeparator" w:id="0">
    <w:p w:rsidR="00B115EF" w:rsidRDefault="00B115EF" w:rsidP="00DA6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D55" w:rsidRPr="00DA6D55" w:rsidRDefault="00DA6D55" w:rsidP="00DA6D55">
    <w:pPr>
      <w:pStyle w:val="Header"/>
      <w:rPr>
        <w:rFonts w:cs="Simplified Arabic"/>
        <w:b/>
        <w:bCs/>
        <w:sz w:val="28"/>
        <w:szCs w:val="28"/>
        <w:rtl/>
      </w:rPr>
    </w:pPr>
    <w:r>
      <w:rPr>
        <w:rFonts w:cs="Simplified Arabic" w:hint="cs"/>
        <w:b/>
        <w:bCs/>
        <w:sz w:val="28"/>
        <w:szCs w:val="28"/>
        <w:rtl/>
      </w:rPr>
      <w:t xml:space="preserve">           </w:t>
    </w:r>
  </w:p>
  <w:p w:rsidR="00D17AFF" w:rsidRDefault="00B115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DA6D55"/>
    <w:rsid w:val="004A202B"/>
    <w:rsid w:val="005E7849"/>
    <w:rsid w:val="008A3D05"/>
    <w:rsid w:val="00962EDB"/>
    <w:rsid w:val="00B115EF"/>
    <w:rsid w:val="00DA6D55"/>
    <w:rsid w:val="00E70270"/>
    <w:rsid w:val="00EE5A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D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6D55"/>
    <w:pPr>
      <w:keepNext/>
      <w:keepLines/>
      <w:bidi/>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Heading4">
    <w:name w:val="heading 4"/>
    <w:basedOn w:val="Normal"/>
    <w:next w:val="Normal"/>
    <w:link w:val="Heading4Char"/>
    <w:qFormat/>
    <w:rsid w:val="00DA6D55"/>
    <w:pPr>
      <w:keepNext/>
      <w:bidi/>
      <w:jc w:val="center"/>
      <w:outlineLvl w:val="3"/>
    </w:pPr>
    <w:rPr>
      <w:rFonts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6D55"/>
    <w:rPr>
      <w:rFonts w:ascii="Times New Roman" w:eastAsia="Times New Roman" w:hAnsi="Times New Roman" w:cs="Simplified Arabic"/>
      <w:b/>
      <w:bCs/>
      <w:sz w:val="28"/>
      <w:szCs w:val="28"/>
      <w:lang w:eastAsia="ar-SA"/>
    </w:rPr>
  </w:style>
  <w:style w:type="paragraph" w:styleId="BodyText2">
    <w:name w:val="Body Text 2"/>
    <w:basedOn w:val="Normal"/>
    <w:link w:val="BodyText2Char"/>
    <w:semiHidden/>
    <w:rsid w:val="00DA6D55"/>
    <w:pPr>
      <w:jc w:val="center"/>
    </w:pPr>
    <w:rPr>
      <w:b/>
      <w:bCs/>
      <w:sz w:val="26"/>
      <w:szCs w:val="26"/>
    </w:rPr>
  </w:style>
  <w:style w:type="character" w:customStyle="1" w:styleId="BodyText2Char">
    <w:name w:val="Body Text 2 Char"/>
    <w:basedOn w:val="DefaultParagraphFont"/>
    <w:link w:val="BodyText2"/>
    <w:semiHidden/>
    <w:rsid w:val="00DA6D55"/>
    <w:rPr>
      <w:rFonts w:ascii="Times New Roman" w:eastAsia="Times New Roman" w:hAnsi="Times New Roman" w:cs="Times New Roman"/>
      <w:b/>
      <w:bCs/>
      <w:sz w:val="26"/>
      <w:szCs w:val="26"/>
    </w:rPr>
  </w:style>
  <w:style w:type="paragraph" w:styleId="Header">
    <w:name w:val="header"/>
    <w:basedOn w:val="Normal"/>
    <w:link w:val="HeaderChar"/>
    <w:unhideWhenUsed/>
    <w:rsid w:val="00DA6D55"/>
    <w:pPr>
      <w:tabs>
        <w:tab w:val="center" w:pos="4513"/>
        <w:tab w:val="right" w:pos="9026"/>
      </w:tabs>
    </w:pPr>
  </w:style>
  <w:style w:type="character" w:customStyle="1" w:styleId="HeaderChar">
    <w:name w:val="Header Char"/>
    <w:basedOn w:val="DefaultParagraphFont"/>
    <w:link w:val="Header"/>
    <w:rsid w:val="00DA6D5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6D55"/>
    <w:rPr>
      <w:color w:val="0000FF" w:themeColor="hyperlink"/>
      <w:u w:val="single"/>
    </w:rPr>
  </w:style>
  <w:style w:type="paragraph" w:styleId="BalloonText">
    <w:name w:val="Balloon Text"/>
    <w:basedOn w:val="Normal"/>
    <w:link w:val="BalloonTextChar"/>
    <w:uiPriority w:val="99"/>
    <w:semiHidden/>
    <w:unhideWhenUsed/>
    <w:rsid w:val="00DA6D55"/>
    <w:rPr>
      <w:rFonts w:ascii="Tahoma" w:hAnsi="Tahoma" w:cs="Tahoma"/>
      <w:sz w:val="16"/>
      <w:szCs w:val="16"/>
    </w:rPr>
  </w:style>
  <w:style w:type="character" w:customStyle="1" w:styleId="BalloonTextChar">
    <w:name w:val="Balloon Text Char"/>
    <w:basedOn w:val="DefaultParagraphFont"/>
    <w:link w:val="BalloonText"/>
    <w:uiPriority w:val="99"/>
    <w:semiHidden/>
    <w:rsid w:val="00DA6D55"/>
    <w:rPr>
      <w:rFonts w:ascii="Tahoma" w:eastAsia="Times New Roman" w:hAnsi="Tahoma" w:cs="Tahoma"/>
      <w:sz w:val="16"/>
      <w:szCs w:val="16"/>
    </w:rPr>
  </w:style>
  <w:style w:type="paragraph" w:styleId="Footer">
    <w:name w:val="footer"/>
    <w:basedOn w:val="Normal"/>
    <w:link w:val="FooterChar"/>
    <w:uiPriority w:val="99"/>
    <w:unhideWhenUsed/>
    <w:rsid w:val="00DA6D55"/>
    <w:pPr>
      <w:tabs>
        <w:tab w:val="center" w:pos="4153"/>
        <w:tab w:val="right" w:pos="8306"/>
      </w:tabs>
    </w:pPr>
  </w:style>
  <w:style w:type="character" w:customStyle="1" w:styleId="FooterChar">
    <w:name w:val="Footer Char"/>
    <w:basedOn w:val="DefaultParagraphFont"/>
    <w:link w:val="Footer"/>
    <w:uiPriority w:val="99"/>
    <w:rsid w:val="00DA6D5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6D55"/>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6\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5\&#1605;&#1572;&#1588;&#1585;&#1575;&#1578;%20&#1575;&#1604;&#1571;&#1605;&#1610;&#1577;%20&#1604;&#1604;&#1576;&#1610;&#1575;&#1606;%20&#1575;&#1604;&#1589;&#1581;&#1601;&#1610;%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6\&#1605;&#1572;&#1588;&#1585;&#1575;&#1578;%20&#1575;&#1604;&#1571;&#1605;&#1610;&#1577;%20&#1604;&#1604;&#1576;&#1610;&#1575;&#1606;%20&#1575;&#1604;&#1589;&#1581;&#1601;&#1610;%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title>
      <c:layout>
        <c:manualLayout>
          <c:xMode val="edge"/>
          <c:yMode val="edge"/>
          <c:x val="0.51351756340491095"/>
          <c:y val="4.5977011494252866E-2"/>
        </c:manualLayout>
      </c:layout>
    </c:title>
    <c:plotArea>
      <c:layout>
        <c:manualLayout>
          <c:layoutTarget val="inner"/>
          <c:xMode val="edge"/>
          <c:yMode val="edge"/>
          <c:x val="0.22359361329833768"/>
          <c:y val="0.17288750364537769"/>
          <c:w val="0.43336832895888228"/>
          <c:h val="0.7222805482648007"/>
        </c:manualLayout>
      </c:layout>
      <c:pieChart>
        <c:varyColors val="1"/>
        <c:ser>
          <c:idx val="0"/>
          <c:order val="0"/>
          <c:tx>
            <c:strRef>
              <c:f>Sheet1!$B$1</c:f>
              <c:strCache>
                <c:ptCount val="1"/>
              </c:strCache>
            </c:strRef>
          </c:tx>
          <c:explosion val="25"/>
          <c:dLbls>
            <c:dLbl>
              <c:idx val="0"/>
              <c:layout>
                <c:manualLayout>
                  <c:x val="-2.6054243219597612E-2"/>
                  <c:y val="-1.157407407407408E-2"/>
                </c:manualLayout>
              </c:layout>
              <c:tx>
                <c:rich>
                  <a:bodyPr/>
                  <a:lstStyle/>
                  <a:p>
                    <a:r>
                      <a:rPr lang="ar-SA"/>
                      <a:t>29-15
</a:t>
                    </a:r>
                    <a:r>
                      <a:rPr lang="en-US"/>
                      <a:t>%</a:t>
                    </a:r>
                    <a:r>
                      <a:rPr lang="ar-SA"/>
                      <a:t>10.1</a:t>
                    </a:r>
                  </a:p>
                </c:rich>
              </c:tx>
              <c:showCatName val="1"/>
              <c:showPercent val="1"/>
              <c:separator>
</c:separator>
            </c:dLbl>
            <c:dLbl>
              <c:idx val="1"/>
              <c:layout>
                <c:manualLayout>
                  <c:x val="-4.0576334208224114E-3"/>
                  <c:y val="-3.8382181393992387E-3"/>
                </c:manualLayout>
              </c:layout>
              <c:tx>
                <c:rich>
                  <a:bodyPr/>
                  <a:lstStyle/>
                  <a:p>
                    <a:r>
                      <a:rPr lang="ar-SA"/>
                      <a:t>44-30
</a:t>
                    </a:r>
                    <a:r>
                      <a:rPr lang="en-US"/>
                      <a:t>%</a:t>
                    </a:r>
                    <a:r>
                      <a:rPr lang="ar-SA"/>
                      <a:t>9.6</a:t>
                    </a:r>
                  </a:p>
                </c:rich>
              </c:tx>
              <c:showCatName val="1"/>
              <c:showPercent val="1"/>
              <c:separator>
</c:separator>
            </c:dLbl>
            <c:dLbl>
              <c:idx val="2"/>
              <c:layout>
                <c:manualLayout>
                  <c:x val="1.4686789151356081E-2"/>
                  <c:y val="-8.3604184893555006E-2"/>
                </c:manualLayout>
              </c:layout>
              <c:tx>
                <c:rich>
                  <a:bodyPr/>
                  <a:lstStyle/>
                  <a:p>
                    <a:r>
                      <a:rPr lang="ar-SA"/>
                      <a:t>64-45
</a:t>
                    </a:r>
                    <a:r>
                      <a:rPr lang="en-US"/>
                      <a:t>%</a:t>
                    </a:r>
                    <a:r>
                      <a:rPr lang="ar-SA"/>
                      <a:t>24.4</a:t>
                    </a:r>
                  </a:p>
                </c:rich>
              </c:tx>
              <c:showCatName val="1"/>
              <c:showPercent val="1"/>
              <c:separator>
</c:separator>
            </c:dLbl>
            <c:dLbl>
              <c:idx val="3"/>
              <c:layout>
                <c:manualLayout>
                  <c:x val="2.0995481540004787E-2"/>
                  <c:y val="-0.26549974356653644"/>
                </c:manualLayout>
              </c:layout>
              <c:tx>
                <c:rich>
                  <a:bodyPr/>
                  <a:lstStyle/>
                  <a:p>
                    <a:r>
                      <a:rPr lang="ar-SA"/>
                      <a:t>65+
%55.9</a:t>
                    </a:r>
                  </a:p>
                </c:rich>
              </c:tx>
              <c:showCatName val="1"/>
              <c:showPercent val="1"/>
              <c:separator>
</c:separator>
            </c:dLbl>
            <c:numFmt formatCode="0.0%" sourceLinked="0"/>
            <c:txPr>
              <a:bodyPr/>
              <a:lstStyle/>
              <a:p>
                <a:pPr>
                  <a:defRPr sz="900"/>
                </a:pPr>
                <a:endParaRPr lang="ar-SA"/>
              </a:p>
            </c:txPr>
            <c:showCatName val="1"/>
            <c:showPercent val="1"/>
            <c:separator>
</c:separator>
            <c:showLeaderLines val="1"/>
          </c:dLbls>
          <c:cat>
            <c:strRef>
              <c:f>Sheet1!$A$2:$A$5</c:f>
              <c:strCache>
                <c:ptCount val="4"/>
                <c:pt idx="0">
                  <c:v>15-29</c:v>
                </c:pt>
                <c:pt idx="1">
                  <c:v>30-44</c:v>
                </c:pt>
                <c:pt idx="2">
                  <c:v>45-64</c:v>
                </c:pt>
                <c:pt idx="3">
                  <c:v>65+</c:v>
                </c:pt>
              </c:strCache>
            </c:strRef>
          </c:cat>
          <c:val>
            <c:numRef>
              <c:f>Sheet1!$B$2:$B$5</c:f>
              <c:numCache>
                <c:formatCode>General</c:formatCode>
                <c:ptCount val="4"/>
                <c:pt idx="0">
                  <c:v>10.1</c:v>
                </c:pt>
                <c:pt idx="1">
                  <c:v>9.6</c:v>
                </c:pt>
                <c:pt idx="2">
                  <c:v>24.4</c:v>
                </c:pt>
                <c:pt idx="3">
                  <c:v>55.9</c:v>
                </c:pt>
              </c:numCache>
            </c:numRef>
          </c:val>
        </c:ser>
        <c:firstSliceAng val="36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1"/>
  <c:chart>
    <c:plotArea>
      <c:layout/>
      <c:barChart>
        <c:barDir val="bar"/>
        <c:grouping val="clustered"/>
        <c:ser>
          <c:idx val="0"/>
          <c:order val="0"/>
          <c:tx>
            <c:strRef>
              <c:f>Sheet2!$A$5</c:f>
              <c:strCache>
                <c:ptCount val="1"/>
                <c:pt idx="0">
                  <c:v>male</c:v>
                </c:pt>
              </c:strCache>
            </c:strRef>
          </c:tx>
          <c:dLbls>
            <c:dLbl>
              <c:idx val="0"/>
              <c:tx>
                <c:rich>
                  <a:bodyPr/>
                  <a:lstStyle/>
                  <a:p>
                    <a:r>
                      <a:rPr lang="en-US"/>
                      <a:t>1.5</a:t>
                    </a:r>
                  </a:p>
                </c:rich>
              </c:tx>
              <c:showVal val="1"/>
            </c:dLbl>
            <c:dLbl>
              <c:idx val="1"/>
              <c:tx>
                <c:rich>
                  <a:bodyPr/>
                  <a:lstStyle/>
                  <a:p>
                    <a:r>
                      <a:rPr lang="en-US"/>
                      <a:t>1.8</a:t>
                    </a:r>
                  </a:p>
                </c:rich>
              </c:tx>
              <c:showVal val="1"/>
            </c:dLbl>
            <c:dLbl>
              <c:idx val="2"/>
              <c:tx>
                <c:rich>
                  <a:bodyPr/>
                  <a:lstStyle/>
                  <a:p>
                    <a:r>
                      <a:rPr lang="en-US"/>
                      <a:t>1.3</a:t>
                    </a:r>
                  </a:p>
                </c:rich>
              </c:tx>
              <c:showVal val="1"/>
            </c:dLbl>
            <c:spPr>
              <a:noFill/>
              <a:ln>
                <a:noFill/>
              </a:ln>
              <a:effectLst/>
            </c:spPr>
            <c:txPr>
              <a:bodyPr/>
              <a:lstStyle/>
              <a:p>
                <a:pPr>
                  <a:defRPr sz="900"/>
                </a:pPr>
                <a:endParaRPr lang="ar-SA"/>
              </a:p>
            </c:txPr>
            <c:showVal val="1"/>
            <c:extLst>
              <c:ext xmlns:c15="http://schemas.microsoft.com/office/drawing/2012/chart" uri="{CE6537A1-D6FC-4f65-9D91-7224C49458BB}">
                <c15:showLeaderLines val="0"/>
              </c:ext>
            </c:extLst>
          </c:dLbls>
          <c:cat>
            <c:strRef>
              <c:f>Sheet2!$B$4:$D$4</c:f>
              <c:strCache>
                <c:ptCount val="3"/>
                <c:pt idx="0">
                  <c:v>Urban</c:v>
                </c:pt>
                <c:pt idx="1">
                  <c:v>Rural</c:v>
                </c:pt>
                <c:pt idx="2">
                  <c:v>Refugee camps</c:v>
                </c:pt>
              </c:strCache>
            </c:strRef>
          </c:cat>
          <c:val>
            <c:numRef>
              <c:f>Sheet2!$B$5:$D$5</c:f>
              <c:numCache>
                <c:formatCode>General</c:formatCode>
                <c:ptCount val="3"/>
                <c:pt idx="0">
                  <c:v>1.6</c:v>
                </c:pt>
                <c:pt idx="1">
                  <c:v>1.7000000000000026</c:v>
                </c:pt>
                <c:pt idx="2">
                  <c:v>1.6</c:v>
                </c:pt>
              </c:numCache>
            </c:numRef>
          </c:val>
        </c:ser>
        <c:ser>
          <c:idx val="1"/>
          <c:order val="1"/>
          <c:tx>
            <c:strRef>
              <c:f>Sheet2!$A$6</c:f>
              <c:strCache>
                <c:ptCount val="1"/>
                <c:pt idx="0">
                  <c:v>female</c:v>
                </c:pt>
              </c:strCache>
            </c:strRef>
          </c:tx>
          <c:dLbls>
            <c:dLbl>
              <c:idx val="0"/>
              <c:tx>
                <c:rich>
                  <a:bodyPr/>
                  <a:lstStyle/>
                  <a:p>
                    <a:r>
                      <a:rPr lang="en-US"/>
                      <a:t>4.5</a:t>
                    </a:r>
                  </a:p>
                </c:rich>
              </c:tx>
              <c:showVal val="1"/>
            </c:dLbl>
            <c:dLbl>
              <c:idx val="1"/>
              <c:tx>
                <c:rich>
                  <a:bodyPr/>
                  <a:lstStyle/>
                  <a:p>
                    <a:r>
                      <a:rPr lang="en-US"/>
                      <a:t>7.9</a:t>
                    </a:r>
                  </a:p>
                </c:rich>
              </c:tx>
              <c:showVal val="1"/>
            </c:dLbl>
            <c:dLbl>
              <c:idx val="2"/>
              <c:tx>
                <c:rich>
                  <a:bodyPr/>
                  <a:lstStyle/>
                  <a:p>
                    <a:r>
                      <a:rPr lang="en-US"/>
                      <a:t>4.8</a:t>
                    </a:r>
                  </a:p>
                </c:rich>
              </c:tx>
              <c:showVal val="1"/>
            </c:dLbl>
            <c:spPr>
              <a:noFill/>
              <a:ln>
                <a:noFill/>
              </a:ln>
              <a:effectLst/>
            </c:spPr>
            <c:txPr>
              <a:bodyPr/>
              <a:lstStyle/>
              <a:p>
                <a:pPr>
                  <a:defRPr sz="900"/>
                </a:pPr>
                <a:endParaRPr lang="ar-SA"/>
              </a:p>
            </c:txPr>
            <c:showVal val="1"/>
            <c:extLst>
              <c:ext xmlns:c15="http://schemas.microsoft.com/office/drawing/2012/chart" uri="{CE6537A1-D6FC-4f65-9D91-7224C49458BB}">
                <c15:showLeaderLines val="0"/>
              </c:ext>
            </c:extLst>
          </c:dLbls>
          <c:cat>
            <c:strRef>
              <c:f>Sheet2!$B$4:$D$4</c:f>
              <c:strCache>
                <c:ptCount val="3"/>
                <c:pt idx="0">
                  <c:v>Urban</c:v>
                </c:pt>
                <c:pt idx="1">
                  <c:v>Rural</c:v>
                </c:pt>
                <c:pt idx="2">
                  <c:v>Refugee camps</c:v>
                </c:pt>
              </c:strCache>
            </c:strRef>
          </c:cat>
          <c:val>
            <c:numRef>
              <c:f>Sheet2!$B$6:$D$6</c:f>
              <c:numCache>
                <c:formatCode>General</c:formatCode>
                <c:ptCount val="3"/>
                <c:pt idx="0" formatCode="0.0">
                  <c:v>5</c:v>
                </c:pt>
                <c:pt idx="1">
                  <c:v>8.4</c:v>
                </c:pt>
                <c:pt idx="2">
                  <c:v>4.9000000000000004</c:v>
                </c:pt>
              </c:numCache>
            </c:numRef>
          </c:val>
        </c:ser>
        <c:axId val="84601088"/>
        <c:axId val="84611072"/>
      </c:barChart>
      <c:catAx>
        <c:axId val="84601088"/>
        <c:scaling>
          <c:orientation val="minMax"/>
        </c:scaling>
        <c:axPos val="l"/>
        <c:numFmt formatCode="General" sourceLinked="0"/>
        <c:tickLblPos val="nextTo"/>
        <c:txPr>
          <a:bodyPr/>
          <a:lstStyle/>
          <a:p>
            <a:pPr>
              <a:defRPr sz="900">
                <a:cs typeface="+mj-cs"/>
              </a:defRPr>
            </a:pPr>
            <a:endParaRPr lang="ar-SA"/>
          </a:p>
        </c:txPr>
        <c:crossAx val="84611072"/>
        <c:crosses val="autoZero"/>
        <c:auto val="1"/>
        <c:lblAlgn val="ctr"/>
        <c:lblOffset val="100"/>
      </c:catAx>
      <c:valAx>
        <c:axId val="84611072"/>
        <c:scaling>
          <c:orientation val="minMax"/>
        </c:scaling>
        <c:delete val="1"/>
        <c:axPos val="b"/>
        <c:numFmt formatCode="General" sourceLinked="1"/>
        <c:tickLblPos val="none"/>
        <c:crossAx val="84601088"/>
        <c:crosses val="autoZero"/>
        <c:crossBetween val="between"/>
      </c:valAx>
    </c:plotArea>
    <c:legend>
      <c:legendPos val="l"/>
      <c:txPr>
        <a:bodyPr/>
        <a:lstStyle/>
        <a:p>
          <a:pPr>
            <a:defRPr sz="900">
              <a:cs typeface="+mj-cs"/>
            </a:defRPr>
          </a:pPr>
          <a:endParaRPr lang="ar-SA"/>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9.2571741032370938E-2"/>
          <c:y val="0.14399314668999749"/>
          <c:w val="0.82409492563429565"/>
          <c:h val="0.66472987751531354"/>
        </c:manualLayout>
      </c:layout>
      <c:lineChart>
        <c:grouping val="standard"/>
        <c:ser>
          <c:idx val="0"/>
          <c:order val="0"/>
          <c:tx>
            <c:strRef>
              <c:f>انجليزي!$J$1</c:f>
              <c:strCache>
                <c:ptCount val="1"/>
                <c:pt idx="0">
                  <c:v>Males</c:v>
                </c:pt>
              </c:strCache>
            </c:strRef>
          </c:tx>
          <c:cat>
            <c:numRef>
              <c:f>انجليزي!$I$2:$I$18</c:f>
              <c:numCache>
                <c:formatCode>General</c:formatCode>
                <c:ptCount val="17"/>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انجليزي!$J$2:$J$18</c:f>
              <c:numCache>
                <c:formatCode>General</c:formatCode>
                <c:ptCount val="17"/>
                <c:pt idx="0">
                  <c:v>7.8</c:v>
                </c:pt>
                <c:pt idx="1">
                  <c:v>5.6</c:v>
                </c:pt>
                <c:pt idx="2">
                  <c:v>4.7</c:v>
                </c:pt>
                <c:pt idx="3">
                  <c:v>4.3</c:v>
                </c:pt>
                <c:pt idx="4">
                  <c:v>3.7</c:v>
                </c:pt>
                <c:pt idx="5">
                  <c:v>3.5</c:v>
                </c:pt>
                <c:pt idx="6">
                  <c:v>3.1</c:v>
                </c:pt>
                <c:pt idx="7">
                  <c:v>2.9</c:v>
                </c:pt>
                <c:pt idx="8">
                  <c:v>2.8</c:v>
                </c:pt>
                <c:pt idx="9">
                  <c:v>2.9</c:v>
                </c:pt>
                <c:pt idx="10">
                  <c:v>2.6</c:v>
                </c:pt>
                <c:pt idx="11">
                  <c:v>2.4</c:v>
                </c:pt>
                <c:pt idx="12">
                  <c:v>2.1</c:v>
                </c:pt>
                <c:pt idx="13">
                  <c:v>1.8</c:v>
                </c:pt>
                <c:pt idx="14">
                  <c:v>1.6</c:v>
                </c:pt>
                <c:pt idx="15">
                  <c:v>1.6</c:v>
                </c:pt>
                <c:pt idx="16">
                  <c:v>1.5</c:v>
                </c:pt>
              </c:numCache>
            </c:numRef>
          </c:val>
        </c:ser>
        <c:ser>
          <c:idx val="1"/>
          <c:order val="1"/>
          <c:tx>
            <c:strRef>
              <c:f>انجليزي!$K$1</c:f>
              <c:strCache>
                <c:ptCount val="1"/>
                <c:pt idx="0">
                  <c:v>Females</c:v>
                </c:pt>
              </c:strCache>
            </c:strRef>
          </c:tx>
          <c:cat>
            <c:numRef>
              <c:f>انجليزي!$I$2:$I$18</c:f>
              <c:numCache>
                <c:formatCode>General</c:formatCode>
                <c:ptCount val="17"/>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انجليزي!$K$2:$K$18</c:f>
              <c:numCache>
                <c:formatCode>General</c:formatCode>
                <c:ptCount val="17"/>
                <c:pt idx="0">
                  <c:v>20.3</c:v>
                </c:pt>
                <c:pt idx="1">
                  <c:v>16.100000000000001</c:v>
                </c:pt>
                <c:pt idx="2" formatCode="0.0">
                  <c:v>15</c:v>
                </c:pt>
                <c:pt idx="3">
                  <c:v>13.6</c:v>
                </c:pt>
                <c:pt idx="4">
                  <c:v>12.6</c:v>
                </c:pt>
                <c:pt idx="5" formatCode="0.0">
                  <c:v>12</c:v>
                </c:pt>
                <c:pt idx="6">
                  <c:v>11.1</c:v>
                </c:pt>
                <c:pt idx="7">
                  <c:v>10.200000000000001</c:v>
                </c:pt>
                <c:pt idx="8">
                  <c:v>9.5</c:v>
                </c:pt>
                <c:pt idx="9">
                  <c:v>9.1</c:v>
                </c:pt>
                <c:pt idx="10">
                  <c:v>8.3000000000000007</c:v>
                </c:pt>
                <c:pt idx="11">
                  <c:v>7.8</c:v>
                </c:pt>
                <c:pt idx="12">
                  <c:v>7.4</c:v>
                </c:pt>
                <c:pt idx="13">
                  <c:v>6.4</c:v>
                </c:pt>
                <c:pt idx="14">
                  <c:v>5.9</c:v>
                </c:pt>
                <c:pt idx="15">
                  <c:v>5.6</c:v>
                </c:pt>
                <c:pt idx="16">
                  <c:v>5.0999999999999996</c:v>
                </c:pt>
              </c:numCache>
            </c:numRef>
          </c:val>
        </c:ser>
        <c:marker val="1"/>
        <c:axId val="84619264"/>
        <c:axId val="84620800"/>
      </c:lineChart>
      <c:catAx>
        <c:axId val="84619264"/>
        <c:scaling>
          <c:orientation val="minMax"/>
        </c:scaling>
        <c:axPos val="b"/>
        <c:numFmt formatCode="General" sourceLinked="1"/>
        <c:tickLblPos val="nextTo"/>
        <c:txPr>
          <a:bodyPr/>
          <a:lstStyle/>
          <a:p>
            <a:pPr>
              <a:defRPr sz="1000"/>
            </a:pPr>
            <a:endParaRPr lang="ar-SA"/>
          </a:p>
        </c:txPr>
        <c:crossAx val="84620800"/>
        <c:crosses val="autoZero"/>
        <c:auto val="1"/>
        <c:lblAlgn val="ctr"/>
        <c:lblOffset val="100"/>
      </c:catAx>
      <c:valAx>
        <c:axId val="84620800"/>
        <c:scaling>
          <c:orientation val="minMax"/>
        </c:scaling>
        <c:axPos val="l"/>
        <c:numFmt formatCode="General" sourceLinked="1"/>
        <c:tickLblPos val="nextTo"/>
        <c:crossAx val="84619264"/>
        <c:crosses val="autoZero"/>
        <c:crossBetween val="between"/>
      </c:valAx>
    </c:plotArea>
    <c:legend>
      <c:legendPos val="l"/>
      <c:layout>
        <c:manualLayout>
          <c:xMode val="edge"/>
          <c:yMode val="edge"/>
          <c:x val="0.5130843916413772"/>
          <c:y val="0.14776428988043255"/>
          <c:w val="0.2800543059005845"/>
          <c:h val="0.16743438320210019"/>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788BD-95B8-4771-AF32-301BB157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2</cp:revision>
  <dcterms:created xsi:type="dcterms:W3CDTF">2016-09-06T07:18:00Z</dcterms:created>
  <dcterms:modified xsi:type="dcterms:W3CDTF">2016-09-06T08:07:00Z</dcterms:modified>
</cp:coreProperties>
</file>