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31" w:rsidRPr="00572672" w:rsidRDefault="000A4D31" w:rsidP="0057267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2672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0A4D31" w:rsidRDefault="000A4D31" w:rsidP="000A4D31">
      <w:pPr>
        <w:tabs>
          <w:tab w:val="left" w:pos="4445"/>
        </w:tabs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p w:rsidR="00572672" w:rsidRDefault="00572672" w:rsidP="000A4D31">
      <w:pPr>
        <w:tabs>
          <w:tab w:val="left" w:pos="4445"/>
        </w:tabs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0A4D31" w:rsidRPr="000A4D31" w:rsidRDefault="000A4D31" w:rsidP="000A4D31">
      <w:pPr>
        <w:tabs>
          <w:tab w:val="left" w:pos="4445"/>
        </w:tabs>
        <w:jc w:val="center"/>
        <w:rPr>
          <w:rFonts w:asciiTheme="majorBidi" w:hAnsiTheme="majorBidi" w:cstheme="majorBidi"/>
          <w:b/>
          <w:bCs/>
          <w:sz w:val="4"/>
          <w:szCs w:val="4"/>
        </w:rPr>
      </w:pPr>
    </w:p>
    <w:p w:rsidR="000A4D31" w:rsidRPr="00401824" w:rsidRDefault="000A4D31" w:rsidP="000A4D3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01824">
        <w:rPr>
          <w:rFonts w:asciiTheme="majorBidi" w:hAnsiTheme="majorBidi" w:cstheme="majorBidi"/>
          <w:b/>
          <w:bCs/>
          <w:sz w:val="28"/>
          <w:szCs w:val="28"/>
        </w:rPr>
        <w:t>Issued a special press release for the students who sit for  the General Secondary School Certification Examinations "Tawjihi</w:t>
      </w:r>
      <w:r w:rsidR="00CB12C0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401824">
        <w:rPr>
          <w:rFonts w:asciiTheme="majorBidi" w:hAnsiTheme="majorBidi" w:cstheme="majorBidi"/>
          <w:b/>
          <w:bCs/>
          <w:sz w:val="28"/>
          <w:szCs w:val="28"/>
        </w:rPr>
        <w:t xml:space="preserve"> of the academic year </w:t>
      </w:r>
      <w:r>
        <w:rPr>
          <w:rFonts w:asciiTheme="majorBidi" w:hAnsiTheme="majorBidi" w:cstheme="majorBidi"/>
          <w:b/>
          <w:bCs/>
          <w:sz w:val="28"/>
          <w:szCs w:val="28"/>
        </w:rPr>
        <w:t>2019</w:t>
      </w:r>
      <w:r w:rsidRPr="00401824">
        <w:rPr>
          <w:rFonts w:asciiTheme="majorBidi" w:hAnsiTheme="majorBidi" w:cstheme="majorBidi"/>
          <w:b/>
          <w:bCs/>
          <w:sz w:val="28"/>
          <w:szCs w:val="28"/>
        </w:rPr>
        <w:t>/</w:t>
      </w:r>
      <w:r>
        <w:rPr>
          <w:rFonts w:asciiTheme="majorBidi" w:hAnsiTheme="majorBidi" w:cstheme="majorBidi"/>
          <w:b/>
          <w:bCs/>
          <w:sz w:val="28"/>
          <w:szCs w:val="28"/>
        </w:rPr>
        <w:t>2020</w:t>
      </w:r>
      <w:r w:rsidRPr="00401824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0A4D31" w:rsidRDefault="000A4D31" w:rsidP="000A4D31">
      <w:pPr>
        <w:tabs>
          <w:tab w:val="right" w:pos="9356"/>
        </w:tabs>
        <w:bidi w:val="0"/>
        <w:spacing w:after="120"/>
        <w:jc w:val="both"/>
        <w:rPr>
          <w:b/>
          <w:bCs/>
          <w:sz w:val="2"/>
          <w:szCs w:val="2"/>
        </w:rPr>
      </w:pPr>
    </w:p>
    <w:p w:rsidR="000A4D31" w:rsidRDefault="000A4D31" w:rsidP="000A4D31">
      <w:pPr>
        <w:tabs>
          <w:tab w:val="right" w:pos="9356"/>
        </w:tabs>
        <w:bidi w:val="0"/>
        <w:spacing w:after="120"/>
        <w:jc w:val="both"/>
        <w:rPr>
          <w:b/>
          <w:bCs/>
          <w:sz w:val="2"/>
          <w:szCs w:val="2"/>
        </w:rPr>
      </w:pPr>
    </w:p>
    <w:p w:rsidR="007010F5" w:rsidRPr="00572672" w:rsidRDefault="007010F5" w:rsidP="000A4D31">
      <w:pPr>
        <w:tabs>
          <w:tab w:val="right" w:pos="9356"/>
        </w:tabs>
        <w:bidi w:val="0"/>
        <w:jc w:val="both"/>
        <w:rPr>
          <w:sz w:val="26"/>
          <w:szCs w:val="26"/>
        </w:rPr>
      </w:pPr>
      <w:r w:rsidRPr="00572672">
        <w:rPr>
          <w:b/>
          <w:bCs/>
          <w:sz w:val="26"/>
          <w:szCs w:val="26"/>
        </w:rPr>
        <w:t xml:space="preserve">Educational fields and labor market </w:t>
      </w:r>
      <w:r w:rsidR="00571FAE" w:rsidRPr="00572672">
        <w:rPr>
          <w:b/>
          <w:bCs/>
          <w:sz w:val="26"/>
          <w:szCs w:val="26"/>
        </w:rPr>
        <w:t>among</w:t>
      </w:r>
      <w:r w:rsidRPr="00572672">
        <w:rPr>
          <w:b/>
          <w:bCs/>
          <w:sz w:val="26"/>
          <w:szCs w:val="26"/>
        </w:rPr>
        <w:t xml:space="preserve"> </w:t>
      </w:r>
      <w:r w:rsidR="00F64EBF" w:rsidRPr="00572672">
        <w:rPr>
          <w:b/>
          <w:bCs/>
          <w:sz w:val="26"/>
          <w:szCs w:val="26"/>
        </w:rPr>
        <w:t>individuals</w:t>
      </w:r>
      <w:r w:rsidRPr="00572672">
        <w:rPr>
          <w:b/>
          <w:bCs/>
          <w:sz w:val="26"/>
          <w:szCs w:val="26"/>
        </w:rPr>
        <w:t xml:space="preserve"> aged </w:t>
      </w:r>
      <w:r w:rsidR="000C5A1F" w:rsidRPr="00572672">
        <w:rPr>
          <w:b/>
          <w:bCs/>
          <w:sz w:val="26"/>
          <w:szCs w:val="26"/>
        </w:rPr>
        <w:t>(</w:t>
      </w:r>
      <w:r w:rsidRPr="00572672">
        <w:rPr>
          <w:b/>
          <w:bCs/>
          <w:sz w:val="26"/>
          <w:szCs w:val="26"/>
        </w:rPr>
        <w:t>20-29 years</w:t>
      </w:r>
      <w:r w:rsidR="000C5A1F" w:rsidRPr="00572672">
        <w:rPr>
          <w:b/>
          <w:bCs/>
          <w:sz w:val="26"/>
          <w:szCs w:val="26"/>
        </w:rPr>
        <w:t>)</w:t>
      </w:r>
      <w:r w:rsidRPr="00572672">
        <w:rPr>
          <w:b/>
          <w:bCs/>
          <w:sz w:val="26"/>
          <w:szCs w:val="26"/>
        </w:rPr>
        <w:t xml:space="preserve"> in </w:t>
      </w:r>
      <w:r w:rsidR="00DE19A1" w:rsidRPr="00572672">
        <w:rPr>
          <w:b/>
          <w:bCs/>
          <w:sz w:val="26"/>
          <w:szCs w:val="26"/>
        </w:rPr>
        <w:t>2019</w:t>
      </w:r>
      <w:r w:rsidRPr="00572672">
        <w:rPr>
          <w:sz w:val="26"/>
          <w:szCs w:val="26"/>
        </w:rPr>
        <w:t>.</w:t>
      </w:r>
    </w:p>
    <w:p w:rsidR="00650B5C" w:rsidRDefault="00650B5C" w:rsidP="00B522FE">
      <w:pPr>
        <w:bidi w:val="0"/>
        <w:jc w:val="both"/>
      </w:pPr>
      <w:r w:rsidRPr="00AC0E11">
        <w:t>The Corona</w:t>
      </w:r>
      <w:r w:rsidR="00FE76E9" w:rsidRPr="00AC0E11">
        <w:t>virus</w:t>
      </w:r>
      <w:r w:rsidRPr="00AC0E11">
        <w:t xml:space="preserve"> </w:t>
      </w:r>
      <w:r w:rsidR="00FE76E9" w:rsidRPr="00AC0E11">
        <w:t xml:space="preserve">(COVID-19) </w:t>
      </w:r>
      <w:r w:rsidRPr="00AC0E11">
        <w:t xml:space="preserve">pandemic has affected </w:t>
      </w:r>
      <w:r w:rsidR="00D938B9" w:rsidRPr="00AC0E11">
        <w:t xml:space="preserve">the </w:t>
      </w:r>
      <w:r w:rsidRPr="00AC0E11">
        <w:t>educational systems throughout the world, leading to the widespread closure of schools and universities. On March 16</w:t>
      </w:r>
      <w:r w:rsidR="00D80905" w:rsidRPr="00AC0E11">
        <w:rPr>
          <w:vertAlign w:val="superscript"/>
        </w:rPr>
        <w:t>th</w:t>
      </w:r>
      <w:r w:rsidR="00D938B9" w:rsidRPr="00AC0E11">
        <w:t xml:space="preserve"> </w:t>
      </w:r>
      <w:r w:rsidRPr="00AC0E11">
        <w:t xml:space="preserve">2020, governments in 73 countries announced the closure of schools, including 56 countries that closed schools across the </w:t>
      </w:r>
      <w:r w:rsidR="00FE76E9" w:rsidRPr="00AC0E11">
        <w:t xml:space="preserve">world </w:t>
      </w:r>
      <w:r w:rsidRPr="00AC0E11">
        <w:t xml:space="preserve">and 17 countries closed schools within a specified range. The closure of schools affected more than 421 million </w:t>
      </w:r>
      <w:r w:rsidR="00C6091A" w:rsidRPr="00AC0E11">
        <w:t xml:space="preserve">students </w:t>
      </w:r>
      <w:r w:rsidRPr="00AC0E11">
        <w:t xml:space="preserve">globally, while the limited-scale closure of schools put 577 million </w:t>
      </w:r>
      <w:r w:rsidR="00C6091A" w:rsidRPr="00AC0E11">
        <w:t xml:space="preserve">students </w:t>
      </w:r>
      <w:r w:rsidRPr="00AC0E11">
        <w:t>at risk. According to data released by UNESCO on March 10</w:t>
      </w:r>
      <w:r w:rsidR="00D80905" w:rsidRPr="00AC0E11">
        <w:rPr>
          <w:vertAlign w:val="superscript"/>
        </w:rPr>
        <w:t>th</w:t>
      </w:r>
      <w:r w:rsidR="00FE76E9" w:rsidRPr="00AC0E11">
        <w:t xml:space="preserve"> 2020</w:t>
      </w:r>
      <w:r w:rsidRPr="00AC0E11">
        <w:t xml:space="preserve">, the closure of schools and universities due to the spread of the </w:t>
      </w:r>
      <w:r w:rsidR="00B522FE" w:rsidRPr="00AC0E11">
        <w:t>COVID-19</w:t>
      </w:r>
      <w:r w:rsidR="00B522FE">
        <w:rPr>
          <w:rFonts w:hint="cs"/>
          <w:rtl/>
        </w:rPr>
        <w:t xml:space="preserve"> </w:t>
      </w:r>
      <w:r w:rsidRPr="00AC0E11">
        <w:t>virus has left one in five students out of school globally.</w:t>
      </w:r>
    </w:p>
    <w:p w:rsidR="000A4D31" w:rsidRPr="00F63CAA" w:rsidRDefault="000A4D31" w:rsidP="000A4D31">
      <w:pPr>
        <w:bidi w:val="0"/>
        <w:jc w:val="both"/>
        <w:rPr>
          <w:sz w:val="16"/>
          <w:szCs w:val="16"/>
        </w:rPr>
      </w:pPr>
    </w:p>
    <w:p w:rsidR="00B7733C" w:rsidRPr="00AC0E11" w:rsidRDefault="00650B5C" w:rsidP="00CC3326">
      <w:pPr>
        <w:bidi w:val="0"/>
        <w:jc w:val="both"/>
      </w:pPr>
      <w:r w:rsidRPr="00AC0E11">
        <w:t xml:space="preserve">The educational process in Palestine faced many challenges over the years </w:t>
      </w:r>
      <w:r w:rsidR="00C6091A" w:rsidRPr="00AC0E11">
        <w:t xml:space="preserve">because of </w:t>
      </w:r>
      <w:r w:rsidRPr="00AC0E11">
        <w:t xml:space="preserve">the Israeli occupation, and almost always possessed the ability and the will to continue in various forms. </w:t>
      </w:r>
      <w:r w:rsidR="00905E7F" w:rsidRPr="00AC0E11">
        <w:t>This has given it</w:t>
      </w:r>
      <w:r w:rsidRPr="00AC0E11">
        <w:t xml:space="preserve"> the ability to face the impact of the closure of educational institutions for a period of three months </w:t>
      </w:r>
      <w:r w:rsidR="00CC3326" w:rsidRPr="00AC0E11">
        <w:t>due to the</w:t>
      </w:r>
      <w:r w:rsidRPr="00AC0E11">
        <w:t xml:space="preserve"> spread of the Corona</w:t>
      </w:r>
      <w:r w:rsidR="00CC3326" w:rsidRPr="00AC0E11">
        <w:t>v</w:t>
      </w:r>
      <w:r w:rsidRPr="00AC0E11">
        <w:t>irus, especially with the advancement of communication methods and modern technologies in education.</w:t>
      </w:r>
    </w:p>
    <w:p w:rsidR="00437A0F" w:rsidRDefault="00437A0F" w:rsidP="0081675C">
      <w:pPr>
        <w:bidi w:val="0"/>
        <w:jc w:val="both"/>
      </w:pPr>
      <w:r w:rsidRPr="00AC0E11">
        <w:t xml:space="preserve">In the 2019/2020 scholastic year, there were around 78 thousand applicants for the General Certificate Exam. Approximately 40 thousand students graduate annually from </w:t>
      </w:r>
      <w:r w:rsidR="00CC3326" w:rsidRPr="00AC0E11">
        <w:t xml:space="preserve">the </w:t>
      </w:r>
      <w:r w:rsidRPr="00AC0E11">
        <w:t xml:space="preserve">Palestinian higher education institutions. </w:t>
      </w:r>
      <w:r w:rsidRPr="00AC0E11">
        <w:rPr>
          <w:rFonts w:asciiTheme="majorBidi" w:hAnsiTheme="majorBidi" w:cstheme="majorBidi"/>
        </w:rPr>
        <w:t>The local market accommodates 8</w:t>
      </w:r>
      <w:r w:rsidR="0081675C">
        <w:rPr>
          <w:rFonts w:asciiTheme="majorBidi" w:hAnsiTheme="majorBidi" w:cstheme="majorBidi"/>
        </w:rPr>
        <w:t xml:space="preserve"> thousand</w:t>
      </w:r>
      <w:r w:rsidRPr="00AC0E11">
        <w:rPr>
          <w:rFonts w:asciiTheme="majorBidi" w:hAnsiTheme="majorBidi" w:cstheme="majorBidi"/>
        </w:rPr>
        <w:t xml:space="preserve"> job opportunities for graduates (20-29 years).</w:t>
      </w:r>
    </w:p>
    <w:p w:rsidR="000A4D31" w:rsidRPr="00F63CAA" w:rsidRDefault="000A4D31" w:rsidP="000A4D31">
      <w:pPr>
        <w:bidi w:val="0"/>
        <w:jc w:val="both"/>
        <w:rPr>
          <w:sz w:val="16"/>
          <w:szCs w:val="16"/>
        </w:rPr>
      </w:pPr>
    </w:p>
    <w:p w:rsidR="007010F5" w:rsidRPr="000A4D31" w:rsidRDefault="007010F5" w:rsidP="00495508">
      <w:pPr>
        <w:bidi w:val="0"/>
        <w:jc w:val="both"/>
        <w:rPr>
          <w:b/>
          <w:bCs/>
        </w:rPr>
      </w:pPr>
      <w:r w:rsidRPr="000A4D31">
        <w:rPr>
          <w:b/>
          <w:bCs/>
        </w:rPr>
        <w:t xml:space="preserve">Business and Administration is the field where most students aged </w:t>
      </w:r>
      <w:r w:rsidR="00B256D1" w:rsidRPr="000A4D31">
        <w:rPr>
          <w:b/>
          <w:bCs/>
        </w:rPr>
        <w:t>(</w:t>
      </w:r>
      <w:r w:rsidRPr="000A4D31">
        <w:rPr>
          <w:b/>
          <w:bCs/>
        </w:rPr>
        <w:t>20-29 years</w:t>
      </w:r>
      <w:r w:rsidR="00B256D1" w:rsidRPr="000A4D31">
        <w:rPr>
          <w:b/>
          <w:bCs/>
        </w:rPr>
        <w:t>)</w:t>
      </w:r>
      <w:r w:rsidRPr="000A4D31">
        <w:rPr>
          <w:b/>
          <w:bCs/>
        </w:rPr>
        <w:t xml:space="preserve"> </w:t>
      </w:r>
      <w:r w:rsidR="00F56336" w:rsidRPr="000A4D31">
        <w:rPr>
          <w:b/>
          <w:bCs/>
        </w:rPr>
        <w:t>were</w:t>
      </w:r>
      <w:r w:rsidR="007130C8" w:rsidRPr="000A4D31">
        <w:rPr>
          <w:b/>
          <w:bCs/>
        </w:rPr>
        <w:t xml:space="preserve"> </w:t>
      </w:r>
      <w:r w:rsidRPr="000A4D31">
        <w:rPr>
          <w:b/>
          <w:bCs/>
        </w:rPr>
        <w:t>enroll</w:t>
      </w:r>
      <w:r w:rsidR="007130C8" w:rsidRPr="000A4D31">
        <w:rPr>
          <w:b/>
          <w:bCs/>
        </w:rPr>
        <w:t>ed,</w:t>
      </w:r>
      <w:r w:rsidRPr="000A4D31">
        <w:rPr>
          <w:b/>
          <w:bCs/>
        </w:rPr>
        <w:t xml:space="preserve"> whether for intermediate diploma or a bachelor’s degree (BA)</w:t>
      </w:r>
      <w:r w:rsidR="00632918" w:rsidRPr="000A4D31">
        <w:rPr>
          <w:b/>
          <w:bCs/>
        </w:rPr>
        <w:t>.</w:t>
      </w:r>
    </w:p>
    <w:p w:rsidR="007010F5" w:rsidRPr="00757B21" w:rsidRDefault="007010F5" w:rsidP="007130C8">
      <w:pPr>
        <w:bidi w:val="0"/>
        <w:jc w:val="both"/>
      </w:pPr>
      <w:r w:rsidRPr="00757B21">
        <w:t xml:space="preserve">In </w:t>
      </w:r>
      <w:r w:rsidR="009D2304" w:rsidRPr="00757B21">
        <w:t>2019</w:t>
      </w:r>
      <w:r w:rsidRPr="00757B21">
        <w:t xml:space="preserve">, </w:t>
      </w:r>
      <w:r w:rsidR="00F64EBF">
        <w:t>individuals</w:t>
      </w:r>
      <w:r w:rsidRPr="00757B21">
        <w:t xml:space="preserve"> aged </w:t>
      </w:r>
      <w:r w:rsidR="00B256D1" w:rsidRPr="00757B21">
        <w:t>(</w:t>
      </w:r>
      <w:r w:rsidRPr="00757B21">
        <w:t>20-29 years</w:t>
      </w:r>
      <w:r w:rsidR="00B256D1" w:rsidRPr="00757B21">
        <w:t>)</w:t>
      </w:r>
      <w:r w:rsidRPr="00757B21">
        <w:t xml:space="preserve"> obtained an intermediate diploma or bachelor’s degree specialized in the following fields of education</w:t>
      </w:r>
      <w:r w:rsidRPr="00757B21">
        <w:rPr>
          <w:rtl/>
        </w:rPr>
        <w:t>:</w:t>
      </w:r>
    </w:p>
    <w:p w:rsidR="007010F5" w:rsidRPr="00757B21" w:rsidRDefault="007010F5" w:rsidP="000A4D31">
      <w:pPr>
        <w:bidi w:val="0"/>
        <w:jc w:val="both"/>
      </w:pPr>
      <w:r w:rsidRPr="00757B21">
        <w:t>Business and administration (</w:t>
      </w:r>
      <w:r w:rsidR="00850F1C" w:rsidRPr="00757B21">
        <w:t>28</w:t>
      </w:r>
      <w:r w:rsidRPr="00757B21">
        <w:t xml:space="preserve">%), </w:t>
      </w:r>
      <w:r w:rsidRPr="00757B21">
        <w:rPr>
          <w:rFonts w:asciiTheme="majorBidi" w:hAnsiTheme="majorBidi" w:cstheme="majorBidi"/>
        </w:rPr>
        <w:t>teacher training and education sciences</w:t>
      </w:r>
      <w:r w:rsidRPr="00757B21">
        <w:t xml:space="preserve"> (</w:t>
      </w:r>
      <w:r w:rsidR="00A30EA1" w:rsidRPr="00757B21">
        <w:t>16</w:t>
      </w:r>
      <w:r w:rsidRPr="00757B21">
        <w:t>%), health (</w:t>
      </w:r>
      <w:r w:rsidR="00AC0EDD" w:rsidRPr="00757B21">
        <w:t>11</w:t>
      </w:r>
      <w:r w:rsidRPr="00757B21">
        <w:t>%),</w:t>
      </w:r>
      <w:r w:rsidRPr="00757B21">
        <w:rPr>
          <w:rFonts w:asciiTheme="majorBidi" w:hAnsiTheme="majorBidi" w:cstheme="majorBidi"/>
        </w:rPr>
        <w:t xml:space="preserve"> </w:t>
      </w:r>
      <w:r w:rsidR="00CA462C" w:rsidRPr="00757B21">
        <w:t>social and behavioral sciences</w:t>
      </w:r>
      <w:r w:rsidR="00CA462C" w:rsidRPr="00757B21">
        <w:rPr>
          <w:rFonts w:asciiTheme="majorBidi" w:hAnsiTheme="majorBidi" w:cstheme="majorBidi"/>
        </w:rPr>
        <w:t xml:space="preserve"> </w:t>
      </w:r>
      <w:r w:rsidRPr="00757B21">
        <w:t>(</w:t>
      </w:r>
      <w:r w:rsidR="00CA462C" w:rsidRPr="00757B21">
        <w:t>8</w:t>
      </w:r>
      <w:r w:rsidRPr="00757B21">
        <w:t xml:space="preserve">%), </w:t>
      </w:r>
      <w:r w:rsidR="00CA462C" w:rsidRPr="00757B21">
        <w:t>humanities</w:t>
      </w:r>
      <w:r w:rsidR="00CA462C" w:rsidRPr="00757B21">
        <w:rPr>
          <w:rFonts w:asciiTheme="majorBidi" w:hAnsiTheme="majorBidi" w:cstheme="majorBidi"/>
        </w:rPr>
        <w:t xml:space="preserve"> </w:t>
      </w:r>
      <w:r w:rsidRPr="00757B21">
        <w:rPr>
          <w:rFonts w:asciiTheme="majorBidi" w:hAnsiTheme="majorBidi" w:cstheme="majorBidi"/>
        </w:rPr>
        <w:t xml:space="preserve">(8%) </w:t>
      </w:r>
      <w:r w:rsidR="005C110D">
        <w:rPr>
          <w:rFonts w:asciiTheme="majorBidi" w:hAnsiTheme="majorBidi" w:cstheme="majorBidi"/>
        </w:rPr>
        <w:t xml:space="preserve">and </w:t>
      </w:r>
      <w:r w:rsidRPr="00757B21">
        <w:rPr>
          <w:rFonts w:asciiTheme="majorBidi" w:hAnsiTheme="majorBidi" w:cstheme="majorBidi"/>
        </w:rPr>
        <w:t>other fields (</w:t>
      </w:r>
      <w:r w:rsidR="00CA462C" w:rsidRPr="00757B21">
        <w:rPr>
          <w:rFonts w:asciiTheme="majorBidi" w:hAnsiTheme="majorBidi" w:cstheme="majorBidi"/>
        </w:rPr>
        <w:t>29</w:t>
      </w:r>
      <w:r w:rsidRPr="00757B21">
        <w:rPr>
          <w:rFonts w:asciiTheme="majorBidi" w:hAnsiTheme="majorBidi" w:cstheme="majorBidi"/>
        </w:rPr>
        <w:t>%)</w:t>
      </w:r>
      <w:r w:rsidR="00C54F7A" w:rsidRPr="00757B21">
        <w:t>,</w:t>
      </w:r>
      <w:r w:rsidR="00C54F7A">
        <w:rPr>
          <w:rFonts w:asciiTheme="majorBidi" w:hAnsiTheme="majorBidi" w:cstheme="majorBidi"/>
        </w:rPr>
        <w:t xml:space="preserve"> while</w:t>
      </w:r>
      <w:r w:rsidRPr="00757B21">
        <w:t xml:space="preserve"> the majority of them </w:t>
      </w:r>
      <w:r w:rsidR="00381551" w:rsidRPr="00757B21">
        <w:t xml:space="preserve">also </w:t>
      </w:r>
      <w:r w:rsidRPr="00757B21">
        <w:t xml:space="preserve">majored </w:t>
      </w:r>
      <w:r w:rsidR="00C54F7A">
        <w:t xml:space="preserve">in business and administration compared to </w:t>
      </w:r>
      <w:r w:rsidR="00C54F7A" w:rsidRPr="00757B21">
        <w:t>the past decade</w:t>
      </w:r>
      <w:r w:rsidR="00C54F7A">
        <w:t>.</w:t>
      </w:r>
    </w:p>
    <w:p w:rsidR="00C418D7" w:rsidRPr="00F63CAA" w:rsidRDefault="0015686C" w:rsidP="000A4D31">
      <w:pPr>
        <w:bidi w:val="0"/>
        <w:outlineLvl w:val="0"/>
        <w:rPr>
          <w:b/>
          <w:bCs/>
          <w:color w:val="FF0000"/>
          <w:sz w:val="16"/>
          <w:szCs w:val="16"/>
        </w:rPr>
      </w:pPr>
      <w:r w:rsidRPr="00380AF6">
        <w:rPr>
          <w:b/>
          <w:bCs/>
          <w:color w:val="FF0000"/>
          <w:kern w:val="36"/>
          <w:sz w:val="6"/>
          <w:szCs w:val="6"/>
        </w:rPr>
        <w:t xml:space="preserve">    </w:t>
      </w:r>
    </w:p>
    <w:p w:rsidR="000A4D31" w:rsidRPr="000A4D31" w:rsidRDefault="000A4D31" w:rsidP="000A4D31">
      <w:pPr>
        <w:bidi w:val="0"/>
        <w:jc w:val="center"/>
        <w:rPr>
          <w:b/>
          <w:bCs/>
          <w:sz w:val="2"/>
          <w:szCs w:val="2"/>
        </w:rPr>
      </w:pPr>
    </w:p>
    <w:p w:rsidR="007010F5" w:rsidRPr="000A4D31" w:rsidRDefault="007010F5" w:rsidP="000A4D31">
      <w:pPr>
        <w:bidi w:val="0"/>
        <w:jc w:val="center"/>
        <w:rPr>
          <w:b/>
          <w:bCs/>
        </w:rPr>
      </w:pPr>
      <w:r w:rsidRPr="000A4D31">
        <w:rPr>
          <w:b/>
          <w:bCs/>
        </w:rPr>
        <w:t xml:space="preserve">Percentage Distribution </w:t>
      </w:r>
      <w:r w:rsidR="00934903" w:rsidRPr="000A4D31">
        <w:rPr>
          <w:b/>
          <w:bCs/>
        </w:rPr>
        <w:t>among</w:t>
      </w:r>
      <w:r w:rsidRPr="000A4D31">
        <w:rPr>
          <w:b/>
          <w:bCs/>
        </w:rPr>
        <w:t xml:space="preserve"> </w:t>
      </w:r>
      <w:r w:rsidR="00F64EBF" w:rsidRPr="000A4D31">
        <w:rPr>
          <w:b/>
          <w:bCs/>
        </w:rPr>
        <w:t>Individuals</w:t>
      </w:r>
      <w:r w:rsidRPr="000A4D31">
        <w:rPr>
          <w:b/>
          <w:bCs/>
        </w:rPr>
        <w:t xml:space="preserve"> (20-29 years</w:t>
      </w:r>
      <w:r w:rsidR="00B237E7" w:rsidRPr="000A4D31">
        <w:rPr>
          <w:b/>
          <w:bCs/>
        </w:rPr>
        <w:t>)</w:t>
      </w:r>
      <w:r w:rsidRPr="000A4D31">
        <w:rPr>
          <w:b/>
          <w:bCs/>
        </w:rPr>
        <w:t xml:space="preserve"> in Palestine </w:t>
      </w:r>
    </w:p>
    <w:p w:rsidR="007010F5" w:rsidRPr="000A4D31" w:rsidRDefault="007010F5" w:rsidP="000A4D31">
      <w:pPr>
        <w:bidi w:val="0"/>
        <w:spacing w:before="120" w:after="120"/>
        <w:jc w:val="center"/>
        <w:rPr>
          <w:b/>
          <w:bCs/>
        </w:rPr>
      </w:pPr>
      <w:r w:rsidRPr="000A4D31">
        <w:rPr>
          <w:b/>
          <w:bCs/>
        </w:rPr>
        <w:t xml:space="preserve">with an </w:t>
      </w:r>
      <w:r w:rsidR="005C110D" w:rsidRPr="000A4D31">
        <w:rPr>
          <w:b/>
          <w:bCs/>
        </w:rPr>
        <w:t xml:space="preserve">Intermediate Diploma </w:t>
      </w:r>
      <w:r w:rsidRPr="000A4D31">
        <w:rPr>
          <w:b/>
          <w:bCs/>
        </w:rPr>
        <w:t xml:space="preserve">or </w:t>
      </w:r>
      <w:r w:rsidR="005C110D" w:rsidRPr="000A4D31">
        <w:rPr>
          <w:b/>
          <w:bCs/>
        </w:rPr>
        <w:t xml:space="preserve">Bachelor’s Degree </w:t>
      </w:r>
      <w:r w:rsidRPr="000A4D31">
        <w:rPr>
          <w:b/>
          <w:bCs/>
        </w:rPr>
        <w:t xml:space="preserve">by </w:t>
      </w:r>
      <w:r w:rsidR="005C110D" w:rsidRPr="000A4D31">
        <w:rPr>
          <w:b/>
          <w:bCs/>
        </w:rPr>
        <w:t xml:space="preserve">Field </w:t>
      </w:r>
      <w:r w:rsidRPr="000A4D31">
        <w:rPr>
          <w:b/>
          <w:bCs/>
        </w:rPr>
        <w:t xml:space="preserve">of </w:t>
      </w:r>
      <w:r w:rsidR="005C110D" w:rsidRPr="000A4D31">
        <w:rPr>
          <w:b/>
          <w:bCs/>
        </w:rPr>
        <w:t xml:space="preserve">Education </w:t>
      </w:r>
      <w:r w:rsidRPr="000A4D31">
        <w:rPr>
          <w:b/>
          <w:bCs/>
        </w:rPr>
        <w:t xml:space="preserve">and Sex in </w:t>
      </w:r>
      <w:r w:rsidR="001B7F39" w:rsidRPr="000A4D31">
        <w:rPr>
          <w:b/>
          <w:bCs/>
        </w:rPr>
        <w:t>2019</w:t>
      </w:r>
    </w:p>
    <w:tbl>
      <w:tblPr>
        <w:tblStyle w:val="TableGrid"/>
        <w:tblW w:w="9771" w:type="dxa"/>
        <w:jc w:val="center"/>
        <w:tblInd w:w="-437" w:type="dxa"/>
        <w:tblLayout w:type="fixed"/>
        <w:tblLook w:val="04A0"/>
      </w:tblPr>
      <w:tblGrid>
        <w:gridCol w:w="4011"/>
        <w:gridCol w:w="1980"/>
        <w:gridCol w:w="1620"/>
        <w:gridCol w:w="2160"/>
      </w:tblGrid>
      <w:tr w:rsidR="00A463C3" w:rsidRPr="000A4D31" w:rsidTr="000A4D31">
        <w:trPr>
          <w:trHeight w:hRule="exact" w:val="258"/>
          <w:jc w:val="center"/>
        </w:trPr>
        <w:tc>
          <w:tcPr>
            <w:tcW w:w="4011" w:type="dxa"/>
            <w:vMerge w:val="restart"/>
            <w:vAlign w:val="center"/>
          </w:tcPr>
          <w:p w:rsidR="00A463C3" w:rsidRPr="000A4D31" w:rsidRDefault="00A463C3" w:rsidP="005C11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Field of </w:t>
            </w:r>
            <w:r w:rsidR="005C110D"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1980" w:type="dxa"/>
            <w:vMerge w:val="restart"/>
            <w:vAlign w:val="center"/>
          </w:tcPr>
          <w:p w:rsidR="00A463C3" w:rsidRPr="000A4D31" w:rsidRDefault="00A463C3" w:rsidP="005C11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Both </w:t>
            </w:r>
            <w:r w:rsidR="005C110D"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Sexes</w:t>
            </w:r>
          </w:p>
        </w:tc>
        <w:tc>
          <w:tcPr>
            <w:tcW w:w="3780" w:type="dxa"/>
            <w:gridSpan w:val="2"/>
            <w:vAlign w:val="center"/>
          </w:tcPr>
          <w:p w:rsidR="00A463C3" w:rsidRPr="000A4D31" w:rsidRDefault="00A463C3" w:rsidP="00833C7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Sex</w:t>
            </w:r>
          </w:p>
        </w:tc>
      </w:tr>
      <w:tr w:rsidR="00A463C3" w:rsidRPr="000A4D31" w:rsidTr="000A4D31">
        <w:trPr>
          <w:trHeight w:hRule="exact" w:val="204"/>
          <w:jc w:val="center"/>
        </w:trPr>
        <w:tc>
          <w:tcPr>
            <w:tcW w:w="4011" w:type="dxa"/>
            <w:vMerge/>
          </w:tcPr>
          <w:p w:rsidR="00A463C3" w:rsidRPr="000A4D31" w:rsidRDefault="00A463C3" w:rsidP="00AF64A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463C3" w:rsidRPr="000A4D31" w:rsidRDefault="00A463C3" w:rsidP="00833C7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463C3" w:rsidRPr="000A4D31" w:rsidRDefault="00A463C3" w:rsidP="00833C7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Males</w:t>
            </w:r>
          </w:p>
        </w:tc>
        <w:tc>
          <w:tcPr>
            <w:tcW w:w="2160" w:type="dxa"/>
            <w:vAlign w:val="center"/>
          </w:tcPr>
          <w:p w:rsidR="00A463C3" w:rsidRPr="000A4D31" w:rsidRDefault="00A463C3" w:rsidP="00833C7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Females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Business and administration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24</w:t>
            </w:r>
          </w:p>
        </w:tc>
      </w:tr>
      <w:tr w:rsidR="00A463C3" w:rsidRPr="000A4D31" w:rsidTr="000A4D31">
        <w:trPr>
          <w:trHeight w:hRule="exact" w:val="249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Teacher training and education sciences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22</w:t>
            </w:r>
          </w:p>
        </w:tc>
      </w:tr>
      <w:tr w:rsidR="00A463C3" w:rsidRPr="000A4D31" w:rsidTr="000A4D31">
        <w:trPr>
          <w:trHeight w:hRule="exact" w:val="258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Health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Social and behavioral sciences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Humanities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Engineering and engineering trades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Computing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Architecture and construction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</w:tr>
      <w:tr w:rsidR="00A463C3" w:rsidRPr="000A4D31" w:rsidTr="000A4D31">
        <w:trPr>
          <w:trHeight w:hRule="exact" w:val="276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Law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 xml:space="preserve">Journalism and information 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Life sciences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Mathematics and statistics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A463C3" w:rsidRPr="000A4D31" w:rsidTr="00572672">
        <w:trPr>
          <w:trHeight w:hRule="exact" w:val="213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Personal services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</w:tr>
      <w:tr w:rsidR="00A463C3" w:rsidRPr="000A4D31" w:rsidTr="00572672">
        <w:trPr>
          <w:trHeight w:hRule="exact" w:val="276"/>
          <w:jc w:val="center"/>
        </w:trPr>
        <w:tc>
          <w:tcPr>
            <w:tcW w:w="4011" w:type="dxa"/>
            <w:vAlign w:val="center"/>
          </w:tcPr>
          <w:p w:rsidR="00A463C3" w:rsidRPr="00F63CAA" w:rsidRDefault="00A463C3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F63CAA">
              <w:rPr>
                <w:rFonts w:asciiTheme="majorBidi" w:hAnsiTheme="majorBidi" w:cstheme="majorBidi"/>
                <w:sz w:val="22"/>
                <w:szCs w:val="22"/>
              </w:rPr>
              <w:t>Other disciplines</w:t>
            </w:r>
          </w:p>
        </w:tc>
        <w:tc>
          <w:tcPr>
            <w:tcW w:w="198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:rsidR="00A463C3" w:rsidRPr="00572672" w:rsidRDefault="00A463C3" w:rsidP="005726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</w:tr>
      <w:tr w:rsidR="00A463C3" w:rsidRPr="000A4D31" w:rsidTr="000A4D31">
        <w:trPr>
          <w:trHeight w:hRule="exact" w:val="284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63C3" w:rsidRPr="000A4D31" w:rsidRDefault="00A463C3" w:rsidP="002F7653">
            <w:pPr>
              <w:bidi w:val="0"/>
              <w:ind w:leftChars="37" w:left="89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463C3" w:rsidRPr="00572672" w:rsidRDefault="00A463C3" w:rsidP="0057267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463C3" w:rsidRPr="00572672" w:rsidRDefault="00A463C3" w:rsidP="0057267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463C3" w:rsidRPr="00572672" w:rsidRDefault="00A463C3" w:rsidP="0057267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</w:t>
            </w:r>
          </w:p>
        </w:tc>
      </w:tr>
      <w:tr w:rsidR="008548DE" w:rsidRPr="000A4D31" w:rsidTr="000A4D31">
        <w:trPr>
          <w:trHeight w:hRule="exact" w:val="212"/>
          <w:jc w:val="center"/>
        </w:trPr>
        <w:tc>
          <w:tcPr>
            <w:tcW w:w="977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8DE" w:rsidRPr="000A4D31" w:rsidRDefault="008548DE" w:rsidP="008548D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0A4D31">
              <w:rPr>
                <w:rFonts w:asciiTheme="majorBidi" w:hAnsiTheme="majorBidi" w:cstheme="majorBidi"/>
                <w:sz w:val="18"/>
                <w:szCs w:val="18"/>
              </w:rPr>
              <w:t xml:space="preserve">The percentage (0) means that the percentage is less than 0.5% </w:t>
            </w:r>
          </w:p>
        </w:tc>
      </w:tr>
      <w:tr w:rsidR="008548DE" w:rsidRPr="000A4D31" w:rsidTr="00CB12C0">
        <w:trPr>
          <w:trHeight w:hRule="exact" w:val="204"/>
          <w:jc w:val="center"/>
        </w:trPr>
        <w:tc>
          <w:tcPr>
            <w:tcW w:w="97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8DE" w:rsidRPr="00CB12C0" w:rsidRDefault="008548DE" w:rsidP="00381551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B12C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Source: Palestinian Central Bureau  of Statistics, 2020. </w:t>
            </w:r>
            <w:r w:rsidRPr="00CB12C0">
              <w:rPr>
                <w:rFonts w:asciiTheme="majorBidi" w:hAnsiTheme="majorBidi" w:cstheme="majorBidi"/>
                <w:sz w:val="18"/>
                <w:szCs w:val="18"/>
              </w:rPr>
              <w:t xml:space="preserve">Database </w:t>
            </w:r>
            <w:r w:rsidR="00381551" w:rsidRPr="00CB12C0">
              <w:rPr>
                <w:rFonts w:asciiTheme="majorBidi" w:hAnsiTheme="majorBidi" w:cstheme="majorBidi"/>
                <w:sz w:val="18"/>
                <w:szCs w:val="18"/>
              </w:rPr>
              <w:t>of L</w:t>
            </w:r>
            <w:r w:rsidRPr="00CB12C0">
              <w:rPr>
                <w:rFonts w:asciiTheme="majorBidi" w:hAnsiTheme="majorBidi" w:cstheme="majorBidi"/>
                <w:sz w:val="18"/>
                <w:szCs w:val="18"/>
              </w:rPr>
              <w:t xml:space="preserve">abor </w:t>
            </w:r>
            <w:r w:rsidR="00381551" w:rsidRPr="00CB12C0">
              <w:rPr>
                <w:rFonts w:asciiTheme="majorBidi" w:hAnsiTheme="majorBidi" w:cstheme="majorBidi"/>
                <w:sz w:val="18"/>
                <w:szCs w:val="18"/>
              </w:rPr>
              <w:t>Force Survey</w:t>
            </w:r>
            <w:r w:rsidRPr="00CB12C0">
              <w:rPr>
                <w:rFonts w:asciiTheme="majorBidi" w:hAnsiTheme="majorBidi" w:cstheme="majorBidi"/>
                <w:sz w:val="18"/>
                <w:szCs w:val="18"/>
              </w:rPr>
              <w:t>, 2019. Ramallah-Palestine</w:t>
            </w:r>
          </w:p>
        </w:tc>
      </w:tr>
    </w:tbl>
    <w:p w:rsidR="00502271" w:rsidRPr="00572672" w:rsidRDefault="00621952" w:rsidP="00572672">
      <w:pPr>
        <w:bidi w:val="0"/>
        <w:spacing w:before="120" w:after="120"/>
        <w:jc w:val="both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lastRenderedPageBreak/>
        <w:t>U</w:t>
      </w:r>
      <w:r w:rsidR="00502271" w:rsidRPr="00572672">
        <w:rPr>
          <w:b/>
          <w:bCs/>
          <w:sz w:val="26"/>
          <w:szCs w:val="26"/>
        </w:rPr>
        <w:t xml:space="preserve">nemployment rate among </w:t>
      </w:r>
      <w:r w:rsidR="00F64EBF" w:rsidRPr="00572672">
        <w:rPr>
          <w:b/>
          <w:bCs/>
          <w:sz w:val="26"/>
          <w:szCs w:val="26"/>
        </w:rPr>
        <w:t>individuals</w:t>
      </w:r>
      <w:r w:rsidR="00502271" w:rsidRPr="00572672">
        <w:rPr>
          <w:b/>
          <w:bCs/>
          <w:sz w:val="26"/>
          <w:szCs w:val="26"/>
        </w:rPr>
        <w:t xml:space="preserve"> aged </w:t>
      </w:r>
      <w:r w:rsidR="0077001A" w:rsidRPr="00572672">
        <w:rPr>
          <w:b/>
          <w:bCs/>
          <w:sz w:val="26"/>
          <w:szCs w:val="26"/>
        </w:rPr>
        <w:t>(</w:t>
      </w:r>
      <w:r w:rsidR="00502271" w:rsidRPr="00572672">
        <w:rPr>
          <w:b/>
          <w:bCs/>
          <w:sz w:val="26"/>
          <w:szCs w:val="26"/>
        </w:rPr>
        <w:t>20-29 years</w:t>
      </w:r>
      <w:r w:rsidR="0077001A" w:rsidRPr="00572672">
        <w:rPr>
          <w:b/>
          <w:bCs/>
          <w:sz w:val="26"/>
          <w:szCs w:val="26"/>
        </w:rPr>
        <w:t>)</w:t>
      </w:r>
      <w:r w:rsidR="00502271" w:rsidRPr="00572672">
        <w:rPr>
          <w:b/>
          <w:bCs/>
          <w:sz w:val="26"/>
          <w:szCs w:val="26"/>
        </w:rPr>
        <w:t xml:space="preserve"> with an intermediate diploma or bachelor's degree </w:t>
      </w:r>
      <w:r w:rsidRPr="00572672">
        <w:rPr>
          <w:b/>
          <w:bCs/>
          <w:sz w:val="26"/>
          <w:szCs w:val="26"/>
        </w:rPr>
        <w:t>is still high</w:t>
      </w:r>
    </w:p>
    <w:p w:rsidR="006102B7" w:rsidRPr="00572672" w:rsidRDefault="00621952" w:rsidP="000A4D31">
      <w:pPr>
        <w:bidi w:val="0"/>
        <w:jc w:val="both"/>
        <w:rPr>
          <w:rFonts w:asciiTheme="majorBidi" w:hAnsiTheme="majorBidi" w:cstheme="majorBidi"/>
        </w:rPr>
      </w:pPr>
      <w:r w:rsidRPr="00572672">
        <w:rPr>
          <w:rFonts w:asciiTheme="majorBidi" w:hAnsiTheme="majorBidi" w:cstheme="majorBidi"/>
        </w:rPr>
        <w:t xml:space="preserve">The unemployment rate among </w:t>
      </w:r>
      <w:r w:rsidR="00F64EBF" w:rsidRPr="00572672">
        <w:rPr>
          <w:rFonts w:asciiTheme="majorBidi" w:hAnsiTheme="majorBidi" w:cstheme="majorBidi"/>
        </w:rPr>
        <w:t>individuals</w:t>
      </w:r>
      <w:r w:rsidRPr="00572672">
        <w:rPr>
          <w:rFonts w:asciiTheme="majorBidi" w:hAnsiTheme="majorBidi" w:cstheme="majorBidi"/>
        </w:rPr>
        <w:t xml:space="preserve"> aged (20-29 years) with an intermediate diploma or bachelor’s degree in Palestine is still high in 2019 with a slight decrease compared to this rate in 2018</w:t>
      </w:r>
      <w:r w:rsidR="00742D56" w:rsidRPr="00572672">
        <w:rPr>
          <w:rFonts w:asciiTheme="majorBidi" w:hAnsiTheme="majorBidi" w:cstheme="majorBidi"/>
        </w:rPr>
        <w:t xml:space="preserve">. This </w:t>
      </w:r>
      <w:r w:rsidRPr="00572672">
        <w:rPr>
          <w:rFonts w:asciiTheme="majorBidi" w:hAnsiTheme="majorBidi" w:cstheme="majorBidi"/>
        </w:rPr>
        <w:t>rate reached 53% in 2019</w:t>
      </w:r>
      <w:r w:rsidR="00742D56" w:rsidRPr="00572672">
        <w:rPr>
          <w:rFonts w:asciiTheme="majorBidi" w:hAnsiTheme="majorBidi" w:cstheme="majorBidi"/>
        </w:rPr>
        <w:t xml:space="preserve">: </w:t>
      </w:r>
      <w:r w:rsidRPr="00572672">
        <w:rPr>
          <w:rFonts w:asciiTheme="majorBidi" w:hAnsiTheme="majorBidi" w:cstheme="majorBidi"/>
        </w:rPr>
        <w:t>35% in West Bank and 72% in Gaza Strip</w:t>
      </w:r>
      <w:r w:rsidR="00742D56" w:rsidRPr="00572672">
        <w:rPr>
          <w:rFonts w:asciiTheme="majorBidi" w:hAnsiTheme="majorBidi" w:cstheme="majorBidi"/>
        </w:rPr>
        <w:t xml:space="preserve">, while it </w:t>
      </w:r>
      <w:r w:rsidRPr="00572672">
        <w:rPr>
          <w:rFonts w:asciiTheme="majorBidi" w:hAnsiTheme="majorBidi" w:cstheme="majorBidi"/>
        </w:rPr>
        <w:t xml:space="preserve">was about 55% </w:t>
      </w:r>
      <w:r w:rsidR="00742D56" w:rsidRPr="00572672">
        <w:rPr>
          <w:rFonts w:asciiTheme="majorBidi" w:hAnsiTheme="majorBidi" w:cstheme="majorBidi"/>
        </w:rPr>
        <w:t>in</w:t>
      </w:r>
      <w:r w:rsidRPr="00572672">
        <w:rPr>
          <w:rFonts w:asciiTheme="majorBidi" w:hAnsiTheme="majorBidi" w:cstheme="majorBidi"/>
        </w:rPr>
        <w:t xml:space="preserve"> 2018 in Palestine</w:t>
      </w:r>
      <w:r w:rsidR="00625238" w:rsidRPr="00572672">
        <w:rPr>
          <w:rFonts w:asciiTheme="majorBidi" w:hAnsiTheme="majorBidi" w:cstheme="majorBidi"/>
        </w:rPr>
        <w:t>.</w:t>
      </w:r>
    </w:p>
    <w:p w:rsidR="000A4D31" w:rsidRDefault="000A4D31" w:rsidP="000A4D31">
      <w:pPr>
        <w:bidi w:val="0"/>
        <w:jc w:val="both"/>
        <w:rPr>
          <w:rFonts w:asciiTheme="majorBidi" w:hAnsiTheme="majorBidi" w:cstheme="majorBidi"/>
          <w:sz w:val="8"/>
          <w:szCs w:val="8"/>
        </w:rPr>
      </w:pPr>
    </w:p>
    <w:p w:rsidR="00502271" w:rsidRPr="00572672" w:rsidRDefault="00502271" w:rsidP="000A4D31">
      <w:pPr>
        <w:bidi w:val="0"/>
        <w:jc w:val="both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>The highest unemployment rate among</w:t>
      </w:r>
      <w:r w:rsidR="003564D3" w:rsidRPr="00572672">
        <w:rPr>
          <w:b/>
          <w:bCs/>
          <w:sz w:val="26"/>
          <w:szCs w:val="26"/>
        </w:rPr>
        <w:t xml:space="preserve"> males and </w:t>
      </w:r>
      <w:r w:rsidRPr="00572672">
        <w:rPr>
          <w:b/>
          <w:bCs/>
          <w:sz w:val="26"/>
          <w:szCs w:val="26"/>
        </w:rPr>
        <w:t xml:space="preserve"> females aged </w:t>
      </w:r>
      <w:r w:rsidR="001236F2" w:rsidRPr="00572672">
        <w:rPr>
          <w:b/>
          <w:bCs/>
          <w:sz w:val="26"/>
          <w:szCs w:val="26"/>
        </w:rPr>
        <w:t>(</w:t>
      </w:r>
      <w:r w:rsidRPr="00572672">
        <w:rPr>
          <w:b/>
          <w:bCs/>
          <w:sz w:val="26"/>
          <w:szCs w:val="26"/>
        </w:rPr>
        <w:t>20-29 years</w:t>
      </w:r>
      <w:r w:rsidR="001236F2" w:rsidRPr="00572672">
        <w:rPr>
          <w:b/>
          <w:bCs/>
          <w:sz w:val="26"/>
          <w:szCs w:val="26"/>
        </w:rPr>
        <w:t>)</w:t>
      </w:r>
      <w:r w:rsidRPr="00572672">
        <w:rPr>
          <w:b/>
          <w:bCs/>
          <w:sz w:val="26"/>
          <w:szCs w:val="26"/>
        </w:rPr>
        <w:t xml:space="preserve"> with an intermediate diploma or bachelor's degree was in </w:t>
      </w:r>
      <w:r w:rsidR="003564D3" w:rsidRPr="00572672">
        <w:rPr>
          <w:rFonts w:asciiTheme="majorBidi" w:hAnsiTheme="majorBidi" w:cstheme="majorBidi"/>
          <w:b/>
          <w:bCs/>
          <w:sz w:val="26"/>
          <w:szCs w:val="26"/>
        </w:rPr>
        <w:t>journalism and information; 86% among females and 60% among males.</w:t>
      </w:r>
    </w:p>
    <w:p w:rsidR="00502271" w:rsidRPr="00572672" w:rsidRDefault="00502271" w:rsidP="0066402B">
      <w:pPr>
        <w:bidi w:val="0"/>
        <w:spacing w:before="120" w:after="120"/>
        <w:jc w:val="both"/>
      </w:pPr>
      <w:r w:rsidRPr="00572672">
        <w:t xml:space="preserve">In </w:t>
      </w:r>
      <w:r w:rsidR="0066402B" w:rsidRPr="00572672">
        <w:t>2019</w:t>
      </w:r>
      <w:r w:rsidR="00466752" w:rsidRPr="00572672">
        <w:t>,</w:t>
      </w:r>
      <w:r w:rsidRPr="00572672">
        <w:t xml:space="preserve"> the highest unemployment rates among male graduates aged </w:t>
      </w:r>
      <w:r w:rsidR="006B6CD2" w:rsidRPr="00572672">
        <w:t>(</w:t>
      </w:r>
      <w:r w:rsidRPr="00572672">
        <w:t>20-29 years</w:t>
      </w:r>
      <w:r w:rsidR="006B6CD2" w:rsidRPr="00572672">
        <w:t>)</w:t>
      </w:r>
      <w:r w:rsidRPr="00572672">
        <w:t xml:space="preserve"> with an intermediate diploma or bachelor’s degree in Palestine were in the following fields of education</w:t>
      </w:r>
      <w:r w:rsidRPr="00572672">
        <w:rPr>
          <w:rFonts w:hint="cs"/>
          <w:rtl/>
        </w:rPr>
        <w:t>:</w:t>
      </w:r>
    </w:p>
    <w:p w:rsidR="00502271" w:rsidRPr="00572672" w:rsidRDefault="00E34020" w:rsidP="007D6DD2">
      <w:pPr>
        <w:bidi w:val="0"/>
        <w:spacing w:before="120" w:after="120"/>
        <w:jc w:val="both"/>
        <w:rPr>
          <w:rFonts w:asciiTheme="majorBidi" w:hAnsiTheme="majorBidi" w:cstheme="majorBidi"/>
        </w:rPr>
      </w:pPr>
      <w:r w:rsidRPr="00572672">
        <w:rPr>
          <w:rFonts w:asciiTheme="majorBidi" w:hAnsiTheme="majorBidi" w:cstheme="majorBidi"/>
        </w:rPr>
        <w:t>Journalism and information</w:t>
      </w:r>
      <w:r w:rsidRPr="00572672">
        <w:t xml:space="preserve"> </w:t>
      </w:r>
      <w:r w:rsidR="00502271" w:rsidRPr="00572672">
        <w:t>(</w:t>
      </w:r>
      <w:r w:rsidRPr="00572672">
        <w:t>60</w:t>
      </w:r>
      <w:r w:rsidR="00502271" w:rsidRPr="00572672">
        <w:t>%),</w:t>
      </w:r>
      <w:r w:rsidR="00502271" w:rsidRPr="00572672">
        <w:rPr>
          <w:rFonts w:asciiTheme="majorBidi" w:hAnsiTheme="majorBidi" w:cstheme="majorBidi"/>
        </w:rPr>
        <w:t xml:space="preserve"> </w:t>
      </w:r>
      <w:r w:rsidR="00394DBE" w:rsidRPr="00572672">
        <w:t>teacher training and education sciences</w:t>
      </w:r>
      <w:r w:rsidR="00394DBE" w:rsidRPr="00572672">
        <w:rPr>
          <w:rFonts w:asciiTheme="majorBidi" w:hAnsiTheme="majorBidi" w:cstheme="majorBidi"/>
        </w:rPr>
        <w:t xml:space="preserve"> </w:t>
      </w:r>
      <w:r w:rsidR="00502271" w:rsidRPr="00572672">
        <w:t xml:space="preserve">(49%), </w:t>
      </w:r>
      <w:r w:rsidR="009614AB" w:rsidRPr="00572672">
        <w:rPr>
          <w:rFonts w:asciiTheme="majorBidi" w:hAnsiTheme="majorBidi" w:cstheme="majorBidi"/>
        </w:rPr>
        <w:t>humanities</w:t>
      </w:r>
      <w:r w:rsidR="009614AB" w:rsidRPr="00572672">
        <w:t xml:space="preserve"> </w:t>
      </w:r>
      <w:r w:rsidR="00502271" w:rsidRPr="00572672">
        <w:t>(</w:t>
      </w:r>
      <w:r w:rsidR="007D6DD2" w:rsidRPr="00572672">
        <w:t>44</w:t>
      </w:r>
      <w:r w:rsidR="00502271" w:rsidRPr="00572672">
        <w:t xml:space="preserve">%), </w:t>
      </w:r>
      <w:r w:rsidR="009614AB" w:rsidRPr="00572672">
        <w:rPr>
          <w:rFonts w:asciiTheme="majorBidi" w:hAnsiTheme="majorBidi" w:cstheme="majorBidi"/>
        </w:rPr>
        <w:t>architecture and construction</w:t>
      </w:r>
      <w:r w:rsidR="009614AB" w:rsidRPr="00572672">
        <w:t xml:space="preserve"> </w:t>
      </w:r>
      <w:r w:rsidR="00502271" w:rsidRPr="00572672">
        <w:t>(</w:t>
      </w:r>
      <w:r w:rsidR="00830408" w:rsidRPr="00572672">
        <w:t>43</w:t>
      </w:r>
      <w:r w:rsidR="00502271" w:rsidRPr="00572672">
        <w:t>%) and</w:t>
      </w:r>
      <w:r w:rsidR="00502271" w:rsidRPr="00572672">
        <w:rPr>
          <w:rFonts w:asciiTheme="majorBidi" w:hAnsiTheme="majorBidi" w:cstheme="majorBidi"/>
        </w:rPr>
        <w:t xml:space="preserve"> social and behavioral sciences (</w:t>
      </w:r>
      <w:r w:rsidR="00E33772" w:rsidRPr="00572672">
        <w:rPr>
          <w:rFonts w:asciiTheme="majorBidi" w:hAnsiTheme="majorBidi" w:cstheme="majorBidi"/>
        </w:rPr>
        <w:t>40</w:t>
      </w:r>
      <w:r w:rsidR="00502271" w:rsidRPr="00572672">
        <w:rPr>
          <w:rFonts w:asciiTheme="majorBidi" w:hAnsiTheme="majorBidi" w:cstheme="majorBidi"/>
        </w:rPr>
        <w:t>%)</w:t>
      </w:r>
      <w:r w:rsidR="00502271" w:rsidRPr="00572672">
        <w:rPr>
          <w:rFonts w:asciiTheme="majorBidi" w:hAnsiTheme="majorBidi" w:cstheme="majorBidi" w:hint="cs"/>
          <w:rtl/>
        </w:rPr>
        <w:t>.</w:t>
      </w:r>
      <w:r w:rsidRPr="00572672">
        <w:rPr>
          <w:rFonts w:asciiTheme="majorBidi" w:hAnsiTheme="majorBidi" w:cstheme="majorBidi"/>
        </w:rPr>
        <w:t xml:space="preserve"> </w:t>
      </w:r>
    </w:p>
    <w:p w:rsidR="00502271" w:rsidRPr="00572672" w:rsidRDefault="00502271" w:rsidP="00BA1665">
      <w:pPr>
        <w:bidi w:val="0"/>
        <w:spacing w:before="120" w:after="120"/>
        <w:jc w:val="both"/>
      </w:pPr>
      <w:r w:rsidRPr="00572672">
        <w:t xml:space="preserve">In </w:t>
      </w:r>
      <w:r w:rsidR="00BA1665" w:rsidRPr="00572672">
        <w:t>2019</w:t>
      </w:r>
      <w:r w:rsidRPr="00572672">
        <w:t xml:space="preserve">, the highest unemployment rates among female graduates aged </w:t>
      </w:r>
      <w:r w:rsidR="006B6CD2" w:rsidRPr="00572672">
        <w:t>(</w:t>
      </w:r>
      <w:r w:rsidRPr="00572672">
        <w:t>20-29 years</w:t>
      </w:r>
      <w:r w:rsidR="006B6CD2" w:rsidRPr="00572672">
        <w:t>)</w:t>
      </w:r>
      <w:r w:rsidRPr="00572672">
        <w:t xml:space="preserve"> with an intermediate diploma or bachelor’s degree were in the following fields of education:</w:t>
      </w:r>
    </w:p>
    <w:p w:rsidR="00572672" w:rsidRPr="00F63CAA" w:rsidRDefault="005012F9" w:rsidP="00F63CAA">
      <w:pPr>
        <w:bidi w:val="0"/>
        <w:spacing w:before="120" w:after="120"/>
        <w:jc w:val="both"/>
        <w:rPr>
          <w:rFonts w:asciiTheme="majorBidi" w:hAnsiTheme="majorBidi" w:cstheme="majorBidi"/>
        </w:rPr>
      </w:pPr>
      <w:r w:rsidRPr="00572672">
        <w:rPr>
          <w:rFonts w:asciiTheme="majorBidi" w:hAnsiTheme="majorBidi" w:cstheme="majorBidi"/>
        </w:rPr>
        <w:t>Journalism and information</w:t>
      </w:r>
      <w:r w:rsidR="00502271" w:rsidRPr="00572672">
        <w:rPr>
          <w:rFonts w:asciiTheme="majorBidi" w:hAnsiTheme="majorBidi" w:cstheme="majorBidi"/>
        </w:rPr>
        <w:t xml:space="preserve"> </w:t>
      </w:r>
      <w:r w:rsidR="00502271" w:rsidRPr="00572672">
        <w:t>(</w:t>
      </w:r>
      <w:r w:rsidRPr="00572672">
        <w:t>86</w:t>
      </w:r>
      <w:r w:rsidR="00502271" w:rsidRPr="00572672">
        <w:t>%),</w:t>
      </w:r>
      <w:r w:rsidR="00502271" w:rsidRPr="00572672">
        <w:rPr>
          <w:rFonts w:asciiTheme="majorBidi" w:hAnsiTheme="majorBidi" w:cstheme="majorBidi"/>
        </w:rPr>
        <w:t xml:space="preserve"> </w:t>
      </w:r>
      <w:r w:rsidRPr="00572672">
        <w:rPr>
          <w:rFonts w:asciiTheme="majorBidi" w:hAnsiTheme="majorBidi" w:cstheme="majorBidi"/>
        </w:rPr>
        <w:t xml:space="preserve">teacher training and education sciences </w:t>
      </w:r>
      <w:r w:rsidR="00502271" w:rsidRPr="00572672">
        <w:t>(</w:t>
      </w:r>
      <w:r w:rsidRPr="00572672">
        <w:t>78</w:t>
      </w:r>
      <w:r w:rsidR="00502271" w:rsidRPr="00572672">
        <w:t xml:space="preserve">%), </w:t>
      </w:r>
      <w:r w:rsidR="00775BC9" w:rsidRPr="00572672">
        <w:rPr>
          <w:rFonts w:asciiTheme="majorBidi" w:hAnsiTheme="majorBidi" w:cstheme="majorBidi"/>
        </w:rPr>
        <w:t xml:space="preserve">social and behavioral sciences </w:t>
      </w:r>
      <w:r w:rsidR="00502271" w:rsidRPr="00572672">
        <w:t>(</w:t>
      </w:r>
      <w:r w:rsidR="008272FE" w:rsidRPr="00572672">
        <w:t>75</w:t>
      </w:r>
      <w:r w:rsidR="00502271" w:rsidRPr="00572672">
        <w:t>%),</w:t>
      </w:r>
      <w:r w:rsidR="00502271" w:rsidRPr="00572672">
        <w:rPr>
          <w:rFonts w:asciiTheme="majorBidi" w:hAnsiTheme="majorBidi" w:cstheme="majorBidi"/>
        </w:rPr>
        <w:t xml:space="preserve"> </w:t>
      </w:r>
      <w:r w:rsidR="00775BC9" w:rsidRPr="00572672">
        <w:rPr>
          <w:rFonts w:asciiTheme="majorBidi" w:hAnsiTheme="majorBidi" w:cstheme="majorBidi"/>
        </w:rPr>
        <w:t xml:space="preserve">humanities </w:t>
      </w:r>
      <w:r w:rsidR="00502271" w:rsidRPr="00572672">
        <w:rPr>
          <w:rFonts w:asciiTheme="majorBidi" w:hAnsiTheme="majorBidi" w:cstheme="majorBidi"/>
        </w:rPr>
        <w:t>(</w:t>
      </w:r>
      <w:r w:rsidR="002D4DD9" w:rsidRPr="00572672">
        <w:rPr>
          <w:rFonts w:asciiTheme="majorBidi" w:hAnsiTheme="majorBidi" w:cstheme="majorBidi"/>
        </w:rPr>
        <w:t>74</w:t>
      </w:r>
      <w:r w:rsidR="00502271" w:rsidRPr="00572672">
        <w:rPr>
          <w:rFonts w:asciiTheme="majorBidi" w:hAnsiTheme="majorBidi" w:cstheme="majorBidi"/>
        </w:rPr>
        <w:t xml:space="preserve">%) and </w:t>
      </w:r>
      <w:r w:rsidR="002D4DD9" w:rsidRPr="00572672">
        <w:rPr>
          <w:rFonts w:asciiTheme="majorBidi" w:hAnsiTheme="majorBidi" w:cstheme="majorBidi"/>
        </w:rPr>
        <w:t>architecture and construction</w:t>
      </w:r>
      <w:r w:rsidR="002D4DD9" w:rsidRPr="00572672">
        <w:t xml:space="preserve"> </w:t>
      </w:r>
      <w:r w:rsidR="00502271" w:rsidRPr="00572672">
        <w:rPr>
          <w:rFonts w:asciiTheme="majorBidi" w:hAnsiTheme="majorBidi" w:cstheme="majorBidi"/>
        </w:rPr>
        <w:t>(</w:t>
      </w:r>
      <w:r w:rsidR="002D4DD9" w:rsidRPr="00572672">
        <w:rPr>
          <w:rFonts w:asciiTheme="majorBidi" w:hAnsiTheme="majorBidi" w:cstheme="majorBidi"/>
        </w:rPr>
        <w:t>69</w:t>
      </w:r>
      <w:r w:rsidR="00502271" w:rsidRPr="00572672">
        <w:rPr>
          <w:rFonts w:asciiTheme="majorBidi" w:hAnsiTheme="majorBidi" w:cstheme="majorBidi"/>
        </w:rPr>
        <w:t>%)</w:t>
      </w:r>
      <w:r w:rsidR="00502271" w:rsidRPr="00572672">
        <w:rPr>
          <w:rFonts w:asciiTheme="majorBidi" w:hAnsiTheme="majorBidi" w:cstheme="majorBidi" w:hint="cs"/>
          <w:rtl/>
        </w:rPr>
        <w:t>.</w:t>
      </w:r>
    </w:p>
    <w:p w:rsidR="001B522E" w:rsidRPr="000A4D31" w:rsidRDefault="001B522E" w:rsidP="00572672">
      <w:pPr>
        <w:bidi w:val="0"/>
        <w:spacing w:before="120" w:after="120" w:line="240" w:lineRule="exact"/>
        <w:jc w:val="center"/>
        <w:rPr>
          <w:b/>
          <w:bCs/>
        </w:rPr>
      </w:pPr>
      <w:r w:rsidRPr="000A4D31">
        <w:rPr>
          <w:b/>
          <w:bCs/>
        </w:rPr>
        <w:t xml:space="preserve">Unemployment </w:t>
      </w:r>
      <w:r w:rsidR="007D6DD2" w:rsidRPr="000A4D31">
        <w:rPr>
          <w:b/>
          <w:bCs/>
        </w:rPr>
        <w:t xml:space="preserve">Rate </w:t>
      </w:r>
      <w:r w:rsidR="00934903" w:rsidRPr="000A4D31">
        <w:rPr>
          <w:b/>
          <w:bCs/>
        </w:rPr>
        <w:t>among</w:t>
      </w:r>
      <w:r w:rsidRPr="000A4D31">
        <w:rPr>
          <w:b/>
          <w:bCs/>
        </w:rPr>
        <w:t xml:space="preserve"> </w:t>
      </w:r>
      <w:r w:rsidR="00F64EBF" w:rsidRPr="000A4D31">
        <w:rPr>
          <w:b/>
          <w:bCs/>
        </w:rPr>
        <w:t>Individuals</w:t>
      </w:r>
      <w:r w:rsidRPr="000A4D31">
        <w:rPr>
          <w:b/>
          <w:bCs/>
        </w:rPr>
        <w:t xml:space="preserve"> (20-29 years</w:t>
      </w:r>
      <w:r w:rsidR="004D4B76" w:rsidRPr="000A4D31">
        <w:rPr>
          <w:b/>
          <w:bCs/>
        </w:rPr>
        <w:t>)</w:t>
      </w:r>
      <w:r w:rsidRPr="000A4D31">
        <w:rPr>
          <w:b/>
          <w:bCs/>
        </w:rPr>
        <w:t xml:space="preserve"> in Palestine </w:t>
      </w:r>
    </w:p>
    <w:p w:rsidR="001B522E" w:rsidRPr="000A4D31" w:rsidRDefault="001B522E" w:rsidP="007D6DD2">
      <w:pPr>
        <w:bidi w:val="0"/>
        <w:spacing w:before="120" w:after="120" w:line="240" w:lineRule="exact"/>
        <w:jc w:val="center"/>
        <w:rPr>
          <w:b/>
          <w:bCs/>
        </w:rPr>
      </w:pPr>
      <w:r w:rsidRPr="000A4D31">
        <w:rPr>
          <w:b/>
          <w:bCs/>
        </w:rPr>
        <w:t xml:space="preserve">with an </w:t>
      </w:r>
      <w:r w:rsidR="007D6DD2" w:rsidRPr="000A4D31">
        <w:rPr>
          <w:b/>
          <w:bCs/>
        </w:rPr>
        <w:t xml:space="preserve">Intermediate Diploma </w:t>
      </w:r>
      <w:r w:rsidRPr="000A4D31">
        <w:rPr>
          <w:b/>
          <w:bCs/>
        </w:rPr>
        <w:t xml:space="preserve">or </w:t>
      </w:r>
      <w:r w:rsidR="007D6DD2" w:rsidRPr="000A4D31">
        <w:rPr>
          <w:b/>
          <w:bCs/>
        </w:rPr>
        <w:t xml:space="preserve">Bachelor’s Degree </w:t>
      </w:r>
      <w:r w:rsidRPr="000A4D31">
        <w:rPr>
          <w:b/>
          <w:bCs/>
        </w:rPr>
        <w:t xml:space="preserve">by </w:t>
      </w:r>
      <w:r w:rsidR="007D6DD2" w:rsidRPr="000A4D31">
        <w:rPr>
          <w:b/>
          <w:bCs/>
        </w:rPr>
        <w:t xml:space="preserve">Field </w:t>
      </w:r>
      <w:r w:rsidRPr="000A4D31">
        <w:rPr>
          <w:b/>
          <w:bCs/>
        </w:rPr>
        <w:t xml:space="preserve">of </w:t>
      </w:r>
      <w:r w:rsidR="007D6DD2" w:rsidRPr="000A4D31">
        <w:rPr>
          <w:b/>
          <w:bCs/>
        </w:rPr>
        <w:t xml:space="preserve">Education </w:t>
      </w:r>
      <w:r w:rsidRPr="000A4D31">
        <w:rPr>
          <w:b/>
          <w:bCs/>
        </w:rPr>
        <w:t xml:space="preserve">and Sex, </w:t>
      </w:r>
      <w:r w:rsidR="0054687A" w:rsidRPr="000A4D31">
        <w:rPr>
          <w:b/>
          <w:bCs/>
        </w:rPr>
        <w:t>2019</w:t>
      </w:r>
    </w:p>
    <w:tbl>
      <w:tblPr>
        <w:tblStyle w:val="TableGrid"/>
        <w:tblW w:w="9946" w:type="dxa"/>
        <w:jc w:val="center"/>
        <w:tblInd w:w="-551" w:type="dxa"/>
        <w:tblLayout w:type="fixed"/>
        <w:tblLook w:val="04A0"/>
      </w:tblPr>
      <w:tblGrid>
        <w:gridCol w:w="4599"/>
        <w:gridCol w:w="1666"/>
        <w:gridCol w:w="1560"/>
        <w:gridCol w:w="2121"/>
      </w:tblGrid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Merge w:val="restart"/>
            <w:vAlign w:val="center"/>
          </w:tcPr>
          <w:p w:rsidR="00357B5F" w:rsidRPr="00572672" w:rsidRDefault="00357B5F" w:rsidP="007D6DD2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 xml:space="preserve">Field of </w:t>
            </w:r>
            <w:r w:rsidR="007D6DD2" w:rsidRPr="00572672">
              <w:rPr>
                <w:rFonts w:asciiTheme="majorBidi" w:hAnsiTheme="majorBidi" w:cstheme="majorBidi"/>
                <w:b/>
                <w:bCs/>
              </w:rPr>
              <w:t>Education</w:t>
            </w:r>
          </w:p>
        </w:tc>
        <w:tc>
          <w:tcPr>
            <w:tcW w:w="1666" w:type="dxa"/>
            <w:vMerge w:val="restart"/>
            <w:vAlign w:val="center"/>
          </w:tcPr>
          <w:p w:rsidR="00357B5F" w:rsidRPr="00572672" w:rsidRDefault="00357B5F" w:rsidP="007D6DD2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 xml:space="preserve">Both </w:t>
            </w:r>
            <w:r w:rsidR="007D6DD2" w:rsidRPr="00572672">
              <w:rPr>
                <w:rFonts w:asciiTheme="majorBidi" w:hAnsiTheme="majorBidi" w:cstheme="majorBidi"/>
                <w:b/>
                <w:bCs/>
              </w:rPr>
              <w:t>Sexes</w:t>
            </w:r>
          </w:p>
        </w:tc>
        <w:tc>
          <w:tcPr>
            <w:tcW w:w="3681" w:type="dxa"/>
            <w:gridSpan w:val="2"/>
          </w:tcPr>
          <w:p w:rsidR="00357B5F" w:rsidRPr="00572672" w:rsidRDefault="00357B5F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Sex</w:t>
            </w:r>
          </w:p>
        </w:tc>
      </w:tr>
      <w:tr w:rsidR="00357B5F" w:rsidRPr="00572672" w:rsidTr="00F63CAA">
        <w:trPr>
          <w:trHeight w:hRule="exact" w:val="231"/>
          <w:jc w:val="center"/>
        </w:trPr>
        <w:tc>
          <w:tcPr>
            <w:tcW w:w="4599" w:type="dxa"/>
            <w:vMerge/>
          </w:tcPr>
          <w:p w:rsidR="00357B5F" w:rsidRPr="00572672" w:rsidRDefault="00357B5F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66" w:type="dxa"/>
            <w:vMerge/>
          </w:tcPr>
          <w:p w:rsidR="00357B5F" w:rsidRPr="00572672" w:rsidRDefault="00357B5F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0" w:type="dxa"/>
          </w:tcPr>
          <w:p w:rsidR="00357B5F" w:rsidRPr="00572672" w:rsidRDefault="00357B5F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Males</w:t>
            </w:r>
          </w:p>
        </w:tc>
        <w:tc>
          <w:tcPr>
            <w:tcW w:w="2121" w:type="dxa"/>
          </w:tcPr>
          <w:p w:rsidR="00357B5F" w:rsidRPr="00572672" w:rsidRDefault="00357B5F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Females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Teacher training and education sciences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72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78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Journalism and information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69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86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Humanities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65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74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Social and behavioral sciences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63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75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Life sciences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57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(32}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67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Mathematics and statistics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{30}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56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Architecture and construction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69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Computing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67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Business and administration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64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Health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43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51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Engineering and engineering trades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59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Personal services </w:t>
            </w:r>
          </w:p>
        </w:tc>
        <w:tc>
          <w:tcPr>
            <w:tcW w:w="1666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1560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2121" w:type="dxa"/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{37}</w:t>
            </w:r>
          </w:p>
        </w:tc>
      </w:tr>
      <w:tr w:rsidR="00357B5F" w:rsidRPr="00572672" w:rsidTr="00F63CAA">
        <w:trPr>
          <w:trHeight w:hRule="exact" w:val="284"/>
          <w:jc w:val="center"/>
        </w:trPr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357B5F" w:rsidRPr="00572672" w:rsidRDefault="00357B5F" w:rsidP="002F7653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Law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357B5F" w:rsidRPr="00572672" w:rsidRDefault="00357B5F" w:rsidP="0057267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{54}</w:t>
            </w:r>
          </w:p>
        </w:tc>
      </w:tr>
      <w:tr w:rsidR="00893BCE" w:rsidRPr="00572672" w:rsidTr="00F63CAA">
        <w:trPr>
          <w:trHeight w:hRule="exact" w:val="284"/>
          <w:jc w:val="center"/>
        </w:trPr>
        <w:tc>
          <w:tcPr>
            <w:tcW w:w="9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3BCE" w:rsidRPr="00572672" w:rsidRDefault="00893BCE" w:rsidP="00BD4BC2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  <w:rtl/>
              </w:rPr>
              <w:t>{  }</w:t>
            </w:r>
            <w:r w:rsidRPr="00572672">
              <w:rPr>
                <w:rFonts w:asciiTheme="majorBidi" w:hAnsiTheme="majorBidi" w:cstheme="majorBidi"/>
              </w:rPr>
              <w:t>: Number of observation</w:t>
            </w:r>
            <w:r w:rsidR="00B522FE" w:rsidRPr="00572672">
              <w:rPr>
                <w:rFonts w:asciiTheme="majorBidi" w:hAnsiTheme="majorBidi" w:cstheme="majorBidi"/>
              </w:rPr>
              <w:t>s</w:t>
            </w:r>
            <w:r w:rsidRPr="00572672">
              <w:rPr>
                <w:rFonts w:asciiTheme="majorBidi" w:hAnsiTheme="majorBidi" w:cstheme="majorBidi"/>
              </w:rPr>
              <w:t xml:space="preserve"> </w:t>
            </w:r>
            <w:r w:rsidR="00946A9A" w:rsidRPr="00572672">
              <w:rPr>
                <w:rFonts w:asciiTheme="majorBidi" w:hAnsiTheme="majorBidi" w:cstheme="majorBidi"/>
              </w:rPr>
              <w:t>are</w:t>
            </w:r>
            <w:r w:rsidRPr="00572672">
              <w:rPr>
                <w:rFonts w:asciiTheme="majorBidi" w:hAnsiTheme="majorBidi" w:cstheme="majorBidi"/>
              </w:rPr>
              <w:t xml:space="preserve"> relatively little so results in parentheses indicate relatively high marginal </w:t>
            </w:r>
            <w:r w:rsidR="00BD4BC2" w:rsidRPr="00572672">
              <w:rPr>
                <w:rFonts w:asciiTheme="majorBidi" w:hAnsiTheme="majorBidi" w:cstheme="majorBidi"/>
              </w:rPr>
              <w:t>error</w:t>
            </w:r>
          </w:p>
        </w:tc>
      </w:tr>
      <w:tr w:rsidR="00893BCE" w:rsidRPr="00572672" w:rsidTr="00F63CAA">
        <w:trPr>
          <w:trHeight w:hRule="exact" w:val="591"/>
          <w:jc w:val="center"/>
        </w:trPr>
        <w:tc>
          <w:tcPr>
            <w:tcW w:w="9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3BCE" w:rsidRPr="00572672" w:rsidRDefault="00893BCE" w:rsidP="00272465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 xml:space="preserve">Source: Palestinian Central Bureau  of Statistics, 2020. </w:t>
            </w:r>
            <w:r w:rsidRPr="00572672">
              <w:rPr>
                <w:rFonts w:asciiTheme="majorBidi" w:hAnsiTheme="majorBidi" w:cstheme="majorBidi"/>
              </w:rPr>
              <w:t xml:space="preserve">Database of </w:t>
            </w:r>
            <w:r w:rsidR="00272465" w:rsidRPr="00572672">
              <w:rPr>
                <w:rFonts w:asciiTheme="majorBidi" w:hAnsiTheme="majorBidi" w:cstheme="majorBidi"/>
              </w:rPr>
              <w:t>Labor Force Survey</w:t>
            </w:r>
            <w:r w:rsidRPr="00572672">
              <w:rPr>
                <w:rFonts w:asciiTheme="majorBidi" w:hAnsiTheme="majorBidi" w:cstheme="majorBidi"/>
              </w:rPr>
              <w:t>, 2019. Ramallah-Palestine</w:t>
            </w:r>
          </w:p>
        </w:tc>
      </w:tr>
    </w:tbl>
    <w:p w:rsidR="00572672" w:rsidRPr="00572672" w:rsidRDefault="00572672" w:rsidP="000A4D31">
      <w:pPr>
        <w:bidi w:val="0"/>
        <w:jc w:val="both"/>
        <w:rPr>
          <w:b/>
          <w:bCs/>
          <w:sz w:val="16"/>
          <w:szCs w:val="16"/>
        </w:rPr>
      </w:pPr>
    </w:p>
    <w:p w:rsidR="0095296B" w:rsidRPr="00572672" w:rsidRDefault="0095296B" w:rsidP="00572672">
      <w:pPr>
        <w:bidi w:val="0"/>
        <w:jc w:val="both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 xml:space="preserve">Clear </w:t>
      </w:r>
      <w:r w:rsidR="00595F3B" w:rsidRPr="00572672">
        <w:rPr>
          <w:b/>
          <w:bCs/>
          <w:sz w:val="26"/>
          <w:szCs w:val="26"/>
        </w:rPr>
        <w:t>g</w:t>
      </w:r>
      <w:r w:rsidRPr="00572672">
        <w:rPr>
          <w:b/>
          <w:bCs/>
          <w:sz w:val="26"/>
          <w:szCs w:val="26"/>
        </w:rPr>
        <w:t xml:space="preserve">ap of unemployment rates </w:t>
      </w:r>
      <w:r w:rsidR="00272465" w:rsidRPr="00572672">
        <w:rPr>
          <w:b/>
          <w:bCs/>
          <w:sz w:val="26"/>
          <w:szCs w:val="26"/>
        </w:rPr>
        <w:t xml:space="preserve">between </w:t>
      </w:r>
      <w:r w:rsidRPr="00572672">
        <w:rPr>
          <w:b/>
          <w:bCs/>
          <w:sz w:val="26"/>
          <w:szCs w:val="26"/>
        </w:rPr>
        <w:t xml:space="preserve">West Bank and Gaza Strip for </w:t>
      </w:r>
      <w:r w:rsidR="00595F3B" w:rsidRPr="00572672">
        <w:rPr>
          <w:b/>
          <w:bCs/>
          <w:sz w:val="26"/>
          <w:szCs w:val="26"/>
        </w:rPr>
        <w:t>a</w:t>
      </w:r>
      <w:r w:rsidRPr="00572672">
        <w:rPr>
          <w:b/>
          <w:bCs/>
          <w:sz w:val="26"/>
          <w:szCs w:val="26"/>
        </w:rPr>
        <w:t xml:space="preserve">ll </w:t>
      </w:r>
      <w:r w:rsidR="00595F3B" w:rsidRPr="00572672">
        <w:rPr>
          <w:b/>
          <w:bCs/>
          <w:sz w:val="26"/>
          <w:szCs w:val="26"/>
        </w:rPr>
        <w:t>f</w:t>
      </w:r>
      <w:r w:rsidRPr="00572672">
        <w:rPr>
          <w:b/>
          <w:bCs/>
          <w:sz w:val="26"/>
          <w:szCs w:val="26"/>
        </w:rPr>
        <w:t xml:space="preserve">ields of </w:t>
      </w:r>
      <w:r w:rsidR="00595F3B" w:rsidRPr="00572672">
        <w:rPr>
          <w:b/>
          <w:bCs/>
          <w:sz w:val="26"/>
          <w:szCs w:val="26"/>
        </w:rPr>
        <w:t>e</w:t>
      </w:r>
      <w:r w:rsidRPr="00572672">
        <w:rPr>
          <w:b/>
          <w:bCs/>
          <w:sz w:val="26"/>
          <w:szCs w:val="26"/>
        </w:rPr>
        <w:t>ducation</w:t>
      </w:r>
    </w:p>
    <w:p w:rsidR="001B522E" w:rsidRPr="00572672" w:rsidRDefault="001B522E" w:rsidP="001B522E">
      <w:pPr>
        <w:bidi w:val="0"/>
        <w:jc w:val="both"/>
        <w:rPr>
          <w:rFonts w:asciiTheme="majorBidi" w:hAnsiTheme="majorBidi" w:cstheme="majorBidi"/>
        </w:rPr>
      </w:pPr>
      <w:r w:rsidRPr="00572672">
        <w:t xml:space="preserve">The highest rates of unemployment among graduates aged </w:t>
      </w:r>
      <w:r w:rsidR="004D4B76" w:rsidRPr="00572672">
        <w:t>(</w:t>
      </w:r>
      <w:r w:rsidRPr="00572672">
        <w:t>20-29 years</w:t>
      </w:r>
      <w:r w:rsidR="004D4B76" w:rsidRPr="00572672">
        <w:t>)</w:t>
      </w:r>
      <w:r w:rsidRPr="00572672">
        <w:t xml:space="preserve"> with a bachelor’s degree or an </w:t>
      </w:r>
      <w:r w:rsidRPr="00572672">
        <w:rPr>
          <w:rFonts w:asciiTheme="majorBidi" w:hAnsiTheme="majorBidi" w:cstheme="majorBidi"/>
        </w:rPr>
        <w:t>intermediate</w:t>
      </w:r>
      <w:r w:rsidRPr="00572672">
        <w:t xml:space="preserve"> diploma in </w:t>
      </w:r>
      <w:r w:rsidRPr="00572672">
        <w:rPr>
          <w:rFonts w:asciiTheme="majorBidi" w:hAnsiTheme="majorBidi" w:cstheme="majorBidi"/>
        </w:rPr>
        <w:t xml:space="preserve">Gaza Strip were in the following </w:t>
      </w:r>
      <w:r w:rsidRPr="00572672">
        <w:t>fields of education</w:t>
      </w:r>
      <w:r w:rsidRPr="00572672">
        <w:rPr>
          <w:rFonts w:asciiTheme="majorBidi" w:hAnsiTheme="majorBidi" w:cstheme="majorBidi"/>
          <w:rtl/>
        </w:rPr>
        <w:t>:</w:t>
      </w:r>
    </w:p>
    <w:p w:rsidR="001B522E" w:rsidRPr="00572672" w:rsidRDefault="00F44153" w:rsidP="00D977B1">
      <w:pPr>
        <w:bidi w:val="0"/>
        <w:spacing w:before="120" w:after="120"/>
        <w:jc w:val="both"/>
        <w:rPr>
          <w:rFonts w:asciiTheme="majorBidi" w:hAnsiTheme="majorBidi" w:cstheme="majorBidi"/>
        </w:rPr>
      </w:pPr>
      <w:r w:rsidRPr="00572672">
        <w:rPr>
          <w:rFonts w:asciiTheme="majorBidi" w:hAnsiTheme="majorBidi" w:cstheme="majorBidi"/>
        </w:rPr>
        <w:t>Personal services</w:t>
      </w:r>
      <w:r w:rsidR="00E637D4" w:rsidRPr="00572672">
        <w:rPr>
          <w:rStyle w:val="FootnoteReference"/>
          <w:rFonts w:asciiTheme="majorBidi" w:hAnsiTheme="majorBidi" w:cstheme="majorBidi"/>
        </w:rPr>
        <w:footnoteReference w:id="1"/>
      </w:r>
      <w:r w:rsidR="001B522E" w:rsidRPr="00572672">
        <w:rPr>
          <w:rFonts w:asciiTheme="majorBidi" w:hAnsiTheme="majorBidi" w:cstheme="majorBidi"/>
        </w:rPr>
        <w:t xml:space="preserve"> (</w:t>
      </w:r>
      <w:r w:rsidR="00511F4F" w:rsidRPr="00572672">
        <w:rPr>
          <w:rFonts w:asciiTheme="majorBidi" w:hAnsiTheme="majorBidi" w:cstheme="majorBidi"/>
        </w:rPr>
        <w:t>89</w:t>
      </w:r>
      <w:r w:rsidR="001B522E" w:rsidRPr="00572672">
        <w:rPr>
          <w:rFonts w:asciiTheme="majorBidi" w:hAnsiTheme="majorBidi" w:cstheme="majorBidi"/>
        </w:rPr>
        <w:t xml:space="preserve">%), </w:t>
      </w:r>
      <w:r w:rsidR="00511F4F" w:rsidRPr="00572672">
        <w:rPr>
          <w:rFonts w:asciiTheme="majorBidi" w:hAnsiTheme="majorBidi" w:cstheme="majorBidi"/>
        </w:rPr>
        <w:t xml:space="preserve">humanities </w:t>
      </w:r>
      <w:r w:rsidR="001B522E" w:rsidRPr="00572672">
        <w:rPr>
          <w:rFonts w:asciiTheme="majorBidi" w:hAnsiTheme="majorBidi" w:cstheme="majorBidi"/>
        </w:rPr>
        <w:t>(</w:t>
      </w:r>
      <w:r w:rsidR="00511F4F" w:rsidRPr="00572672">
        <w:rPr>
          <w:rFonts w:asciiTheme="majorBidi" w:hAnsiTheme="majorBidi" w:cstheme="majorBidi"/>
        </w:rPr>
        <w:t>81</w:t>
      </w:r>
      <w:r w:rsidR="001B522E" w:rsidRPr="00572672">
        <w:rPr>
          <w:rFonts w:asciiTheme="majorBidi" w:hAnsiTheme="majorBidi" w:cstheme="majorBidi"/>
        </w:rPr>
        <w:t xml:space="preserve">%), </w:t>
      </w:r>
      <w:r w:rsidR="00D977B1" w:rsidRPr="00572672">
        <w:rPr>
          <w:rFonts w:asciiTheme="majorBidi" w:hAnsiTheme="majorBidi" w:cstheme="majorBidi"/>
        </w:rPr>
        <w:t xml:space="preserve">social and behavioral sciences </w:t>
      </w:r>
      <w:r w:rsidR="001B522E" w:rsidRPr="00572672">
        <w:rPr>
          <w:rFonts w:asciiTheme="majorBidi" w:hAnsiTheme="majorBidi" w:cstheme="majorBidi"/>
        </w:rPr>
        <w:t>(</w:t>
      </w:r>
      <w:r w:rsidR="00D977B1" w:rsidRPr="00572672">
        <w:rPr>
          <w:rFonts w:asciiTheme="majorBidi" w:hAnsiTheme="majorBidi" w:cstheme="majorBidi"/>
        </w:rPr>
        <w:t>80</w:t>
      </w:r>
      <w:r w:rsidR="001B522E" w:rsidRPr="00572672">
        <w:rPr>
          <w:rFonts w:asciiTheme="majorBidi" w:hAnsiTheme="majorBidi" w:cstheme="majorBidi"/>
        </w:rPr>
        <w:t xml:space="preserve">%), </w:t>
      </w:r>
      <w:r w:rsidR="00D977B1" w:rsidRPr="00572672">
        <w:rPr>
          <w:rFonts w:asciiTheme="majorBidi" w:hAnsiTheme="majorBidi" w:cstheme="majorBidi"/>
        </w:rPr>
        <w:t xml:space="preserve">journalism and information </w:t>
      </w:r>
      <w:r w:rsidR="001B522E" w:rsidRPr="00572672">
        <w:rPr>
          <w:rFonts w:asciiTheme="majorBidi" w:hAnsiTheme="majorBidi" w:cstheme="majorBidi"/>
        </w:rPr>
        <w:t>(</w:t>
      </w:r>
      <w:r w:rsidR="00D977B1" w:rsidRPr="00572672">
        <w:rPr>
          <w:rFonts w:asciiTheme="majorBidi" w:hAnsiTheme="majorBidi" w:cstheme="majorBidi"/>
        </w:rPr>
        <w:t>80</w:t>
      </w:r>
      <w:r w:rsidR="001B522E" w:rsidRPr="00572672">
        <w:rPr>
          <w:rFonts w:asciiTheme="majorBidi" w:hAnsiTheme="majorBidi" w:cstheme="majorBidi"/>
        </w:rPr>
        <w:t xml:space="preserve">%) and </w:t>
      </w:r>
      <w:r w:rsidR="00FA55C2" w:rsidRPr="00572672">
        <w:rPr>
          <w:rFonts w:asciiTheme="majorBidi" w:hAnsiTheme="majorBidi" w:cstheme="majorBidi"/>
        </w:rPr>
        <w:t xml:space="preserve">teacher </w:t>
      </w:r>
      <w:r w:rsidR="00D977B1" w:rsidRPr="00572672">
        <w:rPr>
          <w:rFonts w:asciiTheme="majorBidi" w:hAnsiTheme="majorBidi" w:cstheme="majorBidi"/>
        </w:rPr>
        <w:t xml:space="preserve">training and education sciences </w:t>
      </w:r>
      <w:r w:rsidR="001B522E" w:rsidRPr="00572672">
        <w:rPr>
          <w:rFonts w:asciiTheme="majorBidi" w:hAnsiTheme="majorBidi" w:cstheme="majorBidi"/>
        </w:rPr>
        <w:t>(</w:t>
      </w:r>
      <w:r w:rsidR="00D977B1" w:rsidRPr="00572672">
        <w:rPr>
          <w:rFonts w:asciiTheme="majorBidi" w:hAnsiTheme="majorBidi" w:cstheme="majorBidi"/>
        </w:rPr>
        <w:t>79</w:t>
      </w:r>
      <w:r w:rsidR="001B522E" w:rsidRPr="00572672">
        <w:rPr>
          <w:rFonts w:asciiTheme="majorBidi" w:hAnsiTheme="majorBidi" w:cstheme="majorBidi"/>
        </w:rPr>
        <w:t>%).</w:t>
      </w:r>
      <w:r w:rsidR="00D977B1" w:rsidRPr="00572672">
        <w:rPr>
          <w:rFonts w:asciiTheme="majorBidi" w:hAnsiTheme="majorBidi" w:cstheme="majorBidi"/>
        </w:rPr>
        <w:t xml:space="preserve"> </w:t>
      </w:r>
    </w:p>
    <w:p w:rsidR="00F63CAA" w:rsidRDefault="001B522E" w:rsidP="00F63CAA">
      <w:pPr>
        <w:bidi w:val="0"/>
        <w:spacing w:before="120" w:after="120"/>
        <w:jc w:val="both"/>
        <w:rPr>
          <w:rFonts w:asciiTheme="majorBidi" w:hAnsiTheme="majorBidi" w:cstheme="majorBidi" w:hint="cs"/>
          <w:sz w:val="2"/>
          <w:szCs w:val="2"/>
          <w:rtl/>
        </w:rPr>
      </w:pPr>
      <w:r w:rsidRPr="00572672">
        <w:rPr>
          <w:rFonts w:asciiTheme="majorBidi" w:hAnsiTheme="majorBidi" w:cstheme="majorBidi"/>
        </w:rPr>
        <w:t>The highest unemployment rates in the West Bank</w:t>
      </w:r>
      <w:r w:rsidR="00722E2D" w:rsidRPr="00572672">
        <w:rPr>
          <w:rFonts w:asciiTheme="majorBidi" w:hAnsiTheme="majorBidi" w:cstheme="majorBidi"/>
        </w:rPr>
        <w:t xml:space="preserve"> in 2019</w:t>
      </w:r>
      <w:r w:rsidRPr="00572672">
        <w:rPr>
          <w:rFonts w:asciiTheme="majorBidi" w:hAnsiTheme="majorBidi" w:cstheme="majorBidi"/>
        </w:rPr>
        <w:t xml:space="preserve"> for the same age group by </w:t>
      </w:r>
      <w:r w:rsidRPr="00572672">
        <w:t>fields of education</w:t>
      </w:r>
      <w:r w:rsidRPr="00572672">
        <w:rPr>
          <w:rFonts w:asciiTheme="majorBidi" w:hAnsiTheme="majorBidi" w:cstheme="majorBidi"/>
        </w:rPr>
        <w:t xml:space="preserve"> were as follows</w:t>
      </w:r>
    </w:p>
    <w:p w:rsidR="00BB78C5" w:rsidRPr="00572672" w:rsidRDefault="001B522E" w:rsidP="00F63CAA">
      <w:pPr>
        <w:bidi w:val="0"/>
        <w:spacing w:before="120" w:after="120"/>
        <w:jc w:val="both"/>
        <w:rPr>
          <w:rFonts w:asciiTheme="majorBidi" w:hAnsiTheme="majorBidi" w:cstheme="majorBidi"/>
        </w:rPr>
      </w:pPr>
      <w:r w:rsidRPr="00572672">
        <w:rPr>
          <w:rFonts w:asciiTheme="majorBidi" w:hAnsiTheme="majorBidi" w:cstheme="majorBidi"/>
          <w:rtl/>
        </w:rPr>
        <w:lastRenderedPageBreak/>
        <w:t>:</w:t>
      </w:r>
      <w:r w:rsidR="00B056FB" w:rsidRPr="00572672">
        <w:rPr>
          <w:rFonts w:asciiTheme="majorBidi" w:hAnsiTheme="majorBidi" w:cstheme="majorBidi"/>
        </w:rPr>
        <w:t>T</w:t>
      </w:r>
      <w:r w:rsidR="00FA55C2" w:rsidRPr="00572672">
        <w:rPr>
          <w:rFonts w:asciiTheme="majorBidi" w:hAnsiTheme="majorBidi" w:cstheme="majorBidi"/>
        </w:rPr>
        <w:t>eacher t</w:t>
      </w:r>
      <w:r w:rsidR="00B056FB" w:rsidRPr="00572672">
        <w:rPr>
          <w:rFonts w:asciiTheme="majorBidi" w:hAnsiTheme="majorBidi" w:cstheme="majorBidi"/>
        </w:rPr>
        <w:t xml:space="preserve">raining and education science </w:t>
      </w:r>
      <w:r w:rsidRPr="00572672">
        <w:rPr>
          <w:rFonts w:asciiTheme="majorBidi" w:hAnsiTheme="majorBidi" w:cstheme="majorBidi"/>
        </w:rPr>
        <w:t>(</w:t>
      </w:r>
      <w:r w:rsidR="00B056FB" w:rsidRPr="00572672">
        <w:rPr>
          <w:rFonts w:asciiTheme="majorBidi" w:hAnsiTheme="majorBidi" w:cstheme="majorBidi"/>
        </w:rPr>
        <w:t>57</w:t>
      </w:r>
      <w:r w:rsidRPr="00572672">
        <w:rPr>
          <w:rFonts w:asciiTheme="majorBidi" w:hAnsiTheme="majorBidi" w:cstheme="majorBidi"/>
        </w:rPr>
        <w:t xml:space="preserve">%), </w:t>
      </w:r>
      <w:r w:rsidR="00B056FB" w:rsidRPr="00572672">
        <w:rPr>
          <w:rFonts w:asciiTheme="majorBidi" w:hAnsiTheme="majorBidi" w:cstheme="majorBidi"/>
        </w:rPr>
        <w:t xml:space="preserve">social and behavioral sciences </w:t>
      </w:r>
      <w:r w:rsidRPr="00572672">
        <w:rPr>
          <w:rFonts w:asciiTheme="majorBidi" w:hAnsiTheme="majorBidi" w:cstheme="majorBidi"/>
        </w:rPr>
        <w:t>(</w:t>
      </w:r>
      <w:r w:rsidR="00B056FB" w:rsidRPr="00572672">
        <w:rPr>
          <w:rFonts w:asciiTheme="majorBidi" w:hAnsiTheme="majorBidi" w:cstheme="majorBidi"/>
        </w:rPr>
        <w:t>50</w:t>
      </w:r>
      <w:r w:rsidRPr="00572672">
        <w:rPr>
          <w:rFonts w:asciiTheme="majorBidi" w:hAnsiTheme="majorBidi" w:cstheme="majorBidi"/>
        </w:rPr>
        <w:t xml:space="preserve">%), </w:t>
      </w:r>
      <w:r w:rsidR="00B056FB" w:rsidRPr="00572672">
        <w:rPr>
          <w:rFonts w:asciiTheme="majorBidi" w:hAnsiTheme="majorBidi" w:cstheme="majorBidi"/>
        </w:rPr>
        <w:t xml:space="preserve">mathematics and statistics </w:t>
      </w:r>
      <w:r w:rsidRPr="00572672">
        <w:rPr>
          <w:rFonts w:asciiTheme="majorBidi" w:hAnsiTheme="majorBidi" w:cstheme="majorBidi"/>
        </w:rPr>
        <w:t>(</w:t>
      </w:r>
      <w:r w:rsidR="00B056FB" w:rsidRPr="00572672">
        <w:rPr>
          <w:rFonts w:asciiTheme="majorBidi" w:hAnsiTheme="majorBidi" w:cstheme="majorBidi"/>
        </w:rPr>
        <w:t>45</w:t>
      </w:r>
      <w:r w:rsidRPr="00572672">
        <w:rPr>
          <w:rFonts w:asciiTheme="majorBidi" w:hAnsiTheme="majorBidi" w:cstheme="majorBidi"/>
        </w:rPr>
        <w:t xml:space="preserve">%), </w:t>
      </w:r>
      <w:r w:rsidR="00B056FB" w:rsidRPr="00572672">
        <w:rPr>
          <w:rFonts w:asciiTheme="majorBidi" w:hAnsiTheme="majorBidi" w:cstheme="majorBidi"/>
        </w:rPr>
        <w:t xml:space="preserve">humanities </w:t>
      </w:r>
      <w:r w:rsidRPr="00572672">
        <w:rPr>
          <w:rFonts w:asciiTheme="majorBidi" w:hAnsiTheme="majorBidi" w:cstheme="majorBidi"/>
        </w:rPr>
        <w:t>(</w:t>
      </w:r>
      <w:r w:rsidR="00B056FB" w:rsidRPr="00572672">
        <w:rPr>
          <w:rFonts w:asciiTheme="majorBidi" w:hAnsiTheme="majorBidi" w:cstheme="majorBidi"/>
        </w:rPr>
        <w:t>45</w:t>
      </w:r>
      <w:r w:rsidRPr="00572672">
        <w:rPr>
          <w:rFonts w:asciiTheme="majorBidi" w:hAnsiTheme="majorBidi" w:cstheme="majorBidi"/>
        </w:rPr>
        <w:t xml:space="preserve">%) and </w:t>
      </w:r>
      <w:r w:rsidR="00B056FB" w:rsidRPr="00572672">
        <w:rPr>
          <w:rFonts w:asciiTheme="majorBidi" w:hAnsiTheme="majorBidi" w:cstheme="majorBidi"/>
        </w:rPr>
        <w:t xml:space="preserve">life sciences </w:t>
      </w:r>
      <w:r w:rsidRPr="00572672">
        <w:rPr>
          <w:rFonts w:asciiTheme="majorBidi" w:hAnsiTheme="majorBidi" w:cstheme="majorBidi"/>
        </w:rPr>
        <w:t>(</w:t>
      </w:r>
      <w:r w:rsidR="00B056FB" w:rsidRPr="00572672">
        <w:rPr>
          <w:rFonts w:asciiTheme="majorBidi" w:hAnsiTheme="majorBidi" w:cstheme="majorBidi"/>
        </w:rPr>
        <w:t>44</w:t>
      </w:r>
      <w:r w:rsidRPr="00572672">
        <w:rPr>
          <w:rFonts w:asciiTheme="majorBidi" w:hAnsiTheme="majorBidi" w:cstheme="majorBidi"/>
        </w:rPr>
        <w:t>%).</w:t>
      </w:r>
    </w:p>
    <w:p w:rsidR="00572672" w:rsidRPr="00572672" w:rsidRDefault="00572672" w:rsidP="00572672">
      <w:pPr>
        <w:bidi w:val="0"/>
        <w:jc w:val="center"/>
        <w:rPr>
          <w:b/>
          <w:bCs/>
          <w:sz w:val="16"/>
          <w:szCs w:val="16"/>
        </w:rPr>
      </w:pPr>
    </w:p>
    <w:p w:rsidR="00BB78C5" w:rsidRPr="00572672" w:rsidRDefault="00BB78C5" w:rsidP="00572672">
      <w:pPr>
        <w:bidi w:val="0"/>
        <w:jc w:val="center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 xml:space="preserve">Unemployment </w:t>
      </w:r>
      <w:r w:rsidR="007D6DD2" w:rsidRPr="00572672">
        <w:rPr>
          <w:b/>
          <w:bCs/>
          <w:sz w:val="26"/>
          <w:szCs w:val="26"/>
        </w:rPr>
        <w:t xml:space="preserve">Rate </w:t>
      </w:r>
      <w:r w:rsidR="00934903" w:rsidRPr="00572672">
        <w:rPr>
          <w:b/>
          <w:bCs/>
          <w:sz w:val="26"/>
          <w:szCs w:val="26"/>
        </w:rPr>
        <w:t>among</w:t>
      </w:r>
      <w:r w:rsidRPr="00572672">
        <w:rPr>
          <w:b/>
          <w:bCs/>
          <w:sz w:val="26"/>
          <w:szCs w:val="26"/>
        </w:rPr>
        <w:t xml:space="preserve"> </w:t>
      </w:r>
      <w:r w:rsidR="00F64EBF" w:rsidRPr="00572672">
        <w:rPr>
          <w:b/>
          <w:bCs/>
          <w:sz w:val="26"/>
          <w:szCs w:val="26"/>
        </w:rPr>
        <w:t>Individuals</w:t>
      </w:r>
      <w:r w:rsidRPr="00572672">
        <w:rPr>
          <w:b/>
          <w:bCs/>
          <w:sz w:val="26"/>
          <w:szCs w:val="26"/>
        </w:rPr>
        <w:t xml:space="preserve"> (20-29 years</w:t>
      </w:r>
      <w:r w:rsidR="00F321B6" w:rsidRPr="00572672">
        <w:rPr>
          <w:b/>
          <w:bCs/>
          <w:sz w:val="26"/>
          <w:szCs w:val="26"/>
        </w:rPr>
        <w:t>)</w:t>
      </w:r>
      <w:r w:rsidRPr="00572672">
        <w:rPr>
          <w:b/>
          <w:bCs/>
          <w:sz w:val="26"/>
          <w:szCs w:val="26"/>
        </w:rPr>
        <w:t xml:space="preserve"> in Palestine </w:t>
      </w:r>
    </w:p>
    <w:p w:rsidR="00572672" w:rsidRPr="00572672" w:rsidRDefault="00BB78C5" w:rsidP="00572672">
      <w:pPr>
        <w:bidi w:val="0"/>
        <w:spacing w:before="120" w:after="120" w:line="240" w:lineRule="exact"/>
        <w:jc w:val="center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 xml:space="preserve">with an </w:t>
      </w:r>
      <w:r w:rsidR="007D6DD2" w:rsidRPr="00572672">
        <w:rPr>
          <w:b/>
          <w:bCs/>
          <w:sz w:val="26"/>
          <w:szCs w:val="26"/>
        </w:rPr>
        <w:t xml:space="preserve">Intermediate Diploma </w:t>
      </w:r>
      <w:r w:rsidRPr="00572672">
        <w:rPr>
          <w:b/>
          <w:bCs/>
          <w:sz w:val="26"/>
          <w:szCs w:val="26"/>
        </w:rPr>
        <w:t xml:space="preserve">or </w:t>
      </w:r>
      <w:r w:rsidR="007D6DD2" w:rsidRPr="00572672">
        <w:rPr>
          <w:b/>
          <w:bCs/>
          <w:sz w:val="26"/>
          <w:szCs w:val="26"/>
        </w:rPr>
        <w:t xml:space="preserve">Bachelor’s Degree </w:t>
      </w:r>
      <w:r w:rsidRPr="00572672">
        <w:rPr>
          <w:b/>
          <w:bCs/>
          <w:sz w:val="26"/>
          <w:szCs w:val="26"/>
        </w:rPr>
        <w:t xml:space="preserve">by </w:t>
      </w:r>
      <w:r w:rsidR="007D6DD2" w:rsidRPr="00572672">
        <w:rPr>
          <w:b/>
          <w:bCs/>
          <w:sz w:val="26"/>
          <w:szCs w:val="26"/>
        </w:rPr>
        <w:t xml:space="preserve">Field </w:t>
      </w:r>
      <w:r w:rsidRPr="00572672">
        <w:rPr>
          <w:b/>
          <w:bCs/>
          <w:sz w:val="26"/>
          <w:szCs w:val="26"/>
        </w:rPr>
        <w:t xml:space="preserve">of </w:t>
      </w:r>
      <w:r w:rsidR="007D6DD2" w:rsidRPr="00572672">
        <w:rPr>
          <w:b/>
          <w:bCs/>
          <w:sz w:val="26"/>
          <w:szCs w:val="26"/>
        </w:rPr>
        <w:t>Education</w:t>
      </w:r>
      <w:r w:rsidR="00572672" w:rsidRPr="00572672">
        <w:rPr>
          <w:b/>
          <w:bCs/>
          <w:sz w:val="26"/>
          <w:szCs w:val="26"/>
        </w:rPr>
        <w:t xml:space="preserve"> </w:t>
      </w:r>
      <w:r w:rsidRPr="00572672">
        <w:rPr>
          <w:b/>
          <w:bCs/>
          <w:sz w:val="26"/>
          <w:szCs w:val="26"/>
        </w:rPr>
        <w:t xml:space="preserve">and </w:t>
      </w:r>
    </w:p>
    <w:p w:rsidR="00BB78C5" w:rsidRPr="00572672" w:rsidRDefault="00BB78C5" w:rsidP="00572672">
      <w:pPr>
        <w:bidi w:val="0"/>
        <w:spacing w:before="120" w:after="120" w:line="240" w:lineRule="exact"/>
        <w:jc w:val="center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>Region, 2019</w:t>
      </w:r>
    </w:p>
    <w:tbl>
      <w:tblPr>
        <w:tblStyle w:val="TableGrid"/>
        <w:tblW w:w="9811" w:type="dxa"/>
        <w:jc w:val="center"/>
        <w:tblInd w:w="-358" w:type="dxa"/>
        <w:tblLayout w:type="fixed"/>
        <w:tblLook w:val="04A0"/>
      </w:tblPr>
      <w:tblGrid>
        <w:gridCol w:w="4413"/>
        <w:gridCol w:w="1569"/>
        <w:gridCol w:w="1988"/>
        <w:gridCol w:w="1841"/>
      </w:tblGrid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Merge w:val="restart"/>
            <w:vAlign w:val="center"/>
          </w:tcPr>
          <w:p w:rsidR="00893BCE" w:rsidRPr="00572672" w:rsidRDefault="00893BCE" w:rsidP="007D6DD2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 xml:space="preserve">Field of </w:t>
            </w:r>
            <w:r w:rsidR="007D6DD2" w:rsidRPr="00572672">
              <w:rPr>
                <w:rFonts w:asciiTheme="majorBidi" w:hAnsiTheme="majorBidi" w:cstheme="majorBidi"/>
                <w:b/>
                <w:bCs/>
              </w:rPr>
              <w:t>Education</w:t>
            </w:r>
          </w:p>
        </w:tc>
        <w:tc>
          <w:tcPr>
            <w:tcW w:w="1569" w:type="dxa"/>
            <w:vMerge w:val="restart"/>
            <w:vAlign w:val="center"/>
          </w:tcPr>
          <w:p w:rsidR="00893BCE" w:rsidRPr="00572672" w:rsidRDefault="00893BCE" w:rsidP="002310DB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Palestine</w:t>
            </w:r>
          </w:p>
        </w:tc>
        <w:tc>
          <w:tcPr>
            <w:tcW w:w="3829" w:type="dxa"/>
            <w:gridSpan w:val="2"/>
          </w:tcPr>
          <w:p w:rsidR="00893BCE" w:rsidRPr="00572672" w:rsidRDefault="00893BCE" w:rsidP="002310DB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Region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Merge/>
          </w:tcPr>
          <w:p w:rsidR="00893BCE" w:rsidRPr="00572672" w:rsidRDefault="00893BCE" w:rsidP="002310DB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9" w:type="dxa"/>
            <w:vMerge/>
          </w:tcPr>
          <w:p w:rsidR="00893BCE" w:rsidRPr="00572672" w:rsidRDefault="00893BCE" w:rsidP="002310DB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8" w:type="dxa"/>
          </w:tcPr>
          <w:p w:rsidR="00893BCE" w:rsidRPr="00572672" w:rsidRDefault="00893BCE" w:rsidP="002310DB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West Bank</w:t>
            </w:r>
          </w:p>
        </w:tc>
        <w:tc>
          <w:tcPr>
            <w:tcW w:w="1841" w:type="dxa"/>
          </w:tcPr>
          <w:p w:rsidR="00893BCE" w:rsidRPr="00572672" w:rsidRDefault="00893BCE" w:rsidP="002310DB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Gaza Strip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Teacher training and education sciences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72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79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Journalism and information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69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80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Humanities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65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81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Social and behavioral sciences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63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80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Life sciences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57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73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Mathematics and statistics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{62}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Architecture and construction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77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Computing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58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Business and administration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69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Health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43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64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Engineering and engineering trades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57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 xml:space="preserve">Personal services </w:t>
            </w:r>
          </w:p>
        </w:tc>
        <w:tc>
          <w:tcPr>
            <w:tcW w:w="1569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  <w:tc>
          <w:tcPr>
            <w:tcW w:w="1988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841" w:type="dxa"/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{89}</w:t>
            </w:r>
          </w:p>
        </w:tc>
      </w:tr>
      <w:tr w:rsidR="00893BCE" w:rsidRPr="00572672" w:rsidTr="00572672">
        <w:trPr>
          <w:trHeight w:hRule="exact" w:val="278"/>
          <w:jc w:val="center"/>
        </w:trPr>
        <w:tc>
          <w:tcPr>
            <w:tcW w:w="4413" w:type="dxa"/>
            <w:tcBorders>
              <w:bottom w:val="single" w:sz="4" w:space="0" w:color="auto"/>
            </w:tcBorders>
            <w:vAlign w:val="center"/>
          </w:tcPr>
          <w:p w:rsidR="00893BCE" w:rsidRPr="00572672" w:rsidRDefault="00893BCE" w:rsidP="006D7A3F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Law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93BCE" w:rsidRPr="00572672" w:rsidRDefault="00893BCE" w:rsidP="002F7653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</w:rPr>
              <w:t>56</w:t>
            </w:r>
          </w:p>
        </w:tc>
      </w:tr>
      <w:tr w:rsidR="00510303" w:rsidRPr="00572672" w:rsidTr="00572672">
        <w:trPr>
          <w:trHeight w:hRule="exact" w:val="278"/>
          <w:jc w:val="center"/>
        </w:trPr>
        <w:tc>
          <w:tcPr>
            <w:tcW w:w="981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303" w:rsidRPr="00572672" w:rsidRDefault="00510303" w:rsidP="00BD4BC2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  <w:rtl/>
              </w:rPr>
              <w:t>{  }</w:t>
            </w:r>
            <w:r w:rsidRPr="00572672">
              <w:rPr>
                <w:rFonts w:asciiTheme="majorBidi" w:hAnsiTheme="majorBidi" w:cstheme="majorBidi"/>
              </w:rPr>
              <w:t>: Number of observation</w:t>
            </w:r>
            <w:r w:rsidR="00B522FE" w:rsidRPr="00572672">
              <w:rPr>
                <w:rFonts w:asciiTheme="majorBidi" w:hAnsiTheme="majorBidi" w:cstheme="majorBidi"/>
              </w:rPr>
              <w:t>s</w:t>
            </w:r>
            <w:r w:rsidRPr="00572672">
              <w:rPr>
                <w:rFonts w:asciiTheme="majorBidi" w:hAnsiTheme="majorBidi" w:cstheme="majorBidi"/>
              </w:rPr>
              <w:t xml:space="preserve"> </w:t>
            </w:r>
            <w:r w:rsidR="00211E7E" w:rsidRPr="00572672">
              <w:rPr>
                <w:rFonts w:asciiTheme="majorBidi" w:hAnsiTheme="majorBidi" w:cstheme="majorBidi"/>
              </w:rPr>
              <w:t>are</w:t>
            </w:r>
            <w:r w:rsidRPr="00572672">
              <w:rPr>
                <w:rFonts w:asciiTheme="majorBidi" w:hAnsiTheme="majorBidi" w:cstheme="majorBidi"/>
              </w:rPr>
              <w:t xml:space="preserve"> relatively little so results in parentheses indicate relatively high marginal</w:t>
            </w:r>
            <w:r w:rsidR="00BD4BC2" w:rsidRPr="00572672">
              <w:rPr>
                <w:rFonts w:asciiTheme="majorBidi" w:hAnsiTheme="majorBidi" w:cstheme="majorBidi"/>
              </w:rPr>
              <w:t xml:space="preserve"> error</w:t>
            </w:r>
          </w:p>
        </w:tc>
      </w:tr>
      <w:tr w:rsidR="00510303" w:rsidRPr="00572672" w:rsidTr="00572672">
        <w:trPr>
          <w:trHeight w:hRule="exact" w:val="654"/>
          <w:jc w:val="center"/>
        </w:trPr>
        <w:tc>
          <w:tcPr>
            <w:tcW w:w="98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0303" w:rsidRPr="00572672" w:rsidRDefault="00510303" w:rsidP="007D6DD2">
            <w:pPr>
              <w:bidi w:val="0"/>
              <w:rPr>
                <w:rFonts w:asciiTheme="majorBidi" w:hAnsiTheme="majorBidi" w:cstheme="majorBidi"/>
              </w:rPr>
            </w:pPr>
            <w:r w:rsidRPr="00572672">
              <w:rPr>
                <w:rFonts w:asciiTheme="majorBidi" w:hAnsiTheme="majorBidi" w:cstheme="majorBidi"/>
                <w:b/>
                <w:bCs/>
              </w:rPr>
              <w:t xml:space="preserve">Source: Palestinian Central Bureau  of Statistics, 2020. </w:t>
            </w:r>
            <w:r w:rsidRPr="00572672">
              <w:rPr>
                <w:rFonts w:asciiTheme="majorBidi" w:hAnsiTheme="majorBidi" w:cstheme="majorBidi"/>
              </w:rPr>
              <w:t xml:space="preserve">Database of </w:t>
            </w:r>
            <w:r w:rsidR="007D6DD2" w:rsidRPr="00572672">
              <w:rPr>
                <w:rFonts w:asciiTheme="majorBidi" w:hAnsiTheme="majorBidi" w:cstheme="majorBidi"/>
              </w:rPr>
              <w:t>Labor Force Survey</w:t>
            </w:r>
            <w:r w:rsidRPr="00572672">
              <w:rPr>
                <w:rFonts w:asciiTheme="majorBidi" w:hAnsiTheme="majorBidi" w:cstheme="majorBidi"/>
              </w:rPr>
              <w:t>, 2019. Ramallah-Palestine</w:t>
            </w:r>
          </w:p>
        </w:tc>
      </w:tr>
    </w:tbl>
    <w:p w:rsidR="000A4D31" w:rsidRDefault="000A4D31" w:rsidP="000A4D31">
      <w:pPr>
        <w:bidi w:val="0"/>
        <w:jc w:val="lowKashida"/>
        <w:rPr>
          <w:b/>
          <w:bCs/>
          <w:sz w:val="10"/>
          <w:szCs w:val="10"/>
        </w:rPr>
      </w:pPr>
    </w:p>
    <w:p w:rsidR="001B522E" w:rsidRPr="00572672" w:rsidRDefault="0052630C" w:rsidP="000A4D31">
      <w:pPr>
        <w:bidi w:val="0"/>
        <w:spacing w:line="240" w:lineRule="exact"/>
        <w:jc w:val="lowKashida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>It take</w:t>
      </w:r>
      <w:r w:rsidR="007D6DD2" w:rsidRPr="00572672">
        <w:rPr>
          <w:b/>
          <w:bCs/>
          <w:sz w:val="26"/>
          <w:szCs w:val="26"/>
        </w:rPr>
        <w:t>s</w:t>
      </w:r>
      <w:r w:rsidRPr="00572672">
        <w:rPr>
          <w:b/>
          <w:bCs/>
          <w:sz w:val="26"/>
          <w:szCs w:val="26"/>
        </w:rPr>
        <w:t xml:space="preserve"> </w:t>
      </w:r>
      <w:r w:rsidR="007D6DD2" w:rsidRPr="00572672">
        <w:rPr>
          <w:b/>
          <w:bCs/>
          <w:sz w:val="26"/>
          <w:szCs w:val="26"/>
        </w:rPr>
        <w:t xml:space="preserve">graduates </w:t>
      </w:r>
      <w:r w:rsidRPr="00572672">
        <w:rPr>
          <w:b/>
          <w:bCs/>
          <w:sz w:val="26"/>
          <w:szCs w:val="26"/>
        </w:rPr>
        <w:t xml:space="preserve">about </w:t>
      </w:r>
      <w:r w:rsidR="001B522E" w:rsidRPr="00572672">
        <w:rPr>
          <w:b/>
          <w:bCs/>
          <w:sz w:val="26"/>
          <w:szCs w:val="26"/>
        </w:rPr>
        <w:t xml:space="preserve"> </w:t>
      </w:r>
      <w:r w:rsidR="006571DB" w:rsidRPr="00572672">
        <w:rPr>
          <w:b/>
          <w:bCs/>
          <w:sz w:val="26"/>
          <w:szCs w:val="26"/>
        </w:rPr>
        <w:t>10</w:t>
      </w:r>
      <w:r w:rsidR="001B522E" w:rsidRPr="00572672">
        <w:rPr>
          <w:b/>
          <w:bCs/>
          <w:sz w:val="26"/>
          <w:szCs w:val="26"/>
        </w:rPr>
        <w:t>-</w:t>
      </w:r>
      <w:r w:rsidR="006571DB" w:rsidRPr="00572672">
        <w:rPr>
          <w:b/>
          <w:bCs/>
          <w:sz w:val="26"/>
          <w:szCs w:val="26"/>
        </w:rPr>
        <w:t>23</w:t>
      </w:r>
      <w:r w:rsidR="001B522E" w:rsidRPr="00572672">
        <w:rPr>
          <w:b/>
          <w:bCs/>
          <w:sz w:val="26"/>
          <w:szCs w:val="26"/>
        </w:rPr>
        <w:t xml:space="preserve"> months </w:t>
      </w:r>
      <w:r w:rsidRPr="00572672">
        <w:rPr>
          <w:b/>
          <w:bCs/>
          <w:sz w:val="26"/>
          <w:szCs w:val="26"/>
        </w:rPr>
        <w:t xml:space="preserve">before </w:t>
      </w:r>
      <w:r w:rsidR="007D6DD2" w:rsidRPr="00572672">
        <w:rPr>
          <w:b/>
          <w:bCs/>
          <w:sz w:val="26"/>
          <w:szCs w:val="26"/>
        </w:rPr>
        <w:t>getting</w:t>
      </w:r>
      <w:r w:rsidRPr="00572672">
        <w:rPr>
          <w:b/>
          <w:bCs/>
          <w:sz w:val="26"/>
          <w:szCs w:val="26"/>
        </w:rPr>
        <w:t xml:space="preserve"> their first </w:t>
      </w:r>
      <w:r w:rsidR="001B522E" w:rsidRPr="00572672">
        <w:rPr>
          <w:b/>
          <w:bCs/>
          <w:sz w:val="26"/>
          <w:szCs w:val="26"/>
        </w:rPr>
        <w:t>labor chance</w:t>
      </w:r>
    </w:p>
    <w:p w:rsidR="001B522E" w:rsidRPr="00572672" w:rsidRDefault="001B522E" w:rsidP="00107BAA">
      <w:pPr>
        <w:bidi w:val="0"/>
        <w:jc w:val="lowKashida"/>
        <w:rPr>
          <w:rFonts w:asciiTheme="majorBidi" w:hAnsiTheme="majorBidi" w:cstheme="majorBidi"/>
        </w:rPr>
      </w:pPr>
      <w:r w:rsidRPr="00572672">
        <w:rPr>
          <w:rFonts w:asciiTheme="majorBidi" w:hAnsiTheme="majorBidi" w:cstheme="majorBidi"/>
        </w:rPr>
        <w:t xml:space="preserve">In </w:t>
      </w:r>
      <w:r w:rsidR="006571DB" w:rsidRPr="00572672">
        <w:rPr>
          <w:rFonts w:asciiTheme="majorBidi" w:hAnsiTheme="majorBidi" w:cstheme="majorBidi"/>
        </w:rPr>
        <w:t>2019</w:t>
      </w:r>
      <w:r w:rsidRPr="00572672">
        <w:rPr>
          <w:rFonts w:asciiTheme="majorBidi" w:hAnsiTheme="majorBidi" w:cstheme="majorBidi"/>
        </w:rPr>
        <w:t xml:space="preserve">, the highest </w:t>
      </w:r>
      <w:r w:rsidRPr="00572672">
        <w:t>period of unemployment for graduates aged (20-29 years</w:t>
      </w:r>
      <w:r w:rsidR="00F321B6" w:rsidRPr="00572672">
        <w:t>)</w:t>
      </w:r>
      <w:r w:rsidRPr="00572672">
        <w:t xml:space="preserve"> in Palestine with an intermediate diploma or bachelor’s degree was in </w:t>
      </w:r>
      <w:r w:rsidRPr="00572672">
        <w:rPr>
          <w:rFonts w:asciiTheme="majorBidi" w:hAnsiTheme="majorBidi" w:cstheme="majorBidi"/>
        </w:rPr>
        <w:t xml:space="preserve">the </w:t>
      </w:r>
      <w:r w:rsidR="006571DB" w:rsidRPr="00572672">
        <w:rPr>
          <w:rFonts w:asciiTheme="majorBidi" w:hAnsiTheme="majorBidi" w:cstheme="majorBidi"/>
        </w:rPr>
        <w:t xml:space="preserve">journalism and information </w:t>
      </w:r>
      <w:r w:rsidRPr="00572672">
        <w:t>field,</w:t>
      </w:r>
      <w:r w:rsidRPr="00572672">
        <w:rPr>
          <w:rFonts w:asciiTheme="majorBidi" w:hAnsiTheme="majorBidi" w:cstheme="majorBidi"/>
        </w:rPr>
        <w:t xml:space="preserve"> being  </w:t>
      </w:r>
      <w:r w:rsidR="006571DB" w:rsidRPr="00572672">
        <w:rPr>
          <w:rFonts w:asciiTheme="majorBidi" w:hAnsiTheme="majorBidi" w:cstheme="majorBidi"/>
        </w:rPr>
        <w:t>23</w:t>
      </w:r>
      <w:r w:rsidRPr="00572672">
        <w:rPr>
          <w:rFonts w:asciiTheme="majorBidi" w:hAnsiTheme="majorBidi" w:cstheme="majorBidi"/>
        </w:rPr>
        <w:t xml:space="preserve"> months. The lowest period was in </w:t>
      </w:r>
      <w:r w:rsidR="00DF4CFE" w:rsidRPr="00572672">
        <w:rPr>
          <w:rFonts w:asciiTheme="majorBidi" w:hAnsiTheme="majorBidi" w:cstheme="majorBidi"/>
        </w:rPr>
        <w:t xml:space="preserve">mathematics and statistics </w:t>
      </w:r>
      <w:r w:rsidRPr="00572672">
        <w:rPr>
          <w:rFonts w:asciiTheme="majorBidi" w:hAnsiTheme="majorBidi" w:cstheme="majorBidi"/>
        </w:rPr>
        <w:t xml:space="preserve">field and </w:t>
      </w:r>
      <w:r w:rsidR="00107BAA" w:rsidRPr="00572672">
        <w:rPr>
          <w:rFonts w:asciiTheme="majorBidi" w:hAnsiTheme="majorBidi" w:cstheme="majorBidi"/>
        </w:rPr>
        <w:t xml:space="preserve">engineering </w:t>
      </w:r>
      <w:r w:rsidRPr="00572672">
        <w:rPr>
          <w:rFonts w:asciiTheme="majorBidi" w:hAnsiTheme="majorBidi" w:cstheme="majorBidi"/>
        </w:rPr>
        <w:t xml:space="preserve">and engineering trades with </w:t>
      </w:r>
      <w:r w:rsidR="00DF4CFE" w:rsidRPr="00572672">
        <w:rPr>
          <w:rFonts w:asciiTheme="majorBidi" w:hAnsiTheme="majorBidi" w:cstheme="majorBidi"/>
        </w:rPr>
        <w:t>10</w:t>
      </w:r>
      <w:r w:rsidRPr="00572672">
        <w:rPr>
          <w:rFonts w:asciiTheme="majorBidi" w:hAnsiTheme="majorBidi" w:cstheme="majorBidi"/>
        </w:rPr>
        <w:t xml:space="preserve"> months.</w:t>
      </w:r>
    </w:p>
    <w:p w:rsidR="00502271" w:rsidRPr="000A4D31" w:rsidRDefault="00502271" w:rsidP="00502271">
      <w:pPr>
        <w:pStyle w:val="Header"/>
        <w:bidi w:val="0"/>
        <w:jc w:val="both"/>
        <w:rPr>
          <w:b/>
          <w:bCs/>
          <w:sz w:val="10"/>
          <w:szCs w:val="10"/>
        </w:rPr>
      </w:pPr>
    </w:p>
    <w:p w:rsidR="00DF4B40" w:rsidRPr="00572672" w:rsidRDefault="001B522E" w:rsidP="00DF4B40">
      <w:pPr>
        <w:bidi w:val="0"/>
        <w:jc w:val="center"/>
        <w:rPr>
          <w:b/>
          <w:bCs/>
          <w:sz w:val="26"/>
          <w:szCs w:val="26"/>
        </w:rPr>
      </w:pPr>
      <w:r w:rsidRPr="00572672">
        <w:rPr>
          <w:b/>
          <w:bCs/>
          <w:sz w:val="26"/>
          <w:szCs w:val="26"/>
        </w:rPr>
        <w:t xml:space="preserve">Period of </w:t>
      </w:r>
      <w:r w:rsidR="00BD54A8" w:rsidRPr="00572672">
        <w:rPr>
          <w:b/>
          <w:bCs/>
          <w:sz w:val="26"/>
          <w:szCs w:val="26"/>
        </w:rPr>
        <w:t xml:space="preserve">Unemployment </w:t>
      </w:r>
      <w:r w:rsidRPr="00572672">
        <w:rPr>
          <w:b/>
          <w:bCs/>
          <w:sz w:val="26"/>
          <w:szCs w:val="26"/>
        </w:rPr>
        <w:t xml:space="preserve">in </w:t>
      </w:r>
      <w:r w:rsidR="00BD54A8" w:rsidRPr="00572672">
        <w:rPr>
          <w:b/>
          <w:bCs/>
          <w:sz w:val="26"/>
          <w:szCs w:val="26"/>
        </w:rPr>
        <w:t xml:space="preserve">Months </w:t>
      </w:r>
      <w:r w:rsidR="00934903" w:rsidRPr="00572672">
        <w:rPr>
          <w:b/>
          <w:bCs/>
          <w:sz w:val="26"/>
          <w:szCs w:val="26"/>
        </w:rPr>
        <w:t>among</w:t>
      </w:r>
      <w:r w:rsidRPr="00572672">
        <w:rPr>
          <w:b/>
          <w:bCs/>
          <w:sz w:val="26"/>
          <w:szCs w:val="26"/>
        </w:rPr>
        <w:t xml:space="preserve"> </w:t>
      </w:r>
      <w:r w:rsidR="00F64EBF" w:rsidRPr="00572672">
        <w:rPr>
          <w:b/>
          <w:bCs/>
          <w:sz w:val="26"/>
          <w:szCs w:val="26"/>
        </w:rPr>
        <w:t>Individuals</w:t>
      </w:r>
      <w:r w:rsidR="00BD54A8" w:rsidRPr="00572672">
        <w:rPr>
          <w:b/>
          <w:bCs/>
          <w:sz w:val="26"/>
          <w:szCs w:val="26"/>
        </w:rPr>
        <w:t xml:space="preserve"> </w:t>
      </w:r>
      <w:r w:rsidRPr="00572672">
        <w:rPr>
          <w:b/>
          <w:bCs/>
          <w:sz w:val="26"/>
          <w:szCs w:val="26"/>
        </w:rPr>
        <w:t>(20-29 years</w:t>
      </w:r>
      <w:r w:rsidR="00EB2E06" w:rsidRPr="00572672">
        <w:rPr>
          <w:b/>
          <w:bCs/>
          <w:sz w:val="26"/>
          <w:szCs w:val="26"/>
        </w:rPr>
        <w:t>)</w:t>
      </w:r>
      <w:r w:rsidRPr="00572672">
        <w:rPr>
          <w:b/>
          <w:bCs/>
          <w:sz w:val="26"/>
          <w:szCs w:val="26"/>
        </w:rPr>
        <w:t xml:space="preserve"> in Palestine</w:t>
      </w:r>
      <w:r w:rsidR="00BD54A8" w:rsidRPr="00572672">
        <w:rPr>
          <w:b/>
          <w:bCs/>
          <w:sz w:val="26"/>
          <w:szCs w:val="26"/>
        </w:rPr>
        <w:t xml:space="preserve"> </w:t>
      </w:r>
      <w:r w:rsidRPr="00572672">
        <w:rPr>
          <w:b/>
          <w:bCs/>
          <w:sz w:val="26"/>
          <w:szCs w:val="26"/>
        </w:rPr>
        <w:t>with</w:t>
      </w:r>
    </w:p>
    <w:p w:rsidR="001B522E" w:rsidRPr="000A4D31" w:rsidRDefault="001B522E" w:rsidP="00DF4B40">
      <w:pPr>
        <w:bidi w:val="0"/>
        <w:jc w:val="center"/>
        <w:rPr>
          <w:b/>
          <w:bCs/>
        </w:rPr>
      </w:pPr>
      <w:r w:rsidRPr="00572672">
        <w:rPr>
          <w:b/>
          <w:bCs/>
          <w:sz w:val="26"/>
          <w:szCs w:val="26"/>
        </w:rPr>
        <w:t xml:space="preserve"> an </w:t>
      </w:r>
      <w:r w:rsidR="00BD54A8" w:rsidRPr="00572672">
        <w:rPr>
          <w:b/>
          <w:bCs/>
          <w:sz w:val="26"/>
          <w:szCs w:val="26"/>
        </w:rPr>
        <w:t xml:space="preserve">Intermediate Diploma </w:t>
      </w:r>
      <w:r w:rsidRPr="00572672">
        <w:rPr>
          <w:b/>
          <w:bCs/>
          <w:sz w:val="26"/>
          <w:szCs w:val="26"/>
        </w:rPr>
        <w:t xml:space="preserve">or </w:t>
      </w:r>
      <w:r w:rsidR="00BD54A8" w:rsidRPr="00572672">
        <w:rPr>
          <w:b/>
          <w:bCs/>
          <w:sz w:val="26"/>
          <w:szCs w:val="26"/>
        </w:rPr>
        <w:t xml:space="preserve">Bachelor’s Degree </w:t>
      </w:r>
      <w:r w:rsidRPr="00572672">
        <w:rPr>
          <w:b/>
          <w:bCs/>
          <w:sz w:val="26"/>
          <w:szCs w:val="26"/>
        </w:rPr>
        <w:t xml:space="preserve">by </w:t>
      </w:r>
      <w:r w:rsidR="00BD54A8" w:rsidRPr="00572672">
        <w:rPr>
          <w:b/>
          <w:bCs/>
          <w:sz w:val="26"/>
          <w:szCs w:val="26"/>
        </w:rPr>
        <w:t xml:space="preserve">Field </w:t>
      </w:r>
      <w:r w:rsidRPr="00572672">
        <w:rPr>
          <w:b/>
          <w:bCs/>
          <w:sz w:val="26"/>
          <w:szCs w:val="26"/>
        </w:rPr>
        <w:t xml:space="preserve">of </w:t>
      </w:r>
      <w:r w:rsidR="00BD54A8" w:rsidRPr="00572672">
        <w:rPr>
          <w:b/>
          <w:bCs/>
          <w:sz w:val="26"/>
          <w:szCs w:val="26"/>
        </w:rPr>
        <w:t xml:space="preserve">Education </w:t>
      </w:r>
      <w:r w:rsidRPr="00572672">
        <w:rPr>
          <w:b/>
          <w:bCs/>
          <w:sz w:val="26"/>
          <w:szCs w:val="26"/>
        </w:rPr>
        <w:t xml:space="preserve">and </w:t>
      </w:r>
      <w:r w:rsidR="00BD54A8" w:rsidRPr="00572672">
        <w:rPr>
          <w:b/>
          <w:bCs/>
          <w:sz w:val="26"/>
          <w:szCs w:val="26"/>
        </w:rPr>
        <w:t>Sex</w:t>
      </w:r>
      <w:r w:rsidRPr="00572672">
        <w:rPr>
          <w:b/>
          <w:bCs/>
          <w:sz w:val="26"/>
          <w:szCs w:val="26"/>
        </w:rPr>
        <w:t xml:space="preserve">, </w:t>
      </w:r>
      <w:r w:rsidR="006F09CE" w:rsidRPr="00572672">
        <w:rPr>
          <w:b/>
          <w:bCs/>
          <w:sz w:val="26"/>
          <w:szCs w:val="26"/>
        </w:rPr>
        <w:t>2019</w:t>
      </w:r>
    </w:p>
    <w:p w:rsidR="00DF4B40" w:rsidRPr="00DF4B40" w:rsidRDefault="00DF4B40" w:rsidP="00DF4B40">
      <w:pPr>
        <w:bidi w:val="0"/>
        <w:jc w:val="center"/>
        <w:rPr>
          <w:b/>
          <w:bCs/>
          <w:sz w:val="6"/>
          <w:szCs w:val="6"/>
        </w:rPr>
      </w:pPr>
    </w:p>
    <w:tbl>
      <w:tblPr>
        <w:tblStyle w:val="TableGrid"/>
        <w:tblW w:w="10654" w:type="dxa"/>
        <w:jc w:val="center"/>
        <w:tblInd w:w="-513" w:type="dxa"/>
        <w:tblLayout w:type="fixed"/>
        <w:tblLook w:val="04A0"/>
      </w:tblPr>
      <w:tblGrid>
        <w:gridCol w:w="4932"/>
        <w:gridCol w:w="1714"/>
        <w:gridCol w:w="1664"/>
        <w:gridCol w:w="2344"/>
      </w:tblGrid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Merge w:val="restart"/>
            <w:vAlign w:val="center"/>
          </w:tcPr>
          <w:p w:rsidR="000E10F6" w:rsidRPr="00572672" w:rsidRDefault="000E10F6" w:rsidP="00BD54A8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Field of </w:t>
            </w:r>
            <w:r w:rsidR="00BD54A8"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1714" w:type="dxa"/>
            <w:vMerge w:val="restart"/>
            <w:vAlign w:val="center"/>
          </w:tcPr>
          <w:p w:rsidR="000E10F6" w:rsidRPr="00572672" w:rsidRDefault="000E10F6" w:rsidP="00BD54A8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Both </w:t>
            </w:r>
            <w:r w:rsidR="00BD54A8"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Sexes</w:t>
            </w:r>
          </w:p>
        </w:tc>
        <w:tc>
          <w:tcPr>
            <w:tcW w:w="4008" w:type="dxa"/>
            <w:gridSpan w:val="2"/>
          </w:tcPr>
          <w:p w:rsidR="000E10F6" w:rsidRPr="00572672" w:rsidRDefault="000E10F6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Sex</w:t>
            </w:r>
          </w:p>
        </w:tc>
      </w:tr>
      <w:tr w:rsidR="000E10F6" w:rsidRPr="00572672" w:rsidTr="00572672">
        <w:trPr>
          <w:trHeight w:hRule="exact" w:val="231"/>
          <w:jc w:val="center"/>
        </w:trPr>
        <w:tc>
          <w:tcPr>
            <w:tcW w:w="4932" w:type="dxa"/>
            <w:vMerge/>
          </w:tcPr>
          <w:p w:rsidR="000E10F6" w:rsidRPr="00572672" w:rsidRDefault="000E10F6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vMerge/>
          </w:tcPr>
          <w:p w:rsidR="000E10F6" w:rsidRPr="00572672" w:rsidRDefault="000E10F6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</w:tcPr>
          <w:p w:rsidR="000E10F6" w:rsidRPr="00572672" w:rsidRDefault="000E10F6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Males</w:t>
            </w:r>
          </w:p>
        </w:tc>
        <w:tc>
          <w:tcPr>
            <w:tcW w:w="2344" w:type="dxa"/>
          </w:tcPr>
          <w:p w:rsidR="000E10F6" w:rsidRPr="00572672" w:rsidRDefault="000E10F6" w:rsidP="00C372F0">
            <w:pPr>
              <w:bidi w:val="0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Females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Journalism and information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Teacher training and education science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Social and behavioral sciences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Business and administration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Humanities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Health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bookmarkStart w:id="0" w:name="RANGE!H11"/>
            <w:r w:rsidRPr="00572672">
              <w:rPr>
                <w:rFonts w:asciiTheme="majorBidi" w:hAnsiTheme="majorBidi" w:cstheme="majorBidi"/>
                <w:sz w:val="22"/>
                <w:szCs w:val="22"/>
              </w:rPr>
              <w:t>Law</w:t>
            </w:r>
            <w:bookmarkEnd w:id="0"/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{15}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{13}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Life sciences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{11}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Architecture and construction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Personal services 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{12}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{17}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Computing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Mathematics and statistics</w:t>
            </w:r>
          </w:p>
        </w:tc>
        <w:tc>
          <w:tcPr>
            <w:tcW w:w="171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{22}</w:t>
            </w:r>
          </w:p>
        </w:tc>
        <w:tc>
          <w:tcPr>
            <w:tcW w:w="2344" w:type="dxa"/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{9}</w:t>
            </w:r>
          </w:p>
        </w:tc>
      </w:tr>
      <w:tr w:rsidR="000E10F6" w:rsidRPr="00572672" w:rsidTr="00572672">
        <w:trPr>
          <w:trHeight w:hRule="exact" w:val="284"/>
          <w:jc w:val="center"/>
        </w:trPr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0E10F6" w:rsidRPr="00572672" w:rsidRDefault="000E10F6" w:rsidP="002F765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</w:rPr>
              <w:t>Engineering and engineering trades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7267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0E10F6" w:rsidRPr="00572672" w:rsidRDefault="000E10F6" w:rsidP="0057267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E4CD5" w:rsidRPr="00572672" w:rsidTr="00572672">
        <w:trPr>
          <w:trHeight w:hRule="exact" w:val="284"/>
          <w:jc w:val="center"/>
        </w:trPr>
        <w:tc>
          <w:tcPr>
            <w:tcW w:w="1065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4CD5" w:rsidRPr="00572672" w:rsidRDefault="008E4CD5" w:rsidP="003023A9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sz w:val="22"/>
                <w:szCs w:val="22"/>
                <w:rtl/>
              </w:rPr>
              <w:t>{  }</w:t>
            </w:r>
            <w:r w:rsidRPr="00572672">
              <w:rPr>
                <w:rFonts w:asciiTheme="majorBidi" w:hAnsiTheme="majorBidi" w:cstheme="majorBidi"/>
                <w:sz w:val="22"/>
                <w:szCs w:val="22"/>
              </w:rPr>
              <w:t>: Number of observation</w:t>
            </w:r>
            <w:r w:rsidR="00B522FE" w:rsidRPr="00572672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642B2" w:rsidRPr="00572672">
              <w:rPr>
                <w:rFonts w:asciiTheme="majorBidi" w:hAnsiTheme="majorBidi" w:cstheme="majorBidi"/>
                <w:sz w:val="22"/>
                <w:szCs w:val="22"/>
              </w:rPr>
              <w:t>are</w:t>
            </w: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 relatively little so results in parentheses indicate relatively high marginal </w:t>
            </w:r>
            <w:r w:rsidR="003023A9" w:rsidRPr="00572672">
              <w:rPr>
                <w:rFonts w:asciiTheme="majorBidi" w:hAnsiTheme="majorBidi" w:cstheme="majorBidi"/>
                <w:sz w:val="22"/>
                <w:szCs w:val="22"/>
              </w:rPr>
              <w:t>error</w:t>
            </w:r>
            <w:bookmarkStart w:id="1" w:name="_GoBack"/>
            <w:bookmarkEnd w:id="1"/>
          </w:p>
        </w:tc>
      </w:tr>
      <w:tr w:rsidR="008E4CD5" w:rsidRPr="00572672" w:rsidTr="00572672">
        <w:trPr>
          <w:trHeight w:hRule="exact" w:val="348"/>
          <w:jc w:val="center"/>
        </w:trPr>
        <w:tc>
          <w:tcPr>
            <w:tcW w:w="106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4CD5" w:rsidRPr="00572672" w:rsidRDefault="008E4CD5" w:rsidP="00107BAA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5726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Source: Palestinian Central Bureau  of Statistics, 2020. </w:t>
            </w:r>
            <w:r w:rsidRPr="00572672">
              <w:rPr>
                <w:rFonts w:asciiTheme="majorBidi" w:hAnsiTheme="majorBidi" w:cstheme="majorBidi"/>
                <w:sz w:val="22"/>
                <w:szCs w:val="22"/>
              </w:rPr>
              <w:t xml:space="preserve">Database of </w:t>
            </w:r>
            <w:r w:rsidR="00107BAA" w:rsidRPr="00572672">
              <w:rPr>
                <w:rFonts w:asciiTheme="majorBidi" w:hAnsiTheme="majorBidi" w:cstheme="majorBidi"/>
                <w:sz w:val="22"/>
                <w:szCs w:val="22"/>
              </w:rPr>
              <w:t>Labor Force Survey</w:t>
            </w:r>
            <w:r w:rsidRPr="00572672">
              <w:rPr>
                <w:rFonts w:asciiTheme="majorBidi" w:hAnsiTheme="majorBidi" w:cstheme="majorBidi"/>
                <w:sz w:val="22"/>
                <w:szCs w:val="22"/>
              </w:rPr>
              <w:t>, 2019. Ramallah-Palestine</w:t>
            </w:r>
          </w:p>
        </w:tc>
      </w:tr>
    </w:tbl>
    <w:p w:rsidR="00572672" w:rsidRDefault="00572672" w:rsidP="00572672">
      <w:pPr>
        <w:bidi w:val="0"/>
      </w:pPr>
    </w:p>
    <w:sectPr w:rsidR="00572672" w:rsidSect="00572672">
      <w:footerReference w:type="even" r:id="rId8"/>
      <w:pgSz w:w="11907" w:h="16840" w:code="9"/>
      <w:pgMar w:top="850" w:right="1138" w:bottom="850" w:left="1138" w:header="360" w:footer="101" w:gutter="0"/>
      <w:pgNumType w:start="37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C4" w:rsidRDefault="00024EC4">
      <w:r>
        <w:separator/>
      </w:r>
    </w:p>
  </w:endnote>
  <w:endnote w:type="continuationSeparator" w:id="0">
    <w:p w:rsidR="00024EC4" w:rsidRDefault="0002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60" w:rsidRDefault="0006513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C05B6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05B60" w:rsidRDefault="00C05B60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C4" w:rsidRDefault="00024EC4">
      <w:r>
        <w:separator/>
      </w:r>
    </w:p>
  </w:footnote>
  <w:footnote w:type="continuationSeparator" w:id="0">
    <w:p w:rsidR="00024EC4" w:rsidRDefault="00024EC4">
      <w:r>
        <w:continuationSeparator/>
      </w:r>
    </w:p>
  </w:footnote>
  <w:footnote w:id="1">
    <w:p w:rsidR="00E637D4" w:rsidRPr="00E637D4" w:rsidRDefault="00E637D4" w:rsidP="00BD54A8">
      <w:pPr>
        <w:pStyle w:val="FootnoteText"/>
        <w:bidi w:val="0"/>
        <w:rPr>
          <w:sz w:val="16"/>
          <w:szCs w:val="16"/>
        </w:rPr>
      </w:pPr>
      <w:r w:rsidRPr="00E637D4">
        <w:rPr>
          <w:rStyle w:val="FootnoteReference"/>
          <w:sz w:val="16"/>
          <w:szCs w:val="16"/>
        </w:rPr>
        <w:footnoteRef/>
      </w:r>
      <w:r w:rsidRPr="00E637D4">
        <w:rPr>
          <w:sz w:val="16"/>
          <w:szCs w:val="16"/>
          <w:rtl/>
        </w:rPr>
        <w:t xml:space="preserve"> </w:t>
      </w:r>
      <w:r w:rsidRPr="00E637D4">
        <w:rPr>
          <w:sz w:val="16"/>
          <w:szCs w:val="16"/>
        </w:rPr>
        <w:t xml:space="preserve">Please </w:t>
      </w:r>
      <w:r w:rsidR="007D6DD2">
        <w:rPr>
          <w:sz w:val="16"/>
          <w:szCs w:val="16"/>
        </w:rPr>
        <w:t>be</w:t>
      </w:r>
      <w:r w:rsidR="007D6DD2" w:rsidRPr="00E637D4">
        <w:rPr>
          <w:sz w:val="16"/>
          <w:szCs w:val="16"/>
        </w:rPr>
        <w:t xml:space="preserve"> </w:t>
      </w:r>
      <w:r w:rsidRPr="00E637D4">
        <w:rPr>
          <w:sz w:val="16"/>
          <w:szCs w:val="16"/>
        </w:rPr>
        <w:t xml:space="preserve">cautious </w:t>
      </w:r>
      <w:r w:rsidR="007D6DD2">
        <w:rPr>
          <w:sz w:val="16"/>
          <w:szCs w:val="16"/>
        </w:rPr>
        <w:t xml:space="preserve">when dealing </w:t>
      </w:r>
      <w:r w:rsidRPr="00E637D4">
        <w:rPr>
          <w:sz w:val="16"/>
          <w:szCs w:val="16"/>
        </w:rPr>
        <w:t>with this rate, as the number of observations is small</w:t>
      </w:r>
      <w:r w:rsidR="00B23510">
        <w:rPr>
          <w:sz w:val="16"/>
          <w:szCs w:val="16"/>
        </w:rPr>
        <w:t>;</w:t>
      </w:r>
      <w:r w:rsidRPr="00E637D4">
        <w:rPr>
          <w:sz w:val="16"/>
          <w:szCs w:val="16"/>
        </w:rPr>
        <w:t xml:space="preserve"> therefore</w:t>
      </w:r>
      <w:r w:rsidR="00B23510">
        <w:rPr>
          <w:sz w:val="16"/>
          <w:szCs w:val="16"/>
        </w:rPr>
        <w:t>,</w:t>
      </w:r>
      <w:r w:rsidRPr="00E637D4">
        <w:rPr>
          <w:sz w:val="16"/>
          <w:szCs w:val="16"/>
        </w:rPr>
        <w:t xml:space="preserve"> the rate indicates a high margin of error.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1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22A0"/>
    <w:rsid w:val="00003BE4"/>
    <w:rsid w:val="0002118E"/>
    <w:rsid w:val="000221D3"/>
    <w:rsid w:val="00024EC4"/>
    <w:rsid w:val="0002644D"/>
    <w:rsid w:val="00031220"/>
    <w:rsid w:val="0004173B"/>
    <w:rsid w:val="000427E2"/>
    <w:rsid w:val="00044119"/>
    <w:rsid w:val="00051C27"/>
    <w:rsid w:val="00052A38"/>
    <w:rsid w:val="00054B17"/>
    <w:rsid w:val="00060ED9"/>
    <w:rsid w:val="00065138"/>
    <w:rsid w:val="00067CB2"/>
    <w:rsid w:val="00071304"/>
    <w:rsid w:val="0007303F"/>
    <w:rsid w:val="00073642"/>
    <w:rsid w:val="00093F12"/>
    <w:rsid w:val="000A4D31"/>
    <w:rsid w:val="000B11AC"/>
    <w:rsid w:val="000B62D7"/>
    <w:rsid w:val="000C17B3"/>
    <w:rsid w:val="000C3942"/>
    <w:rsid w:val="000C5A1F"/>
    <w:rsid w:val="000D1511"/>
    <w:rsid w:val="000E10F6"/>
    <w:rsid w:val="000E2C3E"/>
    <w:rsid w:val="000F6E74"/>
    <w:rsid w:val="00101548"/>
    <w:rsid w:val="00105F12"/>
    <w:rsid w:val="00107BAA"/>
    <w:rsid w:val="001236F2"/>
    <w:rsid w:val="00123C56"/>
    <w:rsid w:val="001277CD"/>
    <w:rsid w:val="00131306"/>
    <w:rsid w:val="00131F94"/>
    <w:rsid w:val="00132DE8"/>
    <w:rsid w:val="0013724F"/>
    <w:rsid w:val="00137629"/>
    <w:rsid w:val="0015686C"/>
    <w:rsid w:val="00162EE4"/>
    <w:rsid w:val="001678C1"/>
    <w:rsid w:val="001718B1"/>
    <w:rsid w:val="001744BF"/>
    <w:rsid w:val="00186968"/>
    <w:rsid w:val="001957C3"/>
    <w:rsid w:val="00197C47"/>
    <w:rsid w:val="001A1C4F"/>
    <w:rsid w:val="001A7768"/>
    <w:rsid w:val="001B0401"/>
    <w:rsid w:val="001B522E"/>
    <w:rsid w:val="001B7F39"/>
    <w:rsid w:val="001C1BC6"/>
    <w:rsid w:val="001C3DB7"/>
    <w:rsid w:val="001E2E3E"/>
    <w:rsid w:val="001E5A2E"/>
    <w:rsid w:val="002060F4"/>
    <w:rsid w:val="00211E7E"/>
    <w:rsid w:val="002126C2"/>
    <w:rsid w:val="002140F2"/>
    <w:rsid w:val="00216A7C"/>
    <w:rsid w:val="00221761"/>
    <w:rsid w:val="00224EE7"/>
    <w:rsid w:val="00224EF6"/>
    <w:rsid w:val="00226B84"/>
    <w:rsid w:val="00227B24"/>
    <w:rsid w:val="00235C24"/>
    <w:rsid w:val="002466AD"/>
    <w:rsid w:val="00247498"/>
    <w:rsid w:val="002518F7"/>
    <w:rsid w:val="0025601B"/>
    <w:rsid w:val="00257A70"/>
    <w:rsid w:val="00261A6D"/>
    <w:rsid w:val="002704E7"/>
    <w:rsid w:val="00272465"/>
    <w:rsid w:val="00273615"/>
    <w:rsid w:val="00285A6B"/>
    <w:rsid w:val="002870F3"/>
    <w:rsid w:val="002C68A6"/>
    <w:rsid w:val="002D223C"/>
    <w:rsid w:val="002D238F"/>
    <w:rsid w:val="002D4DD9"/>
    <w:rsid w:val="002D63DD"/>
    <w:rsid w:val="002F1812"/>
    <w:rsid w:val="002F4A1D"/>
    <w:rsid w:val="002F68FA"/>
    <w:rsid w:val="002F6F7A"/>
    <w:rsid w:val="002F7653"/>
    <w:rsid w:val="003023A9"/>
    <w:rsid w:val="00305B59"/>
    <w:rsid w:val="00306CD0"/>
    <w:rsid w:val="00310D59"/>
    <w:rsid w:val="0031748D"/>
    <w:rsid w:val="00320027"/>
    <w:rsid w:val="003201C4"/>
    <w:rsid w:val="003324D6"/>
    <w:rsid w:val="00337618"/>
    <w:rsid w:val="003564D3"/>
    <w:rsid w:val="00357B5F"/>
    <w:rsid w:val="00360CBA"/>
    <w:rsid w:val="003669A4"/>
    <w:rsid w:val="003732C9"/>
    <w:rsid w:val="00376A22"/>
    <w:rsid w:val="00380AF6"/>
    <w:rsid w:val="00381551"/>
    <w:rsid w:val="00390535"/>
    <w:rsid w:val="00390714"/>
    <w:rsid w:val="00394DBE"/>
    <w:rsid w:val="003A0009"/>
    <w:rsid w:val="003A5BA8"/>
    <w:rsid w:val="003A7BF1"/>
    <w:rsid w:val="003B11DB"/>
    <w:rsid w:val="003B1557"/>
    <w:rsid w:val="003B50B4"/>
    <w:rsid w:val="003B7FB7"/>
    <w:rsid w:val="003C7CF1"/>
    <w:rsid w:val="003D3B0C"/>
    <w:rsid w:val="003D73E5"/>
    <w:rsid w:val="003E349C"/>
    <w:rsid w:val="003E568C"/>
    <w:rsid w:val="003E7084"/>
    <w:rsid w:val="003F5DF5"/>
    <w:rsid w:val="0040056A"/>
    <w:rsid w:val="004079A5"/>
    <w:rsid w:val="00413E96"/>
    <w:rsid w:val="00415025"/>
    <w:rsid w:val="0041507C"/>
    <w:rsid w:val="00417F81"/>
    <w:rsid w:val="004232C7"/>
    <w:rsid w:val="00425235"/>
    <w:rsid w:val="00430B67"/>
    <w:rsid w:val="00437A0F"/>
    <w:rsid w:val="00441187"/>
    <w:rsid w:val="00447D4A"/>
    <w:rsid w:val="0045193D"/>
    <w:rsid w:val="00456C86"/>
    <w:rsid w:val="00462287"/>
    <w:rsid w:val="00466752"/>
    <w:rsid w:val="004713B2"/>
    <w:rsid w:val="004717E5"/>
    <w:rsid w:val="00474501"/>
    <w:rsid w:val="0047735D"/>
    <w:rsid w:val="00481588"/>
    <w:rsid w:val="00490525"/>
    <w:rsid w:val="00492ABB"/>
    <w:rsid w:val="00495508"/>
    <w:rsid w:val="004A15B5"/>
    <w:rsid w:val="004A4901"/>
    <w:rsid w:val="004A4C67"/>
    <w:rsid w:val="004A5EC5"/>
    <w:rsid w:val="004B2215"/>
    <w:rsid w:val="004C0507"/>
    <w:rsid w:val="004C16AE"/>
    <w:rsid w:val="004C2832"/>
    <w:rsid w:val="004C52A0"/>
    <w:rsid w:val="004D4443"/>
    <w:rsid w:val="004D4B76"/>
    <w:rsid w:val="004E1FA0"/>
    <w:rsid w:val="004E56FB"/>
    <w:rsid w:val="004E6A9D"/>
    <w:rsid w:val="004F1C7D"/>
    <w:rsid w:val="004F35A4"/>
    <w:rsid w:val="004F6FFC"/>
    <w:rsid w:val="004F7CEA"/>
    <w:rsid w:val="00500B2A"/>
    <w:rsid w:val="0050107E"/>
    <w:rsid w:val="005012F9"/>
    <w:rsid w:val="00502271"/>
    <w:rsid w:val="00502B47"/>
    <w:rsid w:val="00510303"/>
    <w:rsid w:val="00511F4F"/>
    <w:rsid w:val="00512D47"/>
    <w:rsid w:val="005134BC"/>
    <w:rsid w:val="0052127D"/>
    <w:rsid w:val="00523C4E"/>
    <w:rsid w:val="00523CB6"/>
    <w:rsid w:val="00525EEB"/>
    <w:rsid w:val="0052630C"/>
    <w:rsid w:val="0053383D"/>
    <w:rsid w:val="00540D5B"/>
    <w:rsid w:val="00543ECF"/>
    <w:rsid w:val="0054687A"/>
    <w:rsid w:val="00550CB2"/>
    <w:rsid w:val="00554720"/>
    <w:rsid w:val="0057006B"/>
    <w:rsid w:val="00571FAE"/>
    <w:rsid w:val="00572672"/>
    <w:rsid w:val="0057347A"/>
    <w:rsid w:val="005863CE"/>
    <w:rsid w:val="00595BEC"/>
    <w:rsid w:val="00595F3B"/>
    <w:rsid w:val="0059654D"/>
    <w:rsid w:val="005A02E0"/>
    <w:rsid w:val="005C110D"/>
    <w:rsid w:val="005C56ED"/>
    <w:rsid w:val="005E136C"/>
    <w:rsid w:val="005E3CD8"/>
    <w:rsid w:val="005F0A8D"/>
    <w:rsid w:val="005F2FD4"/>
    <w:rsid w:val="005F39C9"/>
    <w:rsid w:val="005F62F0"/>
    <w:rsid w:val="005F788C"/>
    <w:rsid w:val="00604ED1"/>
    <w:rsid w:val="006102B7"/>
    <w:rsid w:val="00621952"/>
    <w:rsid w:val="00625238"/>
    <w:rsid w:val="00630BBC"/>
    <w:rsid w:val="00631430"/>
    <w:rsid w:val="006316F0"/>
    <w:rsid w:val="00632918"/>
    <w:rsid w:val="006440B5"/>
    <w:rsid w:val="00645E11"/>
    <w:rsid w:val="00650B5C"/>
    <w:rsid w:val="006514B5"/>
    <w:rsid w:val="006516CA"/>
    <w:rsid w:val="00653516"/>
    <w:rsid w:val="00653C4F"/>
    <w:rsid w:val="00655B22"/>
    <w:rsid w:val="00656649"/>
    <w:rsid w:val="006571DB"/>
    <w:rsid w:val="00660E82"/>
    <w:rsid w:val="0066402B"/>
    <w:rsid w:val="00665330"/>
    <w:rsid w:val="00665FDB"/>
    <w:rsid w:val="006728A0"/>
    <w:rsid w:val="00684879"/>
    <w:rsid w:val="00691CC4"/>
    <w:rsid w:val="00691D09"/>
    <w:rsid w:val="0069356E"/>
    <w:rsid w:val="006A52B5"/>
    <w:rsid w:val="006A6B78"/>
    <w:rsid w:val="006B1D22"/>
    <w:rsid w:val="006B6CD2"/>
    <w:rsid w:val="006D1043"/>
    <w:rsid w:val="006D7A3F"/>
    <w:rsid w:val="006E470E"/>
    <w:rsid w:val="006F09CE"/>
    <w:rsid w:val="006F0B8C"/>
    <w:rsid w:val="006F39BF"/>
    <w:rsid w:val="006F48B7"/>
    <w:rsid w:val="00700053"/>
    <w:rsid w:val="00700557"/>
    <w:rsid w:val="007010F5"/>
    <w:rsid w:val="00710513"/>
    <w:rsid w:val="00711112"/>
    <w:rsid w:val="00711EE6"/>
    <w:rsid w:val="007130C8"/>
    <w:rsid w:val="00715B91"/>
    <w:rsid w:val="007203EB"/>
    <w:rsid w:val="00722E2D"/>
    <w:rsid w:val="00725A79"/>
    <w:rsid w:val="0073068D"/>
    <w:rsid w:val="00735E2C"/>
    <w:rsid w:val="0074044F"/>
    <w:rsid w:val="00742D56"/>
    <w:rsid w:val="007460DE"/>
    <w:rsid w:val="007469BD"/>
    <w:rsid w:val="00747C8E"/>
    <w:rsid w:val="00750C03"/>
    <w:rsid w:val="0075710D"/>
    <w:rsid w:val="00757B21"/>
    <w:rsid w:val="0077001A"/>
    <w:rsid w:val="00775BC9"/>
    <w:rsid w:val="0078459D"/>
    <w:rsid w:val="00791AAF"/>
    <w:rsid w:val="00796997"/>
    <w:rsid w:val="007972CD"/>
    <w:rsid w:val="007A0688"/>
    <w:rsid w:val="007A4DC1"/>
    <w:rsid w:val="007A4FA2"/>
    <w:rsid w:val="007B4175"/>
    <w:rsid w:val="007D0600"/>
    <w:rsid w:val="007D0774"/>
    <w:rsid w:val="007D6DD2"/>
    <w:rsid w:val="007E6E07"/>
    <w:rsid w:val="007E6F73"/>
    <w:rsid w:val="007F383D"/>
    <w:rsid w:val="007F617B"/>
    <w:rsid w:val="0081675C"/>
    <w:rsid w:val="008265C1"/>
    <w:rsid w:val="008272FE"/>
    <w:rsid w:val="008303B2"/>
    <w:rsid w:val="00830408"/>
    <w:rsid w:val="00833C7F"/>
    <w:rsid w:val="008463A9"/>
    <w:rsid w:val="00850F1C"/>
    <w:rsid w:val="008548DE"/>
    <w:rsid w:val="00867989"/>
    <w:rsid w:val="0087748E"/>
    <w:rsid w:val="00877F5B"/>
    <w:rsid w:val="008810A7"/>
    <w:rsid w:val="008864F6"/>
    <w:rsid w:val="00890130"/>
    <w:rsid w:val="00893BCE"/>
    <w:rsid w:val="008A0E35"/>
    <w:rsid w:val="008A2D08"/>
    <w:rsid w:val="008B0063"/>
    <w:rsid w:val="008B0BB8"/>
    <w:rsid w:val="008B2195"/>
    <w:rsid w:val="008B292B"/>
    <w:rsid w:val="008C2F38"/>
    <w:rsid w:val="008C362F"/>
    <w:rsid w:val="008C4528"/>
    <w:rsid w:val="008D10A4"/>
    <w:rsid w:val="008D4BF6"/>
    <w:rsid w:val="008D5C26"/>
    <w:rsid w:val="008D7FCD"/>
    <w:rsid w:val="008E2697"/>
    <w:rsid w:val="008E4CD5"/>
    <w:rsid w:val="008F0277"/>
    <w:rsid w:val="008F035B"/>
    <w:rsid w:val="008F7853"/>
    <w:rsid w:val="008F7942"/>
    <w:rsid w:val="0090451F"/>
    <w:rsid w:val="00905E7F"/>
    <w:rsid w:val="00910329"/>
    <w:rsid w:val="00927F4B"/>
    <w:rsid w:val="00934903"/>
    <w:rsid w:val="0094013C"/>
    <w:rsid w:val="00943789"/>
    <w:rsid w:val="00946A9A"/>
    <w:rsid w:val="009517BF"/>
    <w:rsid w:val="0095296B"/>
    <w:rsid w:val="009559E5"/>
    <w:rsid w:val="009614AB"/>
    <w:rsid w:val="00966359"/>
    <w:rsid w:val="00967A43"/>
    <w:rsid w:val="00977B6C"/>
    <w:rsid w:val="00980861"/>
    <w:rsid w:val="00982B79"/>
    <w:rsid w:val="00984F80"/>
    <w:rsid w:val="009B2A85"/>
    <w:rsid w:val="009D0E7A"/>
    <w:rsid w:val="009D2304"/>
    <w:rsid w:val="009E5B2B"/>
    <w:rsid w:val="009F460D"/>
    <w:rsid w:val="00A00D74"/>
    <w:rsid w:val="00A01E03"/>
    <w:rsid w:val="00A05281"/>
    <w:rsid w:val="00A069F7"/>
    <w:rsid w:val="00A12D01"/>
    <w:rsid w:val="00A21FD6"/>
    <w:rsid w:val="00A27364"/>
    <w:rsid w:val="00A30C09"/>
    <w:rsid w:val="00A30EA1"/>
    <w:rsid w:val="00A337D4"/>
    <w:rsid w:val="00A34CC2"/>
    <w:rsid w:val="00A359A6"/>
    <w:rsid w:val="00A41000"/>
    <w:rsid w:val="00A463C3"/>
    <w:rsid w:val="00A50807"/>
    <w:rsid w:val="00A575D4"/>
    <w:rsid w:val="00A613A8"/>
    <w:rsid w:val="00A6185A"/>
    <w:rsid w:val="00A66846"/>
    <w:rsid w:val="00A66E91"/>
    <w:rsid w:val="00A764E4"/>
    <w:rsid w:val="00A8592E"/>
    <w:rsid w:val="00A92876"/>
    <w:rsid w:val="00A93AD1"/>
    <w:rsid w:val="00AA1334"/>
    <w:rsid w:val="00AA1A48"/>
    <w:rsid w:val="00AA2AC1"/>
    <w:rsid w:val="00AA780A"/>
    <w:rsid w:val="00AB2AA5"/>
    <w:rsid w:val="00AB35AE"/>
    <w:rsid w:val="00AC0766"/>
    <w:rsid w:val="00AC0E11"/>
    <w:rsid w:val="00AC0EDD"/>
    <w:rsid w:val="00AC43F2"/>
    <w:rsid w:val="00AC492B"/>
    <w:rsid w:val="00AE0D23"/>
    <w:rsid w:val="00AF64A1"/>
    <w:rsid w:val="00AF6D1E"/>
    <w:rsid w:val="00B01032"/>
    <w:rsid w:val="00B01D49"/>
    <w:rsid w:val="00B02BAA"/>
    <w:rsid w:val="00B056FB"/>
    <w:rsid w:val="00B079B2"/>
    <w:rsid w:val="00B10F9A"/>
    <w:rsid w:val="00B17291"/>
    <w:rsid w:val="00B20327"/>
    <w:rsid w:val="00B22262"/>
    <w:rsid w:val="00B22529"/>
    <w:rsid w:val="00B22AAF"/>
    <w:rsid w:val="00B23510"/>
    <w:rsid w:val="00B237E7"/>
    <w:rsid w:val="00B256D1"/>
    <w:rsid w:val="00B26D65"/>
    <w:rsid w:val="00B31F75"/>
    <w:rsid w:val="00B3762D"/>
    <w:rsid w:val="00B430ED"/>
    <w:rsid w:val="00B45531"/>
    <w:rsid w:val="00B47404"/>
    <w:rsid w:val="00B522FE"/>
    <w:rsid w:val="00B54733"/>
    <w:rsid w:val="00B55316"/>
    <w:rsid w:val="00B73F80"/>
    <w:rsid w:val="00B7733C"/>
    <w:rsid w:val="00B80259"/>
    <w:rsid w:val="00BA1665"/>
    <w:rsid w:val="00BA74DA"/>
    <w:rsid w:val="00BB7030"/>
    <w:rsid w:val="00BB78C5"/>
    <w:rsid w:val="00BB7A55"/>
    <w:rsid w:val="00BC49FF"/>
    <w:rsid w:val="00BC7CE2"/>
    <w:rsid w:val="00BD1CDE"/>
    <w:rsid w:val="00BD4BC2"/>
    <w:rsid w:val="00BD54A8"/>
    <w:rsid w:val="00BF6B3F"/>
    <w:rsid w:val="00BF7358"/>
    <w:rsid w:val="00C05B60"/>
    <w:rsid w:val="00C21A94"/>
    <w:rsid w:val="00C22F44"/>
    <w:rsid w:val="00C247E0"/>
    <w:rsid w:val="00C25433"/>
    <w:rsid w:val="00C316FC"/>
    <w:rsid w:val="00C36828"/>
    <w:rsid w:val="00C37F97"/>
    <w:rsid w:val="00C418D7"/>
    <w:rsid w:val="00C46EDF"/>
    <w:rsid w:val="00C47688"/>
    <w:rsid w:val="00C54F7A"/>
    <w:rsid w:val="00C564AB"/>
    <w:rsid w:val="00C6091A"/>
    <w:rsid w:val="00C642B2"/>
    <w:rsid w:val="00C74DBE"/>
    <w:rsid w:val="00C81088"/>
    <w:rsid w:val="00C87442"/>
    <w:rsid w:val="00C87E12"/>
    <w:rsid w:val="00C87FC7"/>
    <w:rsid w:val="00C970A9"/>
    <w:rsid w:val="00C97A76"/>
    <w:rsid w:val="00CA365E"/>
    <w:rsid w:val="00CA462C"/>
    <w:rsid w:val="00CB078C"/>
    <w:rsid w:val="00CB0C64"/>
    <w:rsid w:val="00CB12C0"/>
    <w:rsid w:val="00CC3326"/>
    <w:rsid w:val="00CC3D22"/>
    <w:rsid w:val="00CE25A6"/>
    <w:rsid w:val="00CF1C91"/>
    <w:rsid w:val="00CF456F"/>
    <w:rsid w:val="00D021C0"/>
    <w:rsid w:val="00D022A0"/>
    <w:rsid w:val="00D11C46"/>
    <w:rsid w:val="00D12576"/>
    <w:rsid w:val="00D135BB"/>
    <w:rsid w:val="00D1704A"/>
    <w:rsid w:val="00D223BF"/>
    <w:rsid w:val="00D31218"/>
    <w:rsid w:val="00D338F0"/>
    <w:rsid w:val="00D346E2"/>
    <w:rsid w:val="00D3706E"/>
    <w:rsid w:val="00D46FAD"/>
    <w:rsid w:val="00D53CC1"/>
    <w:rsid w:val="00D550FD"/>
    <w:rsid w:val="00D60062"/>
    <w:rsid w:val="00D72E15"/>
    <w:rsid w:val="00D73434"/>
    <w:rsid w:val="00D80905"/>
    <w:rsid w:val="00D84D33"/>
    <w:rsid w:val="00D869F3"/>
    <w:rsid w:val="00D90AFF"/>
    <w:rsid w:val="00D938B9"/>
    <w:rsid w:val="00D96C4F"/>
    <w:rsid w:val="00D977B1"/>
    <w:rsid w:val="00DA1A9B"/>
    <w:rsid w:val="00DA3416"/>
    <w:rsid w:val="00DA3446"/>
    <w:rsid w:val="00DA49A2"/>
    <w:rsid w:val="00DB1243"/>
    <w:rsid w:val="00DB613F"/>
    <w:rsid w:val="00DC0E9B"/>
    <w:rsid w:val="00DC1047"/>
    <w:rsid w:val="00DC3976"/>
    <w:rsid w:val="00DC58B4"/>
    <w:rsid w:val="00DC5AB3"/>
    <w:rsid w:val="00DD1C83"/>
    <w:rsid w:val="00DD4FCC"/>
    <w:rsid w:val="00DE19A1"/>
    <w:rsid w:val="00DE60F7"/>
    <w:rsid w:val="00DE618E"/>
    <w:rsid w:val="00DF37D0"/>
    <w:rsid w:val="00DF3BB1"/>
    <w:rsid w:val="00DF4B40"/>
    <w:rsid w:val="00DF4CFE"/>
    <w:rsid w:val="00E03554"/>
    <w:rsid w:val="00E06416"/>
    <w:rsid w:val="00E0721C"/>
    <w:rsid w:val="00E075B0"/>
    <w:rsid w:val="00E219D0"/>
    <w:rsid w:val="00E267AA"/>
    <w:rsid w:val="00E271EB"/>
    <w:rsid w:val="00E27D78"/>
    <w:rsid w:val="00E33772"/>
    <w:rsid w:val="00E34020"/>
    <w:rsid w:val="00E45DD1"/>
    <w:rsid w:val="00E60FD9"/>
    <w:rsid w:val="00E637D4"/>
    <w:rsid w:val="00E65CC2"/>
    <w:rsid w:val="00E707ED"/>
    <w:rsid w:val="00E71FB1"/>
    <w:rsid w:val="00E720FB"/>
    <w:rsid w:val="00E84CA9"/>
    <w:rsid w:val="00E85A09"/>
    <w:rsid w:val="00E87A98"/>
    <w:rsid w:val="00E91101"/>
    <w:rsid w:val="00E9387F"/>
    <w:rsid w:val="00E939CB"/>
    <w:rsid w:val="00EA56E1"/>
    <w:rsid w:val="00EA6A3B"/>
    <w:rsid w:val="00EA6C65"/>
    <w:rsid w:val="00EB1E80"/>
    <w:rsid w:val="00EB2E06"/>
    <w:rsid w:val="00EC6969"/>
    <w:rsid w:val="00ED1329"/>
    <w:rsid w:val="00ED364F"/>
    <w:rsid w:val="00EF2ED7"/>
    <w:rsid w:val="00EF697F"/>
    <w:rsid w:val="00F01C93"/>
    <w:rsid w:val="00F033CE"/>
    <w:rsid w:val="00F061CA"/>
    <w:rsid w:val="00F13318"/>
    <w:rsid w:val="00F15539"/>
    <w:rsid w:val="00F221E2"/>
    <w:rsid w:val="00F22AE4"/>
    <w:rsid w:val="00F32136"/>
    <w:rsid w:val="00F321B6"/>
    <w:rsid w:val="00F3384F"/>
    <w:rsid w:val="00F33FF3"/>
    <w:rsid w:val="00F40B11"/>
    <w:rsid w:val="00F437A7"/>
    <w:rsid w:val="00F44153"/>
    <w:rsid w:val="00F50FA5"/>
    <w:rsid w:val="00F55CEA"/>
    <w:rsid w:val="00F56336"/>
    <w:rsid w:val="00F63CAA"/>
    <w:rsid w:val="00F64EBF"/>
    <w:rsid w:val="00F80EA0"/>
    <w:rsid w:val="00F87E92"/>
    <w:rsid w:val="00F935F5"/>
    <w:rsid w:val="00FA0E64"/>
    <w:rsid w:val="00FA55C2"/>
    <w:rsid w:val="00FB2289"/>
    <w:rsid w:val="00FB3996"/>
    <w:rsid w:val="00FB4DD6"/>
    <w:rsid w:val="00FC6E03"/>
    <w:rsid w:val="00FE2A50"/>
    <w:rsid w:val="00FE30FA"/>
    <w:rsid w:val="00FE76E9"/>
    <w:rsid w:val="00FF080C"/>
    <w:rsid w:val="00FF1775"/>
    <w:rsid w:val="00FF3399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F32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6E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6E9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192C-EB9E-4F96-91F7-B590072C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8215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2020-07-02T09:20:00Z</cp:lastPrinted>
  <dcterms:created xsi:type="dcterms:W3CDTF">2020-07-02T09:21:00Z</dcterms:created>
  <dcterms:modified xsi:type="dcterms:W3CDTF">2020-07-02T09:39:00Z</dcterms:modified>
</cp:coreProperties>
</file>