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A0" w:rsidRDefault="008962A0" w:rsidP="008962A0">
      <w:pPr>
        <w:pStyle w:val="Heading1"/>
        <w:jc w:val="center"/>
        <w:rPr>
          <w:rFonts w:hint="cs"/>
          <w:sz w:val="32"/>
          <w:szCs w:val="32"/>
        </w:rPr>
      </w:pPr>
    </w:p>
    <w:p w:rsidR="008962A0" w:rsidRPr="008962A0" w:rsidRDefault="008962A0" w:rsidP="008962A0">
      <w:pPr>
        <w:pStyle w:val="Heading1"/>
        <w:jc w:val="center"/>
        <w:rPr>
          <w:sz w:val="32"/>
          <w:szCs w:val="32"/>
          <w:rtl/>
        </w:rPr>
      </w:pPr>
      <w:r w:rsidRPr="008962A0">
        <w:rPr>
          <w:sz w:val="32"/>
          <w:szCs w:val="32"/>
        </w:rPr>
        <w:t>Palestinian Central Bureau of Statistics (PCBS)</w:t>
      </w:r>
    </w:p>
    <w:p w:rsidR="008962A0" w:rsidRPr="008962A0" w:rsidRDefault="008962A0" w:rsidP="008962A0">
      <w:pPr>
        <w:pStyle w:val="NormalWeb"/>
        <w:jc w:val="center"/>
        <w:rPr>
          <w:color w:val="000000"/>
          <w:sz w:val="28"/>
          <w:szCs w:val="28"/>
          <w:rtl/>
        </w:rPr>
      </w:pPr>
      <w:r w:rsidRPr="008962A0">
        <w:rPr>
          <w:b/>
          <w:bCs/>
          <w:color w:val="000000"/>
          <w:sz w:val="28"/>
          <w:szCs w:val="28"/>
        </w:rPr>
        <w:t>Industrial Production Index</w:t>
      </w:r>
      <w:r w:rsidRPr="008962A0">
        <w:rPr>
          <w:b/>
          <w:bCs/>
          <w:sz w:val="28"/>
          <w:szCs w:val="28"/>
        </w:rPr>
        <w:t xml:space="preserve"> May</w:t>
      </w:r>
      <w:r w:rsidRPr="008962A0">
        <w:rPr>
          <w:b/>
          <w:bCs/>
          <w:color w:val="000000"/>
          <w:sz w:val="28"/>
          <w:szCs w:val="28"/>
        </w:rPr>
        <w:t xml:space="preserve">, </w:t>
      </w:r>
      <w:r w:rsidRPr="008962A0">
        <w:rPr>
          <w:rFonts w:hint="cs"/>
          <w:b/>
          <w:bCs/>
          <w:color w:val="000000"/>
          <w:sz w:val="28"/>
          <w:szCs w:val="28"/>
          <w:rtl/>
        </w:rPr>
        <w:t>05</w:t>
      </w:r>
      <w:r w:rsidRPr="008962A0">
        <w:rPr>
          <w:b/>
          <w:bCs/>
          <w:color w:val="000000"/>
          <w:sz w:val="28"/>
          <w:szCs w:val="28"/>
        </w:rPr>
        <w:t>/</w:t>
      </w:r>
      <w:r w:rsidRPr="008962A0">
        <w:rPr>
          <w:rFonts w:hint="cs"/>
          <w:b/>
          <w:bCs/>
          <w:color w:val="000000"/>
          <w:sz w:val="28"/>
          <w:szCs w:val="28"/>
          <w:rtl/>
        </w:rPr>
        <w:t>2020</w:t>
      </w:r>
    </w:p>
    <w:p w:rsidR="00091A64" w:rsidRPr="008962A0" w:rsidRDefault="00091A64" w:rsidP="00B173DB">
      <w:pPr>
        <w:pStyle w:val="NormalWeb"/>
        <w:spacing w:after="0"/>
        <w:jc w:val="both"/>
        <w:rPr>
          <w:sz w:val="28"/>
          <w:szCs w:val="28"/>
        </w:rPr>
      </w:pPr>
      <w:r w:rsidRPr="008962A0">
        <w:rPr>
          <w:b/>
          <w:bCs/>
          <w:color w:val="000000"/>
          <w:sz w:val="28"/>
          <w:szCs w:val="28"/>
        </w:rPr>
        <w:t>Palestinian Central Bureau of Statistics continues to work on data collection and production of Palestinian</w:t>
      </w:r>
      <w:r w:rsidR="005B5CC7" w:rsidRPr="008962A0">
        <w:rPr>
          <w:rFonts w:hint="cs"/>
          <w:b/>
          <w:bCs/>
          <w:color w:val="000000"/>
          <w:sz w:val="28"/>
          <w:szCs w:val="28"/>
          <w:rtl/>
        </w:rPr>
        <w:t xml:space="preserve"> </w:t>
      </w:r>
      <w:r w:rsidRPr="008962A0">
        <w:rPr>
          <w:b/>
          <w:bCs/>
          <w:sz w:val="28"/>
          <w:szCs w:val="28"/>
        </w:rPr>
        <w:t>Industrial Production</w:t>
      </w:r>
      <w:r w:rsidR="005B5CC7" w:rsidRPr="008962A0">
        <w:rPr>
          <w:rFonts w:hint="cs"/>
          <w:b/>
          <w:bCs/>
          <w:sz w:val="28"/>
          <w:szCs w:val="28"/>
          <w:rtl/>
        </w:rPr>
        <w:t xml:space="preserve"> </w:t>
      </w:r>
      <w:r w:rsidRPr="008962A0">
        <w:rPr>
          <w:b/>
          <w:bCs/>
          <w:color w:val="000000"/>
          <w:sz w:val="28"/>
          <w:szCs w:val="28"/>
        </w:rPr>
        <w:t>Index in light of COVID-19 (CORONA VIRUS) pandemic</w:t>
      </w:r>
    </w:p>
    <w:p w:rsidR="008962A0" w:rsidRDefault="008962A0" w:rsidP="008962A0">
      <w:pPr>
        <w:outlineLvl w:val="0"/>
        <w:rPr>
          <w:rFonts w:hint="cs"/>
          <w:b/>
          <w:bCs/>
          <w:sz w:val="28"/>
          <w:szCs w:val="28"/>
          <w:rtl/>
        </w:rPr>
      </w:pPr>
    </w:p>
    <w:p w:rsidR="008962A0" w:rsidRPr="008962A0" w:rsidRDefault="008962A0" w:rsidP="008962A0">
      <w:pPr>
        <w:outlineLvl w:val="0"/>
        <w:rPr>
          <w:b/>
          <w:bCs/>
          <w:sz w:val="16"/>
          <w:szCs w:val="16"/>
        </w:rPr>
      </w:pPr>
    </w:p>
    <w:p w:rsidR="002C20FD" w:rsidRPr="008962A0" w:rsidRDefault="00091A64" w:rsidP="008962A0">
      <w:pPr>
        <w:bidi w:val="0"/>
        <w:jc w:val="both"/>
        <w:outlineLvl w:val="0"/>
        <w:rPr>
          <w:b/>
          <w:bCs/>
          <w:sz w:val="27"/>
          <w:szCs w:val="27"/>
        </w:rPr>
      </w:pPr>
      <w:r w:rsidRPr="008962A0">
        <w:rPr>
          <w:b/>
          <w:bCs/>
          <w:sz w:val="27"/>
          <w:szCs w:val="27"/>
        </w:rPr>
        <w:t xml:space="preserve">Sharp </w:t>
      </w:r>
      <w:r w:rsidR="001839AC" w:rsidRPr="008962A0">
        <w:rPr>
          <w:b/>
          <w:bCs/>
          <w:sz w:val="27"/>
          <w:szCs w:val="27"/>
        </w:rPr>
        <w:t>Increase</w:t>
      </w:r>
      <w:r w:rsidR="002C20FD" w:rsidRPr="008962A0">
        <w:rPr>
          <w:b/>
          <w:bCs/>
          <w:sz w:val="27"/>
          <w:szCs w:val="27"/>
        </w:rPr>
        <w:t xml:space="preserve"> in the Industrial Production Index (IPI) in Palestine</w:t>
      </w:r>
      <w:r w:rsidR="005B5CC7" w:rsidRPr="008962A0">
        <w:rPr>
          <w:rFonts w:hint="cs"/>
          <w:b/>
          <w:bCs/>
          <w:sz w:val="27"/>
          <w:szCs w:val="27"/>
          <w:rtl/>
        </w:rPr>
        <w:t xml:space="preserve"> </w:t>
      </w:r>
      <w:r w:rsidR="002C20FD" w:rsidRPr="008962A0">
        <w:rPr>
          <w:b/>
          <w:bCs/>
          <w:sz w:val="27"/>
          <w:szCs w:val="27"/>
        </w:rPr>
        <w:t xml:space="preserve">during </w:t>
      </w:r>
      <w:r w:rsidR="001839AC" w:rsidRPr="008962A0">
        <w:rPr>
          <w:b/>
          <w:bCs/>
          <w:sz w:val="27"/>
          <w:szCs w:val="27"/>
        </w:rPr>
        <w:t>May</w:t>
      </w:r>
      <w:r w:rsidR="005B5CC7" w:rsidRPr="008962A0">
        <w:rPr>
          <w:rFonts w:hint="cs"/>
          <w:b/>
          <w:bCs/>
          <w:sz w:val="27"/>
          <w:szCs w:val="27"/>
          <w:rtl/>
        </w:rPr>
        <w:t xml:space="preserve"> </w:t>
      </w:r>
      <w:r w:rsidR="003E5F57" w:rsidRPr="008962A0">
        <w:rPr>
          <w:b/>
          <w:bCs/>
          <w:kern w:val="36"/>
          <w:sz w:val="27"/>
          <w:szCs w:val="27"/>
        </w:rPr>
        <w:t>2020</w:t>
      </w:r>
    </w:p>
    <w:p w:rsidR="002C20FD" w:rsidRPr="008962A0" w:rsidRDefault="002C20FD" w:rsidP="008962A0">
      <w:pPr>
        <w:bidi w:val="0"/>
        <w:jc w:val="both"/>
        <w:rPr>
          <w:sz w:val="26"/>
          <w:szCs w:val="26"/>
          <w:rtl/>
        </w:rPr>
      </w:pPr>
      <w:r w:rsidRPr="008962A0">
        <w:rPr>
          <w:sz w:val="26"/>
          <w:szCs w:val="26"/>
        </w:rPr>
        <w:t>The overall IPI in Palestine</w:t>
      </w:r>
      <w:r w:rsidR="005B5CC7" w:rsidRPr="008962A0">
        <w:rPr>
          <w:rFonts w:hint="cs"/>
          <w:sz w:val="26"/>
          <w:szCs w:val="26"/>
          <w:rtl/>
        </w:rPr>
        <w:t xml:space="preserve"> </w:t>
      </w:r>
      <w:r w:rsidR="00635E82" w:rsidRPr="008962A0">
        <w:rPr>
          <w:sz w:val="26"/>
          <w:szCs w:val="26"/>
        </w:rPr>
        <w:t xml:space="preserve">reached </w:t>
      </w:r>
      <w:r w:rsidR="001839AC" w:rsidRPr="008962A0">
        <w:rPr>
          <w:sz w:val="26"/>
          <w:szCs w:val="26"/>
        </w:rPr>
        <w:t>103.</w:t>
      </w:r>
      <w:r w:rsidR="007A21DB" w:rsidRPr="008962A0">
        <w:rPr>
          <w:sz w:val="26"/>
          <w:szCs w:val="26"/>
        </w:rPr>
        <w:t>49</w:t>
      </w:r>
      <w:r w:rsidR="004F605B" w:rsidRPr="008962A0">
        <w:rPr>
          <w:sz w:val="26"/>
          <w:szCs w:val="26"/>
        </w:rPr>
        <w:t xml:space="preserve"> </w:t>
      </w:r>
      <w:r w:rsidR="00635E82" w:rsidRPr="008962A0">
        <w:rPr>
          <w:sz w:val="26"/>
          <w:szCs w:val="26"/>
        </w:rPr>
        <w:t xml:space="preserve">during </w:t>
      </w:r>
      <w:r w:rsidR="001839AC" w:rsidRPr="008962A0">
        <w:rPr>
          <w:sz w:val="26"/>
          <w:szCs w:val="26"/>
        </w:rPr>
        <w:t>May</w:t>
      </w:r>
      <w:r w:rsidR="005B5CC7" w:rsidRPr="008962A0">
        <w:rPr>
          <w:rFonts w:hint="cs"/>
          <w:sz w:val="26"/>
          <w:szCs w:val="26"/>
          <w:rtl/>
        </w:rPr>
        <w:t xml:space="preserve"> </w:t>
      </w:r>
      <w:r w:rsidR="003E5F57" w:rsidRPr="008962A0">
        <w:rPr>
          <w:sz w:val="26"/>
          <w:szCs w:val="26"/>
        </w:rPr>
        <w:t>2020</w:t>
      </w:r>
      <w:r w:rsidR="005B5CC7" w:rsidRPr="008962A0">
        <w:rPr>
          <w:rFonts w:hint="cs"/>
          <w:sz w:val="26"/>
          <w:szCs w:val="26"/>
          <w:rtl/>
        </w:rPr>
        <w:t xml:space="preserve"> </w:t>
      </w:r>
      <w:r w:rsidR="00635E82" w:rsidRPr="008962A0">
        <w:rPr>
          <w:sz w:val="26"/>
          <w:szCs w:val="26"/>
        </w:rPr>
        <w:t xml:space="preserve">with </w:t>
      </w:r>
      <w:r w:rsidR="007C7D08" w:rsidRPr="008962A0">
        <w:rPr>
          <w:sz w:val="26"/>
          <w:szCs w:val="26"/>
        </w:rPr>
        <w:t>a</w:t>
      </w:r>
      <w:r w:rsidR="00091A64" w:rsidRPr="008962A0">
        <w:rPr>
          <w:sz w:val="26"/>
          <w:szCs w:val="26"/>
        </w:rPr>
        <w:t xml:space="preserve"> sharp</w:t>
      </w:r>
      <w:r w:rsidR="005B5CC7" w:rsidRPr="008962A0">
        <w:rPr>
          <w:rFonts w:hint="cs"/>
          <w:sz w:val="26"/>
          <w:szCs w:val="26"/>
          <w:rtl/>
        </w:rPr>
        <w:t xml:space="preserve"> </w:t>
      </w:r>
      <w:r w:rsidR="001839AC" w:rsidRPr="008962A0">
        <w:rPr>
          <w:sz w:val="26"/>
          <w:szCs w:val="26"/>
        </w:rPr>
        <w:t>increase</w:t>
      </w:r>
      <w:r w:rsidR="005B5CC7" w:rsidRPr="008962A0">
        <w:rPr>
          <w:rFonts w:hint="cs"/>
          <w:sz w:val="26"/>
          <w:szCs w:val="26"/>
          <w:rtl/>
        </w:rPr>
        <w:t xml:space="preserve"> </w:t>
      </w:r>
      <w:r w:rsidR="00635E82" w:rsidRPr="008962A0">
        <w:rPr>
          <w:sz w:val="26"/>
          <w:szCs w:val="26"/>
        </w:rPr>
        <w:t>of</w:t>
      </w:r>
      <w:r w:rsidR="005B5CC7" w:rsidRPr="008962A0">
        <w:rPr>
          <w:rFonts w:hint="cs"/>
          <w:sz w:val="26"/>
          <w:szCs w:val="26"/>
          <w:rtl/>
        </w:rPr>
        <w:t xml:space="preserve"> </w:t>
      </w:r>
      <w:r w:rsidR="001839AC" w:rsidRPr="008962A0">
        <w:rPr>
          <w:sz w:val="26"/>
          <w:szCs w:val="26"/>
        </w:rPr>
        <w:t>63.37</w:t>
      </w:r>
      <w:r w:rsidR="00ED7BD0" w:rsidRPr="008962A0">
        <w:rPr>
          <w:sz w:val="26"/>
          <w:szCs w:val="26"/>
        </w:rPr>
        <w:t>%</w:t>
      </w:r>
      <w:r w:rsidR="005B5CC7" w:rsidRPr="008962A0">
        <w:rPr>
          <w:rFonts w:hint="cs"/>
          <w:sz w:val="26"/>
          <w:szCs w:val="26"/>
          <w:rtl/>
        </w:rPr>
        <w:t xml:space="preserve"> </w:t>
      </w:r>
      <w:r w:rsidR="00635E82" w:rsidRPr="008962A0">
        <w:rPr>
          <w:sz w:val="26"/>
          <w:szCs w:val="26"/>
        </w:rPr>
        <w:t xml:space="preserve">compared to </w:t>
      </w:r>
      <w:r w:rsidR="001839AC" w:rsidRPr="008962A0">
        <w:rPr>
          <w:sz w:val="26"/>
          <w:szCs w:val="26"/>
        </w:rPr>
        <w:t>April</w:t>
      </w:r>
      <w:r w:rsidR="005B5CC7" w:rsidRPr="008962A0">
        <w:rPr>
          <w:rFonts w:hint="cs"/>
          <w:sz w:val="26"/>
          <w:szCs w:val="26"/>
          <w:rtl/>
        </w:rPr>
        <w:t xml:space="preserve"> </w:t>
      </w:r>
      <w:r w:rsidR="00EA50CB" w:rsidRPr="008962A0">
        <w:rPr>
          <w:sz w:val="26"/>
          <w:szCs w:val="26"/>
        </w:rPr>
        <w:t>20</w:t>
      </w:r>
      <w:r w:rsidR="001447AD" w:rsidRPr="008962A0">
        <w:rPr>
          <w:sz w:val="26"/>
          <w:szCs w:val="26"/>
        </w:rPr>
        <w:t>20</w:t>
      </w:r>
      <w:r w:rsidR="005B5CC7" w:rsidRPr="008962A0">
        <w:rPr>
          <w:rFonts w:hint="cs"/>
          <w:sz w:val="26"/>
          <w:szCs w:val="26"/>
          <w:rtl/>
        </w:rPr>
        <w:t xml:space="preserve"> </w:t>
      </w:r>
      <w:r w:rsidR="00635E82" w:rsidRPr="008962A0">
        <w:rPr>
          <w:sz w:val="26"/>
          <w:szCs w:val="26"/>
        </w:rPr>
        <w:t>(Base Year</w:t>
      </w:r>
      <w:r w:rsidR="005D367C" w:rsidRPr="008962A0">
        <w:rPr>
          <w:sz w:val="26"/>
          <w:szCs w:val="26"/>
        </w:rPr>
        <w:t xml:space="preserve"> </w:t>
      </w:r>
      <w:r w:rsidR="00635E82" w:rsidRPr="008962A0">
        <w:rPr>
          <w:sz w:val="26"/>
          <w:szCs w:val="26"/>
        </w:rPr>
        <w:t>2018 = 100)</w:t>
      </w:r>
      <w:r w:rsidRPr="008962A0">
        <w:rPr>
          <w:sz w:val="26"/>
          <w:szCs w:val="26"/>
        </w:rPr>
        <w:t>.</w:t>
      </w:r>
    </w:p>
    <w:p w:rsidR="008962A0" w:rsidRPr="008962A0" w:rsidRDefault="008962A0" w:rsidP="008962A0">
      <w:pPr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36282E" w:rsidRPr="008962A0" w:rsidRDefault="002C20FD" w:rsidP="008962A0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color w:val="000000"/>
          <w:sz w:val="26"/>
          <w:szCs w:val="26"/>
          <w:rtl/>
        </w:rPr>
      </w:pPr>
      <w:r w:rsidRPr="008962A0">
        <w:rPr>
          <w:sz w:val="26"/>
          <w:szCs w:val="26"/>
        </w:rPr>
        <w:t xml:space="preserve">IPI for </w:t>
      </w:r>
      <w:r w:rsidR="001839AC" w:rsidRPr="008962A0">
        <w:rPr>
          <w:sz w:val="26"/>
          <w:szCs w:val="26"/>
        </w:rPr>
        <w:t>May</w:t>
      </w:r>
      <w:r w:rsidR="005B5CC7" w:rsidRPr="008962A0">
        <w:rPr>
          <w:rFonts w:hint="cs"/>
          <w:sz w:val="26"/>
          <w:szCs w:val="26"/>
          <w:rtl/>
        </w:rPr>
        <w:t xml:space="preserve"> </w:t>
      </w:r>
      <w:r w:rsidR="001D3641" w:rsidRPr="008962A0">
        <w:rPr>
          <w:sz w:val="26"/>
          <w:szCs w:val="26"/>
        </w:rPr>
        <w:t>2020</w:t>
      </w:r>
      <w:r w:rsidR="005B5CC7" w:rsidRPr="008962A0">
        <w:rPr>
          <w:rFonts w:hint="cs"/>
          <w:sz w:val="26"/>
          <w:szCs w:val="26"/>
          <w:rtl/>
        </w:rPr>
        <w:t xml:space="preserve"> </w:t>
      </w:r>
      <w:r w:rsidR="0043560F" w:rsidRPr="008962A0">
        <w:rPr>
          <w:sz w:val="26"/>
          <w:szCs w:val="26"/>
        </w:rPr>
        <w:t>sharp</w:t>
      </w:r>
      <w:r w:rsidR="00136E6F" w:rsidRPr="008962A0">
        <w:rPr>
          <w:sz w:val="26"/>
          <w:szCs w:val="26"/>
        </w:rPr>
        <w:t>ly</w:t>
      </w:r>
      <w:r w:rsidR="0043560F" w:rsidRPr="008962A0">
        <w:rPr>
          <w:sz w:val="26"/>
          <w:szCs w:val="26"/>
        </w:rPr>
        <w:t xml:space="preserve"> </w:t>
      </w:r>
      <w:r w:rsidR="001839AC" w:rsidRPr="008962A0">
        <w:rPr>
          <w:sz w:val="26"/>
          <w:szCs w:val="26"/>
        </w:rPr>
        <w:t>increased</w:t>
      </w:r>
      <w:r w:rsidRPr="008962A0">
        <w:rPr>
          <w:sz w:val="26"/>
          <w:szCs w:val="26"/>
        </w:rPr>
        <w:t xml:space="preserve"> due to the </w:t>
      </w:r>
      <w:r w:rsidR="007A21DB" w:rsidRPr="008962A0">
        <w:rPr>
          <w:sz w:val="26"/>
          <w:szCs w:val="26"/>
        </w:rPr>
        <w:t xml:space="preserve">sharp </w:t>
      </w:r>
      <w:r w:rsidR="001839AC" w:rsidRPr="008962A0">
        <w:rPr>
          <w:sz w:val="26"/>
          <w:szCs w:val="26"/>
        </w:rPr>
        <w:t>increase</w:t>
      </w:r>
      <w:r w:rsidRPr="008962A0">
        <w:rPr>
          <w:sz w:val="26"/>
          <w:szCs w:val="26"/>
        </w:rPr>
        <w:t xml:space="preserve"> in</w:t>
      </w:r>
      <w:r w:rsidR="003C0107" w:rsidRPr="008962A0">
        <w:rPr>
          <w:sz w:val="26"/>
          <w:szCs w:val="26"/>
        </w:rPr>
        <w:t xml:space="preserve"> </w:t>
      </w:r>
      <w:r w:rsidR="001839AC" w:rsidRPr="008962A0">
        <w:rPr>
          <w:rFonts w:cs="Simplified Arabic"/>
          <w:snapToGrid w:val="0"/>
          <w:color w:val="000000"/>
          <w:sz w:val="26"/>
          <w:szCs w:val="26"/>
        </w:rPr>
        <w:t>the</w:t>
      </w:r>
      <w:r w:rsidR="001839AC" w:rsidRPr="008962A0">
        <w:rPr>
          <w:rFonts w:cs="Simplified Arabic" w:hint="cs"/>
          <w:snapToGrid w:val="0"/>
          <w:color w:val="000000"/>
          <w:sz w:val="26"/>
          <w:szCs w:val="26"/>
          <w:rtl/>
        </w:rPr>
        <w:t xml:space="preserve"> </w:t>
      </w:r>
      <w:r w:rsidR="001839AC" w:rsidRPr="008962A0">
        <w:rPr>
          <w:b/>
          <w:bCs/>
          <w:sz w:val="26"/>
          <w:szCs w:val="26"/>
        </w:rPr>
        <w:t>activities of Mining and Quarrying</w:t>
      </w:r>
      <w:r w:rsidR="001839AC" w:rsidRPr="008962A0">
        <w:rPr>
          <w:rFonts w:hint="cs"/>
          <w:b/>
          <w:bCs/>
          <w:sz w:val="26"/>
          <w:szCs w:val="26"/>
          <w:rtl/>
        </w:rPr>
        <w:t xml:space="preserve"> </w:t>
      </w:r>
      <w:r w:rsidR="001839AC" w:rsidRPr="008962A0">
        <w:rPr>
          <w:sz w:val="26"/>
          <w:szCs w:val="26"/>
        </w:rPr>
        <w:t xml:space="preserve">by 82.81% which had a share of 2.68% of the total industry, </w:t>
      </w:r>
      <w:r w:rsidR="003C0107" w:rsidRPr="008962A0">
        <w:rPr>
          <w:sz w:val="26"/>
          <w:szCs w:val="26"/>
        </w:rPr>
        <w:t>the</w:t>
      </w:r>
      <w:r w:rsidR="003C0107" w:rsidRPr="008962A0">
        <w:rPr>
          <w:b/>
          <w:bCs/>
          <w:sz w:val="26"/>
          <w:szCs w:val="26"/>
        </w:rPr>
        <w:t xml:space="preserve"> activities of</w:t>
      </w:r>
      <w:r w:rsidR="003C0107" w:rsidRPr="008962A0">
        <w:rPr>
          <w:rFonts w:hint="cs"/>
          <w:b/>
          <w:bCs/>
          <w:sz w:val="26"/>
          <w:szCs w:val="26"/>
          <w:rtl/>
        </w:rPr>
        <w:t xml:space="preserve"> </w:t>
      </w:r>
      <w:r w:rsidR="003C0107" w:rsidRPr="008962A0">
        <w:rPr>
          <w:b/>
          <w:bCs/>
          <w:sz w:val="26"/>
          <w:szCs w:val="26"/>
        </w:rPr>
        <w:t>Manufacturing Industry</w:t>
      </w:r>
      <w:r w:rsidR="003C0107" w:rsidRPr="008962A0">
        <w:rPr>
          <w:rFonts w:hint="cs"/>
          <w:b/>
          <w:bCs/>
          <w:sz w:val="26"/>
          <w:szCs w:val="26"/>
          <w:rtl/>
        </w:rPr>
        <w:t xml:space="preserve"> </w:t>
      </w:r>
      <w:r w:rsidR="003C0107" w:rsidRPr="008962A0">
        <w:rPr>
          <w:sz w:val="26"/>
          <w:szCs w:val="26"/>
        </w:rPr>
        <w:t xml:space="preserve">by </w:t>
      </w:r>
      <w:r w:rsidR="001839AC" w:rsidRPr="008962A0">
        <w:rPr>
          <w:sz w:val="26"/>
          <w:szCs w:val="26"/>
        </w:rPr>
        <w:t>69.11</w:t>
      </w:r>
      <w:r w:rsidR="003C0107" w:rsidRPr="008962A0">
        <w:rPr>
          <w:sz w:val="26"/>
          <w:szCs w:val="26"/>
        </w:rPr>
        <w:t>% which had a share of 82.98% of the total industry,</w:t>
      </w:r>
      <w:r w:rsidR="001839AC" w:rsidRPr="008962A0">
        <w:rPr>
          <w:sz w:val="26"/>
          <w:szCs w:val="26"/>
        </w:rPr>
        <w:t xml:space="preserve"> the </w:t>
      </w:r>
      <w:r w:rsidR="001839AC" w:rsidRPr="008962A0">
        <w:rPr>
          <w:b/>
          <w:bCs/>
          <w:sz w:val="26"/>
          <w:szCs w:val="26"/>
        </w:rPr>
        <w:t>activities of Water Supply, Sewerage, Waste Management and Remediation</w:t>
      </w:r>
      <w:r w:rsidR="001839AC" w:rsidRPr="008962A0">
        <w:rPr>
          <w:rFonts w:hint="cs"/>
          <w:b/>
          <w:bCs/>
          <w:sz w:val="26"/>
          <w:szCs w:val="26"/>
          <w:rtl/>
        </w:rPr>
        <w:t xml:space="preserve"> </w:t>
      </w:r>
      <w:r w:rsidR="001839AC" w:rsidRPr="008962A0">
        <w:rPr>
          <w:sz w:val="26"/>
          <w:szCs w:val="26"/>
        </w:rPr>
        <w:t xml:space="preserve">by </w:t>
      </w:r>
      <w:r w:rsidR="001839AC" w:rsidRPr="008962A0">
        <w:rPr>
          <w:rFonts w:hint="cs"/>
          <w:sz w:val="26"/>
          <w:szCs w:val="26"/>
          <w:rtl/>
        </w:rPr>
        <w:t>58.66</w:t>
      </w:r>
      <w:r w:rsidR="001839AC" w:rsidRPr="008962A0">
        <w:rPr>
          <w:sz w:val="26"/>
          <w:szCs w:val="26"/>
        </w:rPr>
        <w:t>% which had a share of 2.39% of the total industry,</w:t>
      </w:r>
      <w:r w:rsidR="005B5CC7" w:rsidRPr="008962A0">
        <w:rPr>
          <w:rFonts w:hint="cs"/>
          <w:sz w:val="26"/>
          <w:szCs w:val="26"/>
          <w:rtl/>
        </w:rPr>
        <w:t xml:space="preserve"> </w:t>
      </w:r>
      <w:r w:rsidR="001839AC" w:rsidRPr="008962A0">
        <w:rPr>
          <w:sz w:val="26"/>
          <w:szCs w:val="26"/>
        </w:rPr>
        <w:t xml:space="preserve">and </w:t>
      </w:r>
      <w:r w:rsidR="00BE014E" w:rsidRPr="008962A0">
        <w:rPr>
          <w:sz w:val="26"/>
          <w:szCs w:val="26"/>
        </w:rPr>
        <w:t>the</w:t>
      </w:r>
      <w:r w:rsidR="00BE014E" w:rsidRPr="008962A0">
        <w:rPr>
          <w:b/>
          <w:bCs/>
          <w:sz w:val="26"/>
          <w:szCs w:val="26"/>
        </w:rPr>
        <w:t xml:space="preserve"> activities of Electricity, Gas, Steam and Air Conditioning Supply </w:t>
      </w:r>
      <w:r w:rsidR="00BE014E" w:rsidRPr="008962A0">
        <w:rPr>
          <w:sz w:val="26"/>
          <w:szCs w:val="26"/>
        </w:rPr>
        <w:t xml:space="preserve">by </w:t>
      </w:r>
      <w:r w:rsidR="001839AC" w:rsidRPr="008962A0">
        <w:rPr>
          <w:sz w:val="26"/>
          <w:szCs w:val="26"/>
        </w:rPr>
        <w:t>20.06</w:t>
      </w:r>
      <w:r w:rsidR="00BE014E" w:rsidRPr="008962A0">
        <w:rPr>
          <w:sz w:val="26"/>
          <w:szCs w:val="26"/>
        </w:rPr>
        <w:t>% which had a share of 11.95% of the total industry</w:t>
      </w:r>
      <w:r w:rsidR="001839AC" w:rsidRPr="008962A0">
        <w:rPr>
          <w:rFonts w:cs="Simplified Arabic"/>
          <w:snapToGrid w:val="0"/>
          <w:color w:val="000000"/>
          <w:sz w:val="26"/>
          <w:szCs w:val="26"/>
        </w:rPr>
        <w:t>.</w:t>
      </w:r>
    </w:p>
    <w:p w:rsidR="008962A0" w:rsidRDefault="008962A0" w:rsidP="0036282E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color w:val="000000"/>
          <w:sz w:val="16"/>
          <w:szCs w:val="16"/>
        </w:rPr>
      </w:pPr>
    </w:p>
    <w:p w:rsidR="008962A0" w:rsidRDefault="008962A0" w:rsidP="008962A0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color w:val="000000"/>
          <w:sz w:val="16"/>
          <w:szCs w:val="16"/>
        </w:rPr>
      </w:pPr>
    </w:p>
    <w:p w:rsidR="008962A0" w:rsidRDefault="008962A0" w:rsidP="008962A0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color w:val="000000"/>
          <w:sz w:val="16"/>
          <w:szCs w:val="16"/>
        </w:rPr>
      </w:pPr>
    </w:p>
    <w:p w:rsidR="00091A64" w:rsidRPr="008962A0" w:rsidRDefault="00091A64" w:rsidP="008962A0">
      <w:pPr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8962A0">
        <w:rPr>
          <w:b/>
          <w:bCs/>
          <w:color w:val="FF0000"/>
          <w:sz w:val="26"/>
          <w:szCs w:val="26"/>
        </w:rPr>
        <w:t>Notice for Users:</w:t>
      </w:r>
    </w:p>
    <w:p w:rsidR="00091A64" w:rsidRDefault="00091A64" w:rsidP="0036282E">
      <w:pPr>
        <w:pStyle w:val="ListParagraph"/>
        <w:numPr>
          <w:ilvl w:val="0"/>
          <w:numId w:val="11"/>
        </w:numPr>
        <w:bidi w:val="0"/>
        <w:ind w:left="284" w:hanging="284"/>
        <w:jc w:val="both"/>
        <w:rPr>
          <w:sz w:val="26"/>
          <w:szCs w:val="26"/>
          <w:lang w:eastAsia="en-US"/>
        </w:rPr>
      </w:pPr>
      <w:r w:rsidRPr="008962A0">
        <w:rPr>
          <w:sz w:val="26"/>
          <w:szCs w:val="26"/>
          <w:lang w:eastAsia="en-US"/>
        </w:rPr>
        <w:t xml:space="preserve">As a result of CORONAVIRUS (COVID-19) outbreak, and the implemented measures to limit its spread, the data collection process for </w:t>
      </w:r>
      <w:r w:rsidR="004338C3" w:rsidRPr="008962A0">
        <w:rPr>
          <w:sz w:val="26"/>
          <w:szCs w:val="26"/>
          <w:lang w:eastAsia="en-US"/>
        </w:rPr>
        <w:t>Industrial Production</w:t>
      </w:r>
      <w:r w:rsidRPr="008962A0">
        <w:rPr>
          <w:sz w:val="26"/>
          <w:szCs w:val="26"/>
          <w:lang w:eastAsia="en-US"/>
        </w:rPr>
        <w:t xml:space="preserve"> Index has been replaced with data collection via phone in all of the Palestinian Governorates instead of collecting data face to face from the field.</w:t>
      </w:r>
    </w:p>
    <w:p w:rsidR="008962A0" w:rsidRPr="008962A0" w:rsidRDefault="008962A0" w:rsidP="008962A0">
      <w:pPr>
        <w:pStyle w:val="ListParagraph"/>
        <w:bidi w:val="0"/>
        <w:jc w:val="both"/>
        <w:rPr>
          <w:sz w:val="26"/>
          <w:szCs w:val="26"/>
          <w:lang w:eastAsia="en-US"/>
        </w:rPr>
      </w:pPr>
    </w:p>
    <w:p w:rsidR="00A374BB" w:rsidRPr="008962A0" w:rsidRDefault="00091A64" w:rsidP="0036282E">
      <w:pPr>
        <w:pStyle w:val="ListParagraph"/>
        <w:numPr>
          <w:ilvl w:val="0"/>
          <w:numId w:val="11"/>
        </w:numPr>
        <w:bidi w:val="0"/>
        <w:ind w:left="284" w:hanging="284"/>
        <w:jc w:val="both"/>
        <w:rPr>
          <w:sz w:val="26"/>
          <w:szCs w:val="26"/>
          <w:lang w:eastAsia="en-US"/>
        </w:rPr>
      </w:pPr>
      <w:r w:rsidRPr="008962A0">
        <w:rPr>
          <w:sz w:val="26"/>
          <w:szCs w:val="26"/>
          <w:lang w:eastAsia="en-US"/>
        </w:rPr>
        <w:t xml:space="preserve">The number of Industrial facilities, from which </w:t>
      </w:r>
      <w:r w:rsidR="004338C3" w:rsidRPr="008962A0">
        <w:rPr>
          <w:sz w:val="26"/>
          <w:szCs w:val="26"/>
          <w:lang w:eastAsia="en-US"/>
        </w:rPr>
        <w:t>Industrial Production</w:t>
      </w:r>
      <w:r w:rsidR="00416036" w:rsidRPr="008962A0">
        <w:rPr>
          <w:sz w:val="26"/>
          <w:szCs w:val="26"/>
          <w:lang w:eastAsia="en-US"/>
        </w:rPr>
        <w:t xml:space="preserve"> values</w:t>
      </w:r>
      <w:r w:rsidRPr="008962A0">
        <w:rPr>
          <w:sz w:val="26"/>
          <w:szCs w:val="26"/>
          <w:lang w:eastAsia="en-US"/>
        </w:rPr>
        <w:t xml:space="preserve"> are collected in Palestine, reached 365 facilities. </w:t>
      </w:r>
      <w:r w:rsidR="0043777F" w:rsidRPr="008962A0">
        <w:rPr>
          <w:sz w:val="26"/>
          <w:szCs w:val="26"/>
          <w:lang w:eastAsia="en-US"/>
        </w:rPr>
        <w:t>Thus,</w:t>
      </w:r>
      <w:r w:rsidRPr="008962A0">
        <w:rPr>
          <w:sz w:val="26"/>
          <w:szCs w:val="26"/>
          <w:lang w:eastAsia="en-US"/>
        </w:rPr>
        <w:t xml:space="preserve"> in light of the temporary closure of many </w:t>
      </w:r>
      <w:r w:rsidR="00D94588" w:rsidRPr="008962A0">
        <w:rPr>
          <w:sz w:val="26"/>
          <w:szCs w:val="26"/>
          <w:lang w:eastAsia="en-US"/>
        </w:rPr>
        <w:t>facilities due</w:t>
      </w:r>
      <w:r w:rsidRPr="008962A0">
        <w:rPr>
          <w:sz w:val="26"/>
          <w:szCs w:val="26"/>
          <w:lang w:eastAsia="en-US"/>
        </w:rPr>
        <w:t xml:space="preserve"> to applying the Palestinian emergency plan, the completion of data collection process </w:t>
      </w:r>
      <w:r w:rsidR="00B35A8C" w:rsidRPr="008962A0">
        <w:rPr>
          <w:sz w:val="26"/>
          <w:szCs w:val="26"/>
          <w:lang w:eastAsia="en-US"/>
        </w:rPr>
        <w:t xml:space="preserve">in May 2020 </w:t>
      </w:r>
      <w:r w:rsidRPr="008962A0">
        <w:rPr>
          <w:sz w:val="26"/>
          <w:szCs w:val="26"/>
          <w:lang w:eastAsia="en-US"/>
        </w:rPr>
        <w:t>is as follows:</w:t>
      </w:r>
    </w:p>
    <w:p w:rsidR="0005446E" w:rsidRPr="008962A0" w:rsidRDefault="0005446E" w:rsidP="0005446E">
      <w:pPr>
        <w:bidi w:val="0"/>
        <w:spacing w:before="100" w:beforeAutospacing="1"/>
        <w:ind w:left="720"/>
        <w:jc w:val="both"/>
        <w:rPr>
          <w:sz w:val="26"/>
          <w:szCs w:val="26"/>
          <w:lang w:eastAsia="en-US"/>
        </w:rPr>
      </w:pPr>
    </w:p>
    <w:tbl>
      <w:tblPr>
        <w:tblW w:w="9754" w:type="dxa"/>
        <w:jc w:val="center"/>
        <w:tblInd w:w="-2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085"/>
        <w:gridCol w:w="2585"/>
        <w:gridCol w:w="2380"/>
        <w:gridCol w:w="2704"/>
      </w:tblGrid>
      <w:tr w:rsidR="00A374BB" w:rsidRPr="008962A0" w:rsidTr="006F3C55">
        <w:trPr>
          <w:trHeight w:val="1090"/>
          <w:tblHeader/>
          <w:jc w:val="center"/>
        </w:trPr>
        <w:tc>
          <w:tcPr>
            <w:tcW w:w="2085" w:type="dxa"/>
            <w:vAlign w:val="center"/>
          </w:tcPr>
          <w:p w:rsidR="00A374BB" w:rsidRPr="008962A0" w:rsidRDefault="00A374BB" w:rsidP="00DD42F8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snapToGrid w:val="0"/>
                <w:color w:val="000000"/>
              </w:rPr>
            </w:pPr>
            <w:r w:rsidRPr="008962A0">
              <w:rPr>
                <w:b/>
                <w:bCs/>
                <w:snapToGrid w:val="0"/>
                <w:color w:val="000000"/>
              </w:rPr>
              <w:t>Region</w:t>
            </w:r>
          </w:p>
        </w:tc>
        <w:tc>
          <w:tcPr>
            <w:tcW w:w="2585" w:type="dxa"/>
            <w:vAlign w:val="center"/>
          </w:tcPr>
          <w:p w:rsidR="00A374BB" w:rsidRPr="008962A0" w:rsidRDefault="00A374BB" w:rsidP="00DD42F8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snapToGrid w:val="0"/>
                <w:color w:val="000000"/>
              </w:rPr>
            </w:pPr>
            <w:r w:rsidRPr="008962A0">
              <w:rPr>
                <w:b/>
                <w:bCs/>
                <w:snapToGrid w:val="0"/>
                <w:color w:val="000000"/>
              </w:rPr>
              <w:t xml:space="preserve">Number of Collected </w:t>
            </w:r>
            <w:r w:rsidRPr="008962A0">
              <w:rPr>
                <w:b/>
                <w:bCs/>
                <w:lang w:eastAsia="en-US"/>
              </w:rPr>
              <w:t>facilities</w:t>
            </w:r>
          </w:p>
        </w:tc>
        <w:tc>
          <w:tcPr>
            <w:tcW w:w="2380" w:type="dxa"/>
            <w:vAlign w:val="center"/>
          </w:tcPr>
          <w:p w:rsidR="00A374BB" w:rsidRPr="008962A0" w:rsidRDefault="00A374BB" w:rsidP="00A374BB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snapToGrid w:val="0"/>
                <w:color w:val="000000"/>
              </w:rPr>
            </w:pPr>
            <w:r w:rsidRPr="008962A0">
              <w:rPr>
                <w:b/>
                <w:bCs/>
                <w:snapToGrid w:val="0"/>
                <w:color w:val="000000"/>
              </w:rPr>
              <w:t xml:space="preserve">Number of Non-Collected </w:t>
            </w:r>
            <w:r w:rsidRPr="008962A0">
              <w:rPr>
                <w:b/>
                <w:bCs/>
                <w:lang w:eastAsia="en-US"/>
              </w:rPr>
              <w:t>facilities</w:t>
            </w:r>
          </w:p>
        </w:tc>
        <w:tc>
          <w:tcPr>
            <w:tcW w:w="2704" w:type="dxa"/>
            <w:vAlign w:val="center"/>
          </w:tcPr>
          <w:p w:rsidR="00A374BB" w:rsidRPr="008962A0" w:rsidRDefault="00A374BB" w:rsidP="00DD42F8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snapToGrid w:val="0"/>
                <w:color w:val="000000"/>
              </w:rPr>
            </w:pPr>
            <w:r w:rsidRPr="008962A0">
              <w:rPr>
                <w:b/>
                <w:bCs/>
                <w:snapToGrid w:val="0"/>
                <w:color w:val="000000"/>
              </w:rPr>
              <w:t xml:space="preserve">Percentage of Collected </w:t>
            </w:r>
            <w:r w:rsidRPr="008962A0">
              <w:rPr>
                <w:b/>
                <w:bCs/>
                <w:lang w:eastAsia="en-US"/>
              </w:rPr>
              <w:t>facilities</w:t>
            </w:r>
          </w:p>
        </w:tc>
      </w:tr>
      <w:tr w:rsidR="00A374BB" w:rsidRPr="008962A0" w:rsidTr="006F3C55">
        <w:trPr>
          <w:trHeight w:val="703"/>
          <w:jc w:val="center"/>
        </w:trPr>
        <w:tc>
          <w:tcPr>
            <w:tcW w:w="2085" w:type="dxa"/>
            <w:vAlign w:val="center"/>
          </w:tcPr>
          <w:p w:rsidR="00A374BB" w:rsidRPr="006F3C55" w:rsidRDefault="00A374BB" w:rsidP="00DD42F8">
            <w:pPr>
              <w:autoSpaceDE w:val="0"/>
              <w:autoSpaceDN w:val="0"/>
              <w:bidi w:val="0"/>
              <w:adjustRightInd w:val="0"/>
              <w:rPr>
                <w:b/>
                <w:bCs/>
                <w:snapToGrid w:val="0"/>
                <w:color w:val="000000"/>
              </w:rPr>
            </w:pPr>
            <w:r w:rsidRPr="006F3C55">
              <w:rPr>
                <w:b/>
                <w:bCs/>
                <w:snapToGrid w:val="0"/>
                <w:color w:val="000000"/>
              </w:rPr>
              <w:t>Palestine</w:t>
            </w:r>
          </w:p>
        </w:tc>
        <w:tc>
          <w:tcPr>
            <w:tcW w:w="2585" w:type="dxa"/>
            <w:vAlign w:val="center"/>
          </w:tcPr>
          <w:p w:rsidR="00A374BB" w:rsidRPr="006F3C55" w:rsidRDefault="00A374BB" w:rsidP="001F7EC3">
            <w:pPr>
              <w:pStyle w:val="Header"/>
              <w:bidi w:val="0"/>
              <w:ind w:right="-180"/>
              <w:jc w:val="center"/>
              <w:rPr>
                <w:rFonts w:cs="Times New Roman"/>
                <w:b/>
                <w:bCs/>
                <w:snapToGrid/>
                <w:color w:val="000000"/>
                <w:sz w:val="24"/>
                <w:szCs w:val="24"/>
                <w:lang w:eastAsia="ar-SA"/>
              </w:rPr>
            </w:pPr>
            <w:r w:rsidRPr="006F3C55">
              <w:rPr>
                <w:rFonts w:cs="Times New Roman"/>
                <w:b/>
                <w:bCs/>
                <w:snapToGrid/>
                <w:color w:val="000000"/>
                <w:sz w:val="24"/>
                <w:szCs w:val="24"/>
                <w:lang w:eastAsia="ar-SA"/>
              </w:rPr>
              <w:t>35</w:t>
            </w:r>
            <w:r w:rsidR="001F7EC3" w:rsidRPr="006F3C55">
              <w:rPr>
                <w:rFonts w:cs="Times New Roman"/>
                <w:b/>
                <w:bCs/>
                <w:snapToGrid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380" w:type="dxa"/>
            <w:vAlign w:val="center"/>
          </w:tcPr>
          <w:p w:rsidR="00A374BB" w:rsidRPr="006F3C55" w:rsidRDefault="001F7EC3" w:rsidP="0036282E">
            <w:pPr>
              <w:pStyle w:val="Header"/>
              <w:bidi w:val="0"/>
              <w:ind w:right="-180"/>
              <w:jc w:val="center"/>
              <w:rPr>
                <w:rFonts w:cs="Times New Roman"/>
                <w:b/>
                <w:bCs/>
                <w:snapToGrid/>
                <w:color w:val="000000"/>
                <w:sz w:val="24"/>
                <w:szCs w:val="24"/>
                <w:lang w:eastAsia="ar-SA"/>
              </w:rPr>
            </w:pPr>
            <w:r w:rsidRPr="006F3C55">
              <w:rPr>
                <w:rFonts w:cs="Times New Roman"/>
                <w:b/>
                <w:bCs/>
                <w:snapToGrid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704" w:type="dxa"/>
            <w:vAlign w:val="center"/>
          </w:tcPr>
          <w:p w:rsidR="00A374BB" w:rsidRPr="006F3C55" w:rsidRDefault="00A374BB" w:rsidP="001F7EC3">
            <w:pPr>
              <w:pStyle w:val="Header"/>
              <w:bidi w:val="0"/>
              <w:ind w:right="-180"/>
              <w:jc w:val="center"/>
              <w:rPr>
                <w:rFonts w:cs="Times New Roman"/>
                <w:b/>
                <w:bCs/>
                <w:snapToGrid/>
                <w:color w:val="000000"/>
                <w:sz w:val="24"/>
                <w:szCs w:val="24"/>
                <w:lang w:eastAsia="ar-SA"/>
              </w:rPr>
            </w:pPr>
            <w:r w:rsidRPr="006F3C55">
              <w:rPr>
                <w:rFonts w:cs="Times New Roman"/>
                <w:b/>
                <w:bCs/>
                <w:snapToGrid/>
                <w:color w:val="000000"/>
                <w:sz w:val="24"/>
                <w:szCs w:val="24"/>
                <w:lang w:eastAsia="ar-SA"/>
              </w:rPr>
              <w:t>9</w:t>
            </w:r>
            <w:r w:rsidR="001F7EC3" w:rsidRPr="006F3C55">
              <w:rPr>
                <w:rFonts w:cs="Times New Roman"/>
                <w:b/>
                <w:bCs/>
                <w:snapToGrid/>
                <w:color w:val="000000"/>
                <w:sz w:val="24"/>
                <w:szCs w:val="24"/>
                <w:lang w:eastAsia="ar-SA"/>
              </w:rPr>
              <w:t>7</w:t>
            </w:r>
            <w:r w:rsidRPr="006F3C55">
              <w:rPr>
                <w:rFonts w:cs="Times New Roman"/>
                <w:b/>
                <w:bCs/>
                <w:snapToGrid/>
                <w:color w:val="000000"/>
                <w:sz w:val="24"/>
                <w:szCs w:val="24"/>
                <w:lang w:eastAsia="ar-SA"/>
              </w:rPr>
              <w:t>%</w:t>
            </w:r>
          </w:p>
        </w:tc>
      </w:tr>
    </w:tbl>
    <w:p w:rsidR="0005446E" w:rsidRDefault="0005446E" w:rsidP="00C46772">
      <w:pPr>
        <w:bidi w:val="0"/>
        <w:spacing w:line="276" w:lineRule="auto"/>
        <w:jc w:val="both"/>
        <w:rPr>
          <w:b/>
          <w:bCs/>
          <w:sz w:val="20"/>
          <w:szCs w:val="20"/>
        </w:rPr>
      </w:pPr>
    </w:p>
    <w:p w:rsidR="008962A0" w:rsidRDefault="008962A0" w:rsidP="00A96A24">
      <w:pPr>
        <w:pStyle w:val="ListParagraph"/>
        <w:bidi w:val="0"/>
        <w:ind w:left="0"/>
        <w:jc w:val="both"/>
        <w:rPr>
          <w:color w:val="FF0000"/>
          <w:sz w:val="26"/>
          <w:szCs w:val="26"/>
        </w:rPr>
      </w:pPr>
    </w:p>
    <w:p w:rsidR="00A96A24" w:rsidRPr="008962A0" w:rsidRDefault="00A96A24" w:rsidP="008962A0">
      <w:pPr>
        <w:pStyle w:val="ListParagraph"/>
        <w:bidi w:val="0"/>
        <w:ind w:left="0"/>
        <w:jc w:val="both"/>
        <w:rPr>
          <w:color w:val="FF0000"/>
          <w:sz w:val="26"/>
          <w:szCs w:val="26"/>
        </w:rPr>
      </w:pPr>
      <w:r w:rsidRPr="008962A0">
        <w:rPr>
          <w:color w:val="FF0000"/>
          <w:sz w:val="26"/>
          <w:szCs w:val="26"/>
        </w:rPr>
        <w:t>Please note that the press release in English is brief compared to the Arabic version</w:t>
      </w:r>
    </w:p>
    <w:p w:rsidR="0005446E" w:rsidRDefault="0005446E" w:rsidP="0005446E">
      <w:pPr>
        <w:bidi w:val="0"/>
        <w:spacing w:line="276" w:lineRule="auto"/>
        <w:jc w:val="both"/>
        <w:rPr>
          <w:b/>
          <w:bCs/>
          <w:sz w:val="20"/>
          <w:szCs w:val="20"/>
        </w:rPr>
      </w:pPr>
    </w:p>
    <w:p w:rsidR="00841179" w:rsidRDefault="00841179" w:rsidP="00841179">
      <w:pPr>
        <w:bidi w:val="0"/>
        <w:jc w:val="both"/>
        <w:rPr>
          <w:sz w:val="20"/>
          <w:szCs w:val="20"/>
        </w:rPr>
      </w:pPr>
    </w:p>
    <w:p w:rsidR="00841179" w:rsidRPr="00E23512" w:rsidRDefault="00841179" w:rsidP="00841179">
      <w:pPr>
        <w:bidi w:val="0"/>
        <w:jc w:val="both"/>
        <w:rPr>
          <w:sz w:val="20"/>
          <w:szCs w:val="20"/>
        </w:rPr>
      </w:pPr>
    </w:p>
    <w:sectPr w:rsidR="00841179" w:rsidRPr="00E23512" w:rsidSect="008962A0">
      <w:footerReference w:type="even" r:id="rId8"/>
      <w:footerReference w:type="default" r:id="rId9"/>
      <w:pgSz w:w="11907" w:h="16840" w:code="9"/>
      <w:pgMar w:top="851" w:right="851" w:bottom="851" w:left="851" w:header="720" w:footer="720" w:gutter="0"/>
      <w:pgNumType w:start="1"/>
      <w:cols w:space="851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270" w:rsidRDefault="00C15270">
      <w:r>
        <w:separator/>
      </w:r>
    </w:p>
  </w:endnote>
  <w:endnote w:type="continuationSeparator" w:id="0">
    <w:p w:rsidR="00C15270" w:rsidRDefault="00C15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F5" w:rsidRDefault="00F331E4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2A0" w:rsidRDefault="008962A0">
    <w:pPr>
      <w:pStyle w:val="Footer"/>
      <w:jc w:val="center"/>
    </w:pPr>
    <w:fldSimple w:instr=" PAGE   \* MERGEFORMAT ">
      <w:r w:rsidR="009E6F64">
        <w:rPr>
          <w:noProof/>
          <w:rtl/>
        </w:rPr>
        <w:t>1</w:t>
      </w:r>
    </w:fldSimple>
  </w:p>
  <w:p w:rsidR="008962A0" w:rsidRDefault="008962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270" w:rsidRDefault="00C15270">
      <w:r>
        <w:separator/>
      </w:r>
    </w:p>
  </w:footnote>
  <w:footnote w:type="continuationSeparator" w:id="0">
    <w:p w:rsidR="00C15270" w:rsidRDefault="00C152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C0A5C"/>
    <w:multiLevelType w:val="hybridMultilevel"/>
    <w:tmpl w:val="16063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B0107"/>
    <w:rsid w:val="000033E0"/>
    <w:rsid w:val="00007A9A"/>
    <w:rsid w:val="00007C98"/>
    <w:rsid w:val="00014525"/>
    <w:rsid w:val="000147B8"/>
    <w:rsid w:val="00014BB6"/>
    <w:rsid w:val="00022A3A"/>
    <w:rsid w:val="000244CE"/>
    <w:rsid w:val="000268C1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446E"/>
    <w:rsid w:val="00055337"/>
    <w:rsid w:val="00056E55"/>
    <w:rsid w:val="00061D6C"/>
    <w:rsid w:val="000639B5"/>
    <w:rsid w:val="00065156"/>
    <w:rsid w:val="00066E2C"/>
    <w:rsid w:val="00070C75"/>
    <w:rsid w:val="0007263E"/>
    <w:rsid w:val="000806B6"/>
    <w:rsid w:val="00081A30"/>
    <w:rsid w:val="00081FAB"/>
    <w:rsid w:val="000820C0"/>
    <w:rsid w:val="000912B6"/>
    <w:rsid w:val="00091A64"/>
    <w:rsid w:val="0009489E"/>
    <w:rsid w:val="000968A6"/>
    <w:rsid w:val="000A0ED5"/>
    <w:rsid w:val="000A5A17"/>
    <w:rsid w:val="000B0107"/>
    <w:rsid w:val="000B0A73"/>
    <w:rsid w:val="000B4A05"/>
    <w:rsid w:val="000B62F9"/>
    <w:rsid w:val="000B6A44"/>
    <w:rsid w:val="000C03F2"/>
    <w:rsid w:val="000C42CA"/>
    <w:rsid w:val="000C53C8"/>
    <w:rsid w:val="000D0334"/>
    <w:rsid w:val="000D1C28"/>
    <w:rsid w:val="000D295A"/>
    <w:rsid w:val="000D4EF5"/>
    <w:rsid w:val="000D5A20"/>
    <w:rsid w:val="000E3C82"/>
    <w:rsid w:val="000E5C13"/>
    <w:rsid w:val="000E5E51"/>
    <w:rsid w:val="000E665C"/>
    <w:rsid w:val="000E7153"/>
    <w:rsid w:val="000E74ED"/>
    <w:rsid w:val="000F2822"/>
    <w:rsid w:val="000F28C7"/>
    <w:rsid w:val="000F34C9"/>
    <w:rsid w:val="000F50B4"/>
    <w:rsid w:val="00100347"/>
    <w:rsid w:val="001006A9"/>
    <w:rsid w:val="00100F0C"/>
    <w:rsid w:val="00107EE7"/>
    <w:rsid w:val="001118B5"/>
    <w:rsid w:val="001140E0"/>
    <w:rsid w:val="00114BC7"/>
    <w:rsid w:val="001227BE"/>
    <w:rsid w:val="00125271"/>
    <w:rsid w:val="00126FEB"/>
    <w:rsid w:val="001316AE"/>
    <w:rsid w:val="00135006"/>
    <w:rsid w:val="00136E6F"/>
    <w:rsid w:val="001414FE"/>
    <w:rsid w:val="00143492"/>
    <w:rsid w:val="001434EE"/>
    <w:rsid w:val="001447AD"/>
    <w:rsid w:val="00145540"/>
    <w:rsid w:val="00151981"/>
    <w:rsid w:val="001558E1"/>
    <w:rsid w:val="00160329"/>
    <w:rsid w:val="001619B7"/>
    <w:rsid w:val="0016244D"/>
    <w:rsid w:val="0016488A"/>
    <w:rsid w:val="00165AD0"/>
    <w:rsid w:val="001665D0"/>
    <w:rsid w:val="00171712"/>
    <w:rsid w:val="001727F4"/>
    <w:rsid w:val="00173F6C"/>
    <w:rsid w:val="00174D90"/>
    <w:rsid w:val="0017663C"/>
    <w:rsid w:val="0017671C"/>
    <w:rsid w:val="00176C71"/>
    <w:rsid w:val="001771C6"/>
    <w:rsid w:val="001773E1"/>
    <w:rsid w:val="001779F8"/>
    <w:rsid w:val="00177AAE"/>
    <w:rsid w:val="00177EF8"/>
    <w:rsid w:val="00181E69"/>
    <w:rsid w:val="001839AC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2044"/>
    <w:rsid w:val="001B2D0C"/>
    <w:rsid w:val="001B601A"/>
    <w:rsid w:val="001B79AF"/>
    <w:rsid w:val="001C0549"/>
    <w:rsid w:val="001C1A62"/>
    <w:rsid w:val="001C3783"/>
    <w:rsid w:val="001D2F7D"/>
    <w:rsid w:val="001D3641"/>
    <w:rsid w:val="001D3D99"/>
    <w:rsid w:val="001D6231"/>
    <w:rsid w:val="001D7B33"/>
    <w:rsid w:val="001E520E"/>
    <w:rsid w:val="001E5B0C"/>
    <w:rsid w:val="001F0F28"/>
    <w:rsid w:val="001F2364"/>
    <w:rsid w:val="001F29AA"/>
    <w:rsid w:val="001F423A"/>
    <w:rsid w:val="001F44E6"/>
    <w:rsid w:val="001F5617"/>
    <w:rsid w:val="001F79D5"/>
    <w:rsid w:val="001F7EC3"/>
    <w:rsid w:val="00202AE6"/>
    <w:rsid w:val="00203E71"/>
    <w:rsid w:val="00205810"/>
    <w:rsid w:val="00207A9A"/>
    <w:rsid w:val="002112C8"/>
    <w:rsid w:val="00211F89"/>
    <w:rsid w:val="0021212F"/>
    <w:rsid w:val="002121CC"/>
    <w:rsid w:val="00212580"/>
    <w:rsid w:val="00212C54"/>
    <w:rsid w:val="00216B60"/>
    <w:rsid w:val="00217F80"/>
    <w:rsid w:val="00220DF8"/>
    <w:rsid w:val="00221E60"/>
    <w:rsid w:val="0022447C"/>
    <w:rsid w:val="00224A00"/>
    <w:rsid w:val="002277D6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5310D"/>
    <w:rsid w:val="00253BD9"/>
    <w:rsid w:val="00254B24"/>
    <w:rsid w:val="002551B0"/>
    <w:rsid w:val="0025694A"/>
    <w:rsid w:val="0026441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90516"/>
    <w:rsid w:val="002911B6"/>
    <w:rsid w:val="00291847"/>
    <w:rsid w:val="0029286F"/>
    <w:rsid w:val="00292A89"/>
    <w:rsid w:val="00296690"/>
    <w:rsid w:val="00296FA5"/>
    <w:rsid w:val="002A08D2"/>
    <w:rsid w:val="002A13A9"/>
    <w:rsid w:val="002A7BF4"/>
    <w:rsid w:val="002B2156"/>
    <w:rsid w:val="002B2375"/>
    <w:rsid w:val="002B6F18"/>
    <w:rsid w:val="002C20FD"/>
    <w:rsid w:val="002C2258"/>
    <w:rsid w:val="002C3925"/>
    <w:rsid w:val="002C5B4E"/>
    <w:rsid w:val="002C6D95"/>
    <w:rsid w:val="002D2C70"/>
    <w:rsid w:val="002D2CE3"/>
    <w:rsid w:val="002D3287"/>
    <w:rsid w:val="002D45BE"/>
    <w:rsid w:val="002D600D"/>
    <w:rsid w:val="002D703E"/>
    <w:rsid w:val="002E0227"/>
    <w:rsid w:val="002E2919"/>
    <w:rsid w:val="002E3F5D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0FC"/>
    <w:rsid w:val="00313860"/>
    <w:rsid w:val="0031441A"/>
    <w:rsid w:val="00314A7B"/>
    <w:rsid w:val="00321019"/>
    <w:rsid w:val="00321F88"/>
    <w:rsid w:val="00322131"/>
    <w:rsid w:val="00322C88"/>
    <w:rsid w:val="00323391"/>
    <w:rsid w:val="00323561"/>
    <w:rsid w:val="00323AD2"/>
    <w:rsid w:val="00324426"/>
    <w:rsid w:val="003255FC"/>
    <w:rsid w:val="0032602C"/>
    <w:rsid w:val="00334102"/>
    <w:rsid w:val="003365B3"/>
    <w:rsid w:val="00347269"/>
    <w:rsid w:val="0035077F"/>
    <w:rsid w:val="00352BF0"/>
    <w:rsid w:val="0035376C"/>
    <w:rsid w:val="0035384D"/>
    <w:rsid w:val="00354955"/>
    <w:rsid w:val="003555B8"/>
    <w:rsid w:val="00357BC1"/>
    <w:rsid w:val="0036282E"/>
    <w:rsid w:val="003635B2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3A62"/>
    <w:rsid w:val="003B468A"/>
    <w:rsid w:val="003C0107"/>
    <w:rsid w:val="003C2B0F"/>
    <w:rsid w:val="003D1A10"/>
    <w:rsid w:val="003D1B5B"/>
    <w:rsid w:val="003D3115"/>
    <w:rsid w:val="003D35F6"/>
    <w:rsid w:val="003D7079"/>
    <w:rsid w:val="003D7CF1"/>
    <w:rsid w:val="003E2359"/>
    <w:rsid w:val="003E389E"/>
    <w:rsid w:val="003E44A5"/>
    <w:rsid w:val="003E4B99"/>
    <w:rsid w:val="003E5F57"/>
    <w:rsid w:val="003F1AEC"/>
    <w:rsid w:val="003F482B"/>
    <w:rsid w:val="003F4E95"/>
    <w:rsid w:val="003F61D1"/>
    <w:rsid w:val="0040079B"/>
    <w:rsid w:val="00400AE8"/>
    <w:rsid w:val="00401965"/>
    <w:rsid w:val="00401BE6"/>
    <w:rsid w:val="00413C6A"/>
    <w:rsid w:val="0041404C"/>
    <w:rsid w:val="00416036"/>
    <w:rsid w:val="004165FB"/>
    <w:rsid w:val="0042217F"/>
    <w:rsid w:val="00422901"/>
    <w:rsid w:val="0042454B"/>
    <w:rsid w:val="00424CEE"/>
    <w:rsid w:val="00424DD0"/>
    <w:rsid w:val="004262DC"/>
    <w:rsid w:val="00430DCA"/>
    <w:rsid w:val="00431530"/>
    <w:rsid w:val="004338C3"/>
    <w:rsid w:val="0043560F"/>
    <w:rsid w:val="00435AD2"/>
    <w:rsid w:val="00436F39"/>
    <w:rsid w:val="0043777F"/>
    <w:rsid w:val="0044059E"/>
    <w:rsid w:val="004421FC"/>
    <w:rsid w:val="00443544"/>
    <w:rsid w:val="004449E9"/>
    <w:rsid w:val="00445766"/>
    <w:rsid w:val="00451FDC"/>
    <w:rsid w:val="00465BA4"/>
    <w:rsid w:val="00466701"/>
    <w:rsid w:val="0046746D"/>
    <w:rsid w:val="00471A72"/>
    <w:rsid w:val="00475EC8"/>
    <w:rsid w:val="00481E8E"/>
    <w:rsid w:val="004843BF"/>
    <w:rsid w:val="00486E25"/>
    <w:rsid w:val="004929AE"/>
    <w:rsid w:val="00494CBC"/>
    <w:rsid w:val="00496ACD"/>
    <w:rsid w:val="00497C93"/>
    <w:rsid w:val="00497DCE"/>
    <w:rsid w:val="004A73AA"/>
    <w:rsid w:val="004A7408"/>
    <w:rsid w:val="004B0507"/>
    <w:rsid w:val="004B1792"/>
    <w:rsid w:val="004B1C40"/>
    <w:rsid w:val="004B22B6"/>
    <w:rsid w:val="004B2595"/>
    <w:rsid w:val="004B5CD6"/>
    <w:rsid w:val="004C0930"/>
    <w:rsid w:val="004C1B25"/>
    <w:rsid w:val="004C3658"/>
    <w:rsid w:val="004C4AD1"/>
    <w:rsid w:val="004D0429"/>
    <w:rsid w:val="004D2055"/>
    <w:rsid w:val="004D2449"/>
    <w:rsid w:val="004D24DE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4F605B"/>
    <w:rsid w:val="00502A0D"/>
    <w:rsid w:val="005046D0"/>
    <w:rsid w:val="00505301"/>
    <w:rsid w:val="005061AB"/>
    <w:rsid w:val="00507FF5"/>
    <w:rsid w:val="0051198E"/>
    <w:rsid w:val="00511F46"/>
    <w:rsid w:val="0051243C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3256D"/>
    <w:rsid w:val="00533039"/>
    <w:rsid w:val="00536487"/>
    <w:rsid w:val="005376F9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1E65"/>
    <w:rsid w:val="005B2C7A"/>
    <w:rsid w:val="005B2D35"/>
    <w:rsid w:val="005B39C3"/>
    <w:rsid w:val="005B4ABC"/>
    <w:rsid w:val="005B4D6E"/>
    <w:rsid w:val="005B5CC7"/>
    <w:rsid w:val="005B6846"/>
    <w:rsid w:val="005C5B34"/>
    <w:rsid w:val="005D2C9D"/>
    <w:rsid w:val="005D367C"/>
    <w:rsid w:val="005D3A43"/>
    <w:rsid w:val="005D3C46"/>
    <w:rsid w:val="005D650F"/>
    <w:rsid w:val="005D6AD5"/>
    <w:rsid w:val="005D6CA2"/>
    <w:rsid w:val="005E1E36"/>
    <w:rsid w:val="005E349D"/>
    <w:rsid w:val="005E525D"/>
    <w:rsid w:val="005E59F9"/>
    <w:rsid w:val="005F0C59"/>
    <w:rsid w:val="005F1B37"/>
    <w:rsid w:val="005F3967"/>
    <w:rsid w:val="005F4497"/>
    <w:rsid w:val="005F449A"/>
    <w:rsid w:val="005F567A"/>
    <w:rsid w:val="00603D13"/>
    <w:rsid w:val="00610BA5"/>
    <w:rsid w:val="00611F38"/>
    <w:rsid w:val="00620DD3"/>
    <w:rsid w:val="00626991"/>
    <w:rsid w:val="00635E82"/>
    <w:rsid w:val="00640313"/>
    <w:rsid w:val="00640591"/>
    <w:rsid w:val="006405D4"/>
    <w:rsid w:val="00642E0B"/>
    <w:rsid w:val="0064358A"/>
    <w:rsid w:val="006469CA"/>
    <w:rsid w:val="00646F99"/>
    <w:rsid w:val="00647794"/>
    <w:rsid w:val="00650D67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05AC"/>
    <w:rsid w:val="006910A8"/>
    <w:rsid w:val="00692938"/>
    <w:rsid w:val="00696D0D"/>
    <w:rsid w:val="006A0FD1"/>
    <w:rsid w:val="006A39E5"/>
    <w:rsid w:val="006A4BB5"/>
    <w:rsid w:val="006B18B1"/>
    <w:rsid w:val="006B4CDC"/>
    <w:rsid w:val="006B603F"/>
    <w:rsid w:val="006B73DF"/>
    <w:rsid w:val="006C2BB5"/>
    <w:rsid w:val="006C76AC"/>
    <w:rsid w:val="006C7E2E"/>
    <w:rsid w:val="006D26FC"/>
    <w:rsid w:val="006D27D8"/>
    <w:rsid w:val="006D38AC"/>
    <w:rsid w:val="006D3E31"/>
    <w:rsid w:val="006D4274"/>
    <w:rsid w:val="006D453D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3C55"/>
    <w:rsid w:val="006F413D"/>
    <w:rsid w:val="006F575A"/>
    <w:rsid w:val="006F64E7"/>
    <w:rsid w:val="0070033E"/>
    <w:rsid w:val="007025DA"/>
    <w:rsid w:val="00702BCB"/>
    <w:rsid w:val="00704A32"/>
    <w:rsid w:val="007054B0"/>
    <w:rsid w:val="0070595F"/>
    <w:rsid w:val="007072BF"/>
    <w:rsid w:val="00712BC6"/>
    <w:rsid w:val="007172F5"/>
    <w:rsid w:val="00725DA1"/>
    <w:rsid w:val="007303DE"/>
    <w:rsid w:val="00731E03"/>
    <w:rsid w:val="00731F71"/>
    <w:rsid w:val="007370CD"/>
    <w:rsid w:val="00740551"/>
    <w:rsid w:val="00740A94"/>
    <w:rsid w:val="00740AC4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28F1"/>
    <w:rsid w:val="00783A68"/>
    <w:rsid w:val="00783DE5"/>
    <w:rsid w:val="00785EA0"/>
    <w:rsid w:val="0079134F"/>
    <w:rsid w:val="0079181B"/>
    <w:rsid w:val="00792D6D"/>
    <w:rsid w:val="00796E57"/>
    <w:rsid w:val="007A1F93"/>
    <w:rsid w:val="007A21DB"/>
    <w:rsid w:val="007A5D07"/>
    <w:rsid w:val="007B0A64"/>
    <w:rsid w:val="007B6E11"/>
    <w:rsid w:val="007B7981"/>
    <w:rsid w:val="007C0410"/>
    <w:rsid w:val="007C2CD1"/>
    <w:rsid w:val="007C3125"/>
    <w:rsid w:val="007C3F82"/>
    <w:rsid w:val="007C4527"/>
    <w:rsid w:val="007C7548"/>
    <w:rsid w:val="007C7D08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A2B"/>
    <w:rsid w:val="007F2DF7"/>
    <w:rsid w:val="007F3181"/>
    <w:rsid w:val="007F5A75"/>
    <w:rsid w:val="007F6A27"/>
    <w:rsid w:val="008021F0"/>
    <w:rsid w:val="008024BA"/>
    <w:rsid w:val="00804643"/>
    <w:rsid w:val="00805824"/>
    <w:rsid w:val="008073AC"/>
    <w:rsid w:val="00810935"/>
    <w:rsid w:val="00825360"/>
    <w:rsid w:val="00825402"/>
    <w:rsid w:val="0082662A"/>
    <w:rsid w:val="0082662B"/>
    <w:rsid w:val="008312EE"/>
    <w:rsid w:val="00832B1A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7D11"/>
    <w:rsid w:val="00890639"/>
    <w:rsid w:val="008962A0"/>
    <w:rsid w:val="008A413F"/>
    <w:rsid w:val="008A7504"/>
    <w:rsid w:val="008B0CFF"/>
    <w:rsid w:val="008B5A0F"/>
    <w:rsid w:val="008B63B8"/>
    <w:rsid w:val="008B7815"/>
    <w:rsid w:val="008C19A9"/>
    <w:rsid w:val="008C3122"/>
    <w:rsid w:val="008C4267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150BB"/>
    <w:rsid w:val="009172A8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2A8C"/>
    <w:rsid w:val="00944C65"/>
    <w:rsid w:val="00950D1A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B57"/>
    <w:rsid w:val="00975001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FA2"/>
    <w:rsid w:val="009B3A99"/>
    <w:rsid w:val="009B3BE2"/>
    <w:rsid w:val="009B4D97"/>
    <w:rsid w:val="009C2103"/>
    <w:rsid w:val="009C3D73"/>
    <w:rsid w:val="009C594A"/>
    <w:rsid w:val="009C7284"/>
    <w:rsid w:val="009D5A95"/>
    <w:rsid w:val="009D5AAA"/>
    <w:rsid w:val="009E38D8"/>
    <w:rsid w:val="009E5A59"/>
    <w:rsid w:val="009E6F64"/>
    <w:rsid w:val="009E7231"/>
    <w:rsid w:val="009F0DA5"/>
    <w:rsid w:val="009F0E85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33A83"/>
    <w:rsid w:val="00A35DCF"/>
    <w:rsid w:val="00A371AD"/>
    <w:rsid w:val="00A374BB"/>
    <w:rsid w:val="00A378EF"/>
    <w:rsid w:val="00A42FE6"/>
    <w:rsid w:val="00A454F1"/>
    <w:rsid w:val="00A45765"/>
    <w:rsid w:val="00A46DDE"/>
    <w:rsid w:val="00A50643"/>
    <w:rsid w:val="00A53C31"/>
    <w:rsid w:val="00A55291"/>
    <w:rsid w:val="00A5591D"/>
    <w:rsid w:val="00A56034"/>
    <w:rsid w:val="00A57297"/>
    <w:rsid w:val="00A61129"/>
    <w:rsid w:val="00A620D5"/>
    <w:rsid w:val="00A67EC1"/>
    <w:rsid w:val="00A737EF"/>
    <w:rsid w:val="00A748E7"/>
    <w:rsid w:val="00A76954"/>
    <w:rsid w:val="00A80179"/>
    <w:rsid w:val="00A809A1"/>
    <w:rsid w:val="00A8187D"/>
    <w:rsid w:val="00A8660D"/>
    <w:rsid w:val="00A86818"/>
    <w:rsid w:val="00A9669C"/>
    <w:rsid w:val="00A96A24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C0441"/>
    <w:rsid w:val="00AC07D6"/>
    <w:rsid w:val="00AC75C6"/>
    <w:rsid w:val="00AD17EF"/>
    <w:rsid w:val="00AD2D52"/>
    <w:rsid w:val="00AD50C2"/>
    <w:rsid w:val="00AE2ADB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4A47"/>
    <w:rsid w:val="00B056F6"/>
    <w:rsid w:val="00B05C3F"/>
    <w:rsid w:val="00B067DE"/>
    <w:rsid w:val="00B077F1"/>
    <w:rsid w:val="00B101A8"/>
    <w:rsid w:val="00B10707"/>
    <w:rsid w:val="00B11C7B"/>
    <w:rsid w:val="00B141E5"/>
    <w:rsid w:val="00B143DD"/>
    <w:rsid w:val="00B1477A"/>
    <w:rsid w:val="00B173DB"/>
    <w:rsid w:val="00B22B2C"/>
    <w:rsid w:val="00B2310F"/>
    <w:rsid w:val="00B24039"/>
    <w:rsid w:val="00B264AF"/>
    <w:rsid w:val="00B26600"/>
    <w:rsid w:val="00B26693"/>
    <w:rsid w:val="00B3025D"/>
    <w:rsid w:val="00B33056"/>
    <w:rsid w:val="00B35A8C"/>
    <w:rsid w:val="00B368F3"/>
    <w:rsid w:val="00B40285"/>
    <w:rsid w:val="00B4146A"/>
    <w:rsid w:val="00B41F8E"/>
    <w:rsid w:val="00B42C5D"/>
    <w:rsid w:val="00B42FD7"/>
    <w:rsid w:val="00B431B9"/>
    <w:rsid w:val="00B4579A"/>
    <w:rsid w:val="00B508FB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C6D19"/>
    <w:rsid w:val="00BD1B6A"/>
    <w:rsid w:val="00BD381B"/>
    <w:rsid w:val="00BD41EE"/>
    <w:rsid w:val="00BD4C29"/>
    <w:rsid w:val="00BD69A9"/>
    <w:rsid w:val="00BE014E"/>
    <w:rsid w:val="00BE7B6E"/>
    <w:rsid w:val="00BF0695"/>
    <w:rsid w:val="00BF1A8A"/>
    <w:rsid w:val="00BF6C30"/>
    <w:rsid w:val="00C003E4"/>
    <w:rsid w:val="00C00821"/>
    <w:rsid w:val="00C020DE"/>
    <w:rsid w:val="00C04AE9"/>
    <w:rsid w:val="00C10018"/>
    <w:rsid w:val="00C10A46"/>
    <w:rsid w:val="00C12DA5"/>
    <w:rsid w:val="00C15270"/>
    <w:rsid w:val="00C1561A"/>
    <w:rsid w:val="00C157FD"/>
    <w:rsid w:val="00C1583F"/>
    <w:rsid w:val="00C1649F"/>
    <w:rsid w:val="00C168A7"/>
    <w:rsid w:val="00C22586"/>
    <w:rsid w:val="00C23A13"/>
    <w:rsid w:val="00C24A3D"/>
    <w:rsid w:val="00C26040"/>
    <w:rsid w:val="00C27962"/>
    <w:rsid w:val="00C308EE"/>
    <w:rsid w:val="00C32797"/>
    <w:rsid w:val="00C35EB6"/>
    <w:rsid w:val="00C372F7"/>
    <w:rsid w:val="00C40110"/>
    <w:rsid w:val="00C4255F"/>
    <w:rsid w:val="00C46772"/>
    <w:rsid w:val="00C46BBD"/>
    <w:rsid w:val="00C51D23"/>
    <w:rsid w:val="00C545F7"/>
    <w:rsid w:val="00C54769"/>
    <w:rsid w:val="00C569B2"/>
    <w:rsid w:val="00C60395"/>
    <w:rsid w:val="00C60970"/>
    <w:rsid w:val="00C6145B"/>
    <w:rsid w:val="00C61C96"/>
    <w:rsid w:val="00C63D17"/>
    <w:rsid w:val="00C63DCE"/>
    <w:rsid w:val="00C72A39"/>
    <w:rsid w:val="00C756AE"/>
    <w:rsid w:val="00C757C7"/>
    <w:rsid w:val="00C80152"/>
    <w:rsid w:val="00C821D8"/>
    <w:rsid w:val="00C82529"/>
    <w:rsid w:val="00C91D87"/>
    <w:rsid w:val="00C97D87"/>
    <w:rsid w:val="00CA1288"/>
    <w:rsid w:val="00CA3BE9"/>
    <w:rsid w:val="00CA429B"/>
    <w:rsid w:val="00CA6F55"/>
    <w:rsid w:val="00CB0863"/>
    <w:rsid w:val="00CB12C2"/>
    <w:rsid w:val="00CB2062"/>
    <w:rsid w:val="00CB46E7"/>
    <w:rsid w:val="00CC1709"/>
    <w:rsid w:val="00CC4669"/>
    <w:rsid w:val="00CC5BF1"/>
    <w:rsid w:val="00CD1059"/>
    <w:rsid w:val="00CD11F7"/>
    <w:rsid w:val="00CD42C0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F1090"/>
    <w:rsid w:val="00CF6876"/>
    <w:rsid w:val="00D00486"/>
    <w:rsid w:val="00D056EF"/>
    <w:rsid w:val="00D1224F"/>
    <w:rsid w:val="00D145FB"/>
    <w:rsid w:val="00D16931"/>
    <w:rsid w:val="00D17CCC"/>
    <w:rsid w:val="00D20111"/>
    <w:rsid w:val="00D25E04"/>
    <w:rsid w:val="00D31167"/>
    <w:rsid w:val="00D315CA"/>
    <w:rsid w:val="00D3284C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522E6"/>
    <w:rsid w:val="00D571D0"/>
    <w:rsid w:val="00D6067D"/>
    <w:rsid w:val="00D644F8"/>
    <w:rsid w:val="00D65204"/>
    <w:rsid w:val="00D66186"/>
    <w:rsid w:val="00D66B4C"/>
    <w:rsid w:val="00D734A1"/>
    <w:rsid w:val="00D74FDB"/>
    <w:rsid w:val="00D8276C"/>
    <w:rsid w:val="00D84B42"/>
    <w:rsid w:val="00D854D8"/>
    <w:rsid w:val="00D873B5"/>
    <w:rsid w:val="00D87BA4"/>
    <w:rsid w:val="00D93BFE"/>
    <w:rsid w:val="00D94588"/>
    <w:rsid w:val="00D95C97"/>
    <w:rsid w:val="00D9614C"/>
    <w:rsid w:val="00D96605"/>
    <w:rsid w:val="00D96C00"/>
    <w:rsid w:val="00D976FE"/>
    <w:rsid w:val="00DA569D"/>
    <w:rsid w:val="00DC3DD6"/>
    <w:rsid w:val="00DD00DD"/>
    <w:rsid w:val="00DD09BF"/>
    <w:rsid w:val="00DD2DC9"/>
    <w:rsid w:val="00DD342C"/>
    <w:rsid w:val="00DD42F8"/>
    <w:rsid w:val="00DE642B"/>
    <w:rsid w:val="00DE6A9F"/>
    <w:rsid w:val="00DE7DF6"/>
    <w:rsid w:val="00DF1A45"/>
    <w:rsid w:val="00DF2C7D"/>
    <w:rsid w:val="00DF2D14"/>
    <w:rsid w:val="00DF3752"/>
    <w:rsid w:val="00DF3E21"/>
    <w:rsid w:val="00DF42FD"/>
    <w:rsid w:val="00DF7563"/>
    <w:rsid w:val="00DF75D9"/>
    <w:rsid w:val="00DF776A"/>
    <w:rsid w:val="00E009B3"/>
    <w:rsid w:val="00E068C7"/>
    <w:rsid w:val="00E06EEE"/>
    <w:rsid w:val="00E07E9A"/>
    <w:rsid w:val="00E12FAD"/>
    <w:rsid w:val="00E17BB4"/>
    <w:rsid w:val="00E213AE"/>
    <w:rsid w:val="00E2172E"/>
    <w:rsid w:val="00E23512"/>
    <w:rsid w:val="00E23D48"/>
    <w:rsid w:val="00E242A3"/>
    <w:rsid w:val="00E2479C"/>
    <w:rsid w:val="00E26E1C"/>
    <w:rsid w:val="00E272FA"/>
    <w:rsid w:val="00E32B0F"/>
    <w:rsid w:val="00E345AE"/>
    <w:rsid w:val="00E36B90"/>
    <w:rsid w:val="00E4144E"/>
    <w:rsid w:val="00E42705"/>
    <w:rsid w:val="00E47503"/>
    <w:rsid w:val="00E50B6C"/>
    <w:rsid w:val="00E50B74"/>
    <w:rsid w:val="00E51D6E"/>
    <w:rsid w:val="00E51EE1"/>
    <w:rsid w:val="00E52237"/>
    <w:rsid w:val="00E61911"/>
    <w:rsid w:val="00E70761"/>
    <w:rsid w:val="00E7340D"/>
    <w:rsid w:val="00E759B9"/>
    <w:rsid w:val="00E8121A"/>
    <w:rsid w:val="00E91BB0"/>
    <w:rsid w:val="00EA048E"/>
    <w:rsid w:val="00EA0A8C"/>
    <w:rsid w:val="00EA10F1"/>
    <w:rsid w:val="00EA20AB"/>
    <w:rsid w:val="00EA41F2"/>
    <w:rsid w:val="00EA4F14"/>
    <w:rsid w:val="00EA50CB"/>
    <w:rsid w:val="00EA58B2"/>
    <w:rsid w:val="00EA7205"/>
    <w:rsid w:val="00EB030E"/>
    <w:rsid w:val="00EB2587"/>
    <w:rsid w:val="00EC357B"/>
    <w:rsid w:val="00EC3F14"/>
    <w:rsid w:val="00EC407D"/>
    <w:rsid w:val="00ED0078"/>
    <w:rsid w:val="00ED15ED"/>
    <w:rsid w:val="00ED6A1C"/>
    <w:rsid w:val="00ED7A30"/>
    <w:rsid w:val="00ED7BD0"/>
    <w:rsid w:val="00EE0447"/>
    <w:rsid w:val="00EE0BA7"/>
    <w:rsid w:val="00EE2B43"/>
    <w:rsid w:val="00EE4E26"/>
    <w:rsid w:val="00EE5702"/>
    <w:rsid w:val="00EE7197"/>
    <w:rsid w:val="00EF14F2"/>
    <w:rsid w:val="00EF74AB"/>
    <w:rsid w:val="00F0242C"/>
    <w:rsid w:val="00F0420F"/>
    <w:rsid w:val="00F04352"/>
    <w:rsid w:val="00F07659"/>
    <w:rsid w:val="00F1345B"/>
    <w:rsid w:val="00F14393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31E4"/>
    <w:rsid w:val="00F357AC"/>
    <w:rsid w:val="00F3698A"/>
    <w:rsid w:val="00F42495"/>
    <w:rsid w:val="00F47AA3"/>
    <w:rsid w:val="00F50811"/>
    <w:rsid w:val="00F50D92"/>
    <w:rsid w:val="00F515C5"/>
    <w:rsid w:val="00F51BB1"/>
    <w:rsid w:val="00F535BF"/>
    <w:rsid w:val="00F54CD5"/>
    <w:rsid w:val="00F54E9A"/>
    <w:rsid w:val="00F55940"/>
    <w:rsid w:val="00F55BF9"/>
    <w:rsid w:val="00F55CE7"/>
    <w:rsid w:val="00F60E5D"/>
    <w:rsid w:val="00F65E36"/>
    <w:rsid w:val="00F6707D"/>
    <w:rsid w:val="00F67F03"/>
    <w:rsid w:val="00F7319B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96816"/>
    <w:rsid w:val="00FA0997"/>
    <w:rsid w:val="00FA0C57"/>
    <w:rsid w:val="00FA193B"/>
    <w:rsid w:val="00FA3DE5"/>
    <w:rsid w:val="00FA4BE8"/>
    <w:rsid w:val="00FA6924"/>
    <w:rsid w:val="00FB4E5A"/>
    <w:rsid w:val="00FB703A"/>
    <w:rsid w:val="00FC21BA"/>
    <w:rsid w:val="00FC72C8"/>
    <w:rsid w:val="00FD334D"/>
    <w:rsid w:val="00FD3411"/>
    <w:rsid w:val="00FD4CB5"/>
    <w:rsid w:val="00FD61F6"/>
    <w:rsid w:val="00FD657B"/>
    <w:rsid w:val="00FE0829"/>
    <w:rsid w:val="00FE5909"/>
    <w:rsid w:val="00FF056D"/>
    <w:rsid w:val="00FF7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sid w:val="007C7548"/>
    <w:rPr>
      <w:rFonts w:cs="Traditional Arabic"/>
      <w:snapToGrid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E707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761"/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semiHidden/>
    <w:rsid w:val="00E70761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7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70761"/>
    <w:rPr>
      <w:b/>
      <w:bCs/>
      <w:lang w:eastAsia="ar-SA"/>
    </w:rPr>
  </w:style>
  <w:style w:type="paragraph" w:styleId="NormalWeb">
    <w:name w:val="Normal (Web)"/>
    <w:basedOn w:val="Normal"/>
    <w:uiPriority w:val="99"/>
    <w:unhideWhenUsed/>
    <w:rsid w:val="00091A64"/>
    <w:pPr>
      <w:bidi w:val="0"/>
      <w:spacing w:before="100" w:beforeAutospacing="1" w:after="119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rsid w:val="008962A0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3B82C-41AB-435B-B5E9-BEF6748D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adwikat</cp:lastModifiedBy>
  <cp:revision>2</cp:revision>
  <cp:lastPrinted>2020-02-02T05:22:00Z</cp:lastPrinted>
  <dcterms:created xsi:type="dcterms:W3CDTF">2020-07-05T07:12:00Z</dcterms:created>
  <dcterms:modified xsi:type="dcterms:W3CDTF">2020-07-05T07:12:00Z</dcterms:modified>
</cp:coreProperties>
</file>