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D370C" w14:textId="77777777" w:rsidR="00B879B3" w:rsidRDefault="00B879B3" w:rsidP="000B57B9">
      <w:pPr>
        <w:bidi w:val="0"/>
        <w:jc w:val="center"/>
        <w:rPr>
          <w:rFonts w:ascii="Times New Roman" w:hAnsi="Times New Roman"/>
          <w:b/>
          <w:bCs/>
          <w:sz w:val="28"/>
          <w:szCs w:val="28"/>
          <w:rtl/>
        </w:rPr>
      </w:pPr>
    </w:p>
    <w:p w14:paraId="57920D43" w14:textId="77777777" w:rsidR="00B879B3" w:rsidRDefault="00B879B3" w:rsidP="00B879B3">
      <w:pPr>
        <w:bidi w:val="0"/>
        <w:jc w:val="center"/>
        <w:rPr>
          <w:rFonts w:ascii="Times New Roman" w:hAnsi="Times New Roman"/>
          <w:b/>
          <w:bCs/>
          <w:sz w:val="28"/>
          <w:szCs w:val="28"/>
          <w:rtl/>
        </w:rPr>
      </w:pPr>
    </w:p>
    <w:p w14:paraId="10AC4912" w14:textId="700DAC25" w:rsidR="00A35DCB" w:rsidRPr="000B57B9" w:rsidRDefault="00A35DCB" w:rsidP="00B879B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79B3">
        <w:rPr>
          <w:rFonts w:ascii="Times New Roman" w:hAnsi="Times New Roman"/>
          <w:b/>
          <w:bCs/>
          <w:sz w:val="32"/>
          <w:szCs w:val="32"/>
        </w:rPr>
        <w:t xml:space="preserve">H.E. Dr. Awad, highlights the Palestinian children's situation on the </w:t>
      </w:r>
      <w:r w:rsidRPr="00B879B3">
        <w:rPr>
          <w:rFonts w:ascii="Times New Roman" w:hAnsi="Times New Roman" w:cs="Times New Roman"/>
          <w:b/>
          <w:bCs/>
          <w:sz w:val="32"/>
          <w:szCs w:val="32"/>
        </w:rPr>
        <w:t xml:space="preserve">Occasion of </w:t>
      </w:r>
      <w:r w:rsidRPr="00B879B3">
        <w:rPr>
          <w:rFonts w:ascii="Times New Roman" w:hAnsi="Times New Roman"/>
          <w:b/>
          <w:bCs/>
          <w:sz w:val="32"/>
          <w:szCs w:val="32"/>
        </w:rPr>
        <w:t>the Palestinian Child Day, 05/04/202</w:t>
      </w:r>
      <w:r w:rsidR="00C47886" w:rsidRPr="00B879B3">
        <w:rPr>
          <w:rFonts w:ascii="Times New Roman" w:hAnsi="Times New Roman"/>
          <w:b/>
          <w:bCs/>
          <w:sz w:val="32"/>
          <w:szCs w:val="32"/>
        </w:rPr>
        <w:t>1</w:t>
      </w:r>
      <w:r w:rsidRPr="000B57B9">
        <w:rPr>
          <w:rFonts w:ascii="Times New Roman" w:hAnsi="Times New Roman"/>
          <w:b/>
          <w:bCs/>
          <w:sz w:val="28"/>
          <w:szCs w:val="28"/>
        </w:rPr>
        <w:t>.</w:t>
      </w:r>
    </w:p>
    <w:p w14:paraId="3C7C029F" w14:textId="0F5A2400" w:rsidR="00A35DCB" w:rsidRPr="000B57B9" w:rsidRDefault="00A35DCB" w:rsidP="000B57B9">
      <w:pPr>
        <w:tabs>
          <w:tab w:val="left" w:pos="4260"/>
        </w:tabs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7C7D5863" w14:textId="7084DDE9" w:rsidR="00A35DCB" w:rsidRPr="000B57B9" w:rsidRDefault="00A35DCB" w:rsidP="000B57B9">
      <w:pPr>
        <w:tabs>
          <w:tab w:val="right" w:pos="4678"/>
        </w:tabs>
        <w:bidi w:val="0"/>
        <w:jc w:val="center"/>
        <w:rPr>
          <w:rFonts w:ascii="Arial" w:hAnsi="Arial"/>
          <w:b/>
          <w:bCs/>
          <w:sz w:val="28"/>
          <w:szCs w:val="28"/>
        </w:rPr>
      </w:pPr>
      <w:r w:rsidRPr="000B57B9">
        <w:rPr>
          <w:rFonts w:ascii="Times New Roman" w:hAnsi="Times New Roman"/>
          <w:b/>
          <w:bCs/>
          <w:sz w:val="28"/>
          <w:szCs w:val="28"/>
        </w:rPr>
        <w:t xml:space="preserve">H.E. Dr. Ola Awad, President of the  Palestinian Central Bureau of Statistics </w:t>
      </w:r>
      <w:r w:rsidR="00BF53EB" w:rsidRPr="000B57B9">
        <w:rPr>
          <w:rFonts w:ascii="Times New Roman" w:hAnsi="Times New Roman"/>
          <w:b/>
          <w:bCs/>
          <w:sz w:val="28"/>
          <w:szCs w:val="28"/>
        </w:rPr>
        <w:t>(</w:t>
      </w:r>
      <w:r w:rsidRPr="000B57B9">
        <w:rPr>
          <w:rFonts w:ascii="Times New Roman" w:hAnsi="Times New Roman"/>
          <w:b/>
          <w:bCs/>
          <w:sz w:val="28"/>
          <w:szCs w:val="28"/>
        </w:rPr>
        <w:t>PCBS</w:t>
      </w:r>
      <w:r w:rsidR="00BF53EB" w:rsidRPr="000B57B9">
        <w:rPr>
          <w:rFonts w:ascii="Times New Roman" w:hAnsi="Times New Roman"/>
          <w:b/>
          <w:bCs/>
          <w:sz w:val="28"/>
          <w:szCs w:val="28"/>
        </w:rPr>
        <w:t xml:space="preserve">), </w:t>
      </w:r>
      <w:r w:rsidRPr="000B57B9">
        <w:rPr>
          <w:rFonts w:ascii="Times New Roman" w:hAnsi="Times New Roman"/>
          <w:b/>
          <w:bCs/>
          <w:sz w:val="28"/>
          <w:szCs w:val="28"/>
        </w:rPr>
        <w:t xml:space="preserve">highlighted the Palestinian children's situation on the </w:t>
      </w:r>
      <w:r w:rsidRPr="000B57B9">
        <w:rPr>
          <w:rFonts w:ascii="Times New Roman" w:hAnsi="Times New Roman" w:cs="Times New Roman"/>
          <w:b/>
          <w:bCs/>
          <w:sz w:val="28"/>
          <w:szCs w:val="28"/>
        </w:rPr>
        <w:t xml:space="preserve">Occasion </w:t>
      </w:r>
      <w:r w:rsidRPr="000B57B9">
        <w:rPr>
          <w:rFonts w:ascii="Times New Roman" w:hAnsi="Times New Roman"/>
          <w:b/>
          <w:bCs/>
          <w:sz w:val="28"/>
          <w:szCs w:val="28"/>
        </w:rPr>
        <w:t>of the Palestinian Child Day</w:t>
      </w:r>
      <w:r w:rsidR="00BF53EB" w:rsidRPr="000B57B9">
        <w:rPr>
          <w:rFonts w:ascii="Times New Roman" w:hAnsi="Times New Roman"/>
          <w:b/>
          <w:bCs/>
          <w:sz w:val="28"/>
          <w:szCs w:val="28"/>
        </w:rPr>
        <w:t xml:space="preserve"> marking Monday </w:t>
      </w:r>
      <w:r w:rsidRPr="000B57B9">
        <w:rPr>
          <w:rFonts w:ascii="Times New Roman" w:hAnsi="Times New Roman"/>
          <w:b/>
          <w:bCs/>
          <w:sz w:val="28"/>
          <w:szCs w:val="28"/>
        </w:rPr>
        <w:t>05/04/202</w:t>
      </w:r>
      <w:r w:rsidR="00C47886" w:rsidRPr="000B57B9">
        <w:rPr>
          <w:rFonts w:ascii="Times New Roman" w:hAnsi="Times New Roman"/>
          <w:b/>
          <w:bCs/>
          <w:sz w:val="28"/>
          <w:szCs w:val="28"/>
        </w:rPr>
        <w:t>1</w:t>
      </w:r>
      <w:r w:rsidRPr="000B57B9">
        <w:rPr>
          <w:rFonts w:ascii="Times New Roman" w:hAnsi="Times New Roman"/>
          <w:b/>
          <w:bCs/>
          <w:sz w:val="28"/>
          <w:szCs w:val="28"/>
        </w:rPr>
        <w:t>:</w:t>
      </w:r>
    </w:p>
    <w:p w14:paraId="6FB4CADE" w14:textId="77777777" w:rsidR="003A661B" w:rsidRPr="004B1042" w:rsidRDefault="00407518" w:rsidP="00A10A71">
      <w:pPr>
        <w:pStyle w:val="BodyText"/>
        <w:tabs>
          <w:tab w:val="left" w:pos="3456"/>
        </w:tabs>
        <w:bidi w:val="0"/>
        <w:jc w:val="both"/>
        <w:rPr>
          <w:rFonts w:cs="Times New Roman"/>
          <w:b/>
          <w:bCs/>
          <w:sz w:val="26"/>
          <w:szCs w:val="26"/>
        </w:rPr>
      </w:pPr>
      <w:bookmarkStart w:id="0" w:name="_GoBack"/>
      <w:bookmarkEnd w:id="0"/>
      <w:r w:rsidRPr="004B1042">
        <w:rPr>
          <w:rFonts w:cs="Times New Roman"/>
          <w:b/>
          <w:bCs/>
          <w:sz w:val="26"/>
          <w:szCs w:val="26"/>
        </w:rPr>
        <w:tab/>
      </w:r>
    </w:p>
    <w:p w14:paraId="05D79F10" w14:textId="55692554" w:rsidR="002B64B0" w:rsidRPr="00B879B3" w:rsidRDefault="003A661B" w:rsidP="00A10A71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Palestinians celebrate the Palestinian Child Day on the fifth of April each year. </w:t>
      </w:r>
      <w:r w:rsidR="00BF53EB" w:rsidRPr="00B879B3">
        <w:rPr>
          <w:rFonts w:asciiTheme="majorBidi" w:hAnsiTheme="majorBidi" w:cstheme="majorBidi"/>
          <w:sz w:val="26"/>
          <w:szCs w:val="26"/>
        </w:rPr>
        <w:t xml:space="preserve">They celebrate </w:t>
      </w:r>
      <w:r w:rsidRPr="00B879B3">
        <w:rPr>
          <w:rFonts w:asciiTheme="majorBidi" w:hAnsiTheme="majorBidi" w:cstheme="majorBidi"/>
          <w:sz w:val="26"/>
          <w:szCs w:val="26"/>
        </w:rPr>
        <w:t>the builders of the country</w:t>
      </w:r>
      <w:r w:rsidR="00CF190C" w:rsidRPr="00B879B3">
        <w:rPr>
          <w:rFonts w:asciiTheme="majorBidi" w:hAnsiTheme="majorBidi" w:cstheme="majorBidi"/>
          <w:sz w:val="26"/>
          <w:szCs w:val="26"/>
        </w:rPr>
        <w:t>,</w:t>
      </w:r>
      <w:r w:rsidRPr="00B879B3">
        <w:rPr>
          <w:rFonts w:asciiTheme="majorBidi" w:hAnsiTheme="majorBidi" w:cstheme="majorBidi"/>
          <w:sz w:val="26"/>
          <w:szCs w:val="26"/>
        </w:rPr>
        <w:t xml:space="preserve"> its greatest resource</w:t>
      </w:r>
      <w:r w:rsidR="00CF190C" w:rsidRPr="00B879B3">
        <w:rPr>
          <w:rFonts w:asciiTheme="majorBidi" w:hAnsiTheme="majorBidi" w:cstheme="majorBidi"/>
          <w:sz w:val="26"/>
          <w:szCs w:val="26"/>
        </w:rPr>
        <w:t xml:space="preserve">, </w:t>
      </w:r>
      <w:r w:rsidR="00A428CE" w:rsidRPr="00B879B3">
        <w:rPr>
          <w:rFonts w:asciiTheme="majorBidi" w:hAnsiTheme="majorBidi" w:cstheme="majorBidi"/>
          <w:sz w:val="26"/>
          <w:szCs w:val="26"/>
        </w:rPr>
        <w:t xml:space="preserve">and the wealth of the future. </w:t>
      </w:r>
      <w:r w:rsidR="00CF190C" w:rsidRPr="00B879B3">
        <w:rPr>
          <w:rFonts w:asciiTheme="majorBidi" w:hAnsiTheme="majorBidi" w:cstheme="majorBidi"/>
          <w:sz w:val="26"/>
          <w:szCs w:val="26"/>
        </w:rPr>
        <w:t xml:space="preserve">This day is about </w:t>
      </w:r>
      <w:r w:rsidR="00A428CE" w:rsidRPr="00B879B3">
        <w:rPr>
          <w:rFonts w:asciiTheme="majorBidi" w:hAnsiTheme="majorBidi" w:cstheme="majorBidi"/>
          <w:sz w:val="26"/>
          <w:szCs w:val="26"/>
        </w:rPr>
        <w:t>setting a new vision for a better future for every child.</w:t>
      </w:r>
    </w:p>
    <w:p w14:paraId="3BFDD864" w14:textId="77777777" w:rsidR="003A661B" w:rsidRPr="00B879B3" w:rsidRDefault="003A661B" w:rsidP="00A10A71">
      <w:pPr>
        <w:pStyle w:val="BodyText"/>
        <w:tabs>
          <w:tab w:val="left" w:pos="1215"/>
        </w:tabs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  <w:r w:rsidRPr="00B879B3">
        <w:rPr>
          <w:rFonts w:asciiTheme="majorBidi" w:hAnsiTheme="majorBidi" w:cstheme="majorBidi"/>
          <w:b/>
          <w:bCs/>
          <w:sz w:val="16"/>
          <w:szCs w:val="16"/>
        </w:rPr>
        <w:tab/>
      </w:r>
    </w:p>
    <w:p w14:paraId="42B1A2A9" w14:textId="2C2AA5CA" w:rsidR="00843AEF" w:rsidRPr="00B879B3" w:rsidRDefault="003A661B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Almost half of the Palestinian society are children </w:t>
      </w:r>
    </w:p>
    <w:p w14:paraId="33BA0E81" w14:textId="56FDC9B1" w:rsidR="003A661B" w:rsidRPr="00B879B3" w:rsidRDefault="00CF190C" w:rsidP="00A10A71">
      <w:pPr>
        <w:pStyle w:val="Normal1"/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879B3">
        <w:rPr>
          <w:rFonts w:asciiTheme="majorBidi" w:eastAsia="Times New Roman" w:hAnsiTheme="majorBidi" w:cstheme="majorBidi"/>
          <w:sz w:val="26"/>
          <w:szCs w:val="26"/>
        </w:rPr>
        <w:t>The e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>stimated number of children</w:t>
      </w:r>
      <w:r w:rsidR="003A661B" w:rsidRPr="00B879B3">
        <w:rPr>
          <w:rFonts w:asciiTheme="majorBidi" w:eastAsia="Times New Roman" w:hAnsiTheme="majorBidi" w:cstheme="majorBidi"/>
          <w:sz w:val="26"/>
          <w:szCs w:val="26"/>
          <w:vertAlign w:val="superscript"/>
        </w:rPr>
        <w:t xml:space="preserve"> 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>(under 18 years) is 2.</w:t>
      </w:r>
      <w:r w:rsidR="009731ED" w:rsidRPr="00B879B3">
        <w:rPr>
          <w:rFonts w:asciiTheme="majorBidi" w:eastAsia="Times New Roman" w:hAnsiTheme="majorBidi" w:cstheme="majorBidi"/>
          <w:sz w:val="26"/>
          <w:szCs w:val="26"/>
        </w:rPr>
        <w:t>31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 xml:space="preserve"> million in Palestine in mid 202</w:t>
      </w:r>
      <w:r w:rsidR="009731ED" w:rsidRPr="00B879B3">
        <w:rPr>
          <w:rFonts w:asciiTheme="majorBidi" w:eastAsia="Times New Roman" w:hAnsiTheme="majorBidi" w:cstheme="majorBidi"/>
          <w:sz w:val="26"/>
          <w:szCs w:val="26"/>
        </w:rPr>
        <w:t>1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>, with 1.1</w:t>
      </w:r>
      <w:r w:rsidR="009731ED" w:rsidRPr="00B879B3">
        <w:rPr>
          <w:rFonts w:asciiTheme="majorBidi" w:eastAsia="Times New Roman" w:hAnsiTheme="majorBidi" w:cstheme="majorBidi"/>
          <w:sz w:val="26"/>
          <w:szCs w:val="26"/>
        </w:rPr>
        <w:t>8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1E2D5A" w:rsidRPr="00B879B3">
        <w:rPr>
          <w:rFonts w:asciiTheme="majorBidi" w:eastAsia="Times New Roman" w:hAnsiTheme="majorBidi" w:cstheme="majorBidi"/>
          <w:sz w:val="26"/>
          <w:szCs w:val="26"/>
        </w:rPr>
        <w:t xml:space="preserve">million 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>males and 1.1</w:t>
      </w:r>
      <w:r w:rsidR="009731ED" w:rsidRPr="00B879B3">
        <w:rPr>
          <w:rFonts w:asciiTheme="majorBidi" w:eastAsia="Times New Roman" w:hAnsiTheme="majorBidi" w:cstheme="majorBidi"/>
          <w:sz w:val="26"/>
          <w:szCs w:val="26"/>
        </w:rPr>
        <w:t>3</w:t>
      </w:r>
      <w:r w:rsidR="001E2D5A" w:rsidRPr="00B879B3">
        <w:rPr>
          <w:rFonts w:asciiTheme="majorBidi" w:eastAsia="Times New Roman" w:hAnsiTheme="majorBidi" w:cstheme="majorBidi"/>
          <w:sz w:val="26"/>
          <w:szCs w:val="26"/>
        </w:rPr>
        <w:t xml:space="preserve"> million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 xml:space="preserve"> females. Children in Palestine comprise 4</w:t>
      </w:r>
      <w:r w:rsidR="009731ED" w:rsidRPr="00B879B3">
        <w:rPr>
          <w:rFonts w:asciiTheme="majorBidi" w:eastAsia="Times New Roman" w:hAnsiTheme="majorBidi" w:cstheme="majorBidi"/>
          <w:sz w:val="26"/>
          <w:szCs w:val="26"/>
        </w:rPr>
        <w:t>4.2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>% of the total population (42</w:t>
      </w:r>
      <w:r w:rsidR="00AE1A71" w:rsidRPr="00B879B3">
        <w:rPr>
          <w:rFonts w:asciiTheme="majorBidi" w:eastAsia="Times New Roman" w:hAnsiTheme="majorBidi" w:cstheme="majorBidi"/>
          <w:sz w:val="26"/>
          <w:szCs w:val="26"/>
        </w:rPr>
        <w:t>.0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>% in the West Bank, and 4</w:t>
      </w:r>
      <w:r w:rsidR="009731ED" w:rsidRPr="00B879B3">
        <w:rPr>
          <w:rFonts w:asciiTheme="majorBidi" w:eastAsia="Times New Roman" w:hAnsiTheme="majorBidi" w:cstheme="majorBidi"/>
          <w:sz w:val="26"/>
          <w:szCs w:val="26"/>
        </w:rPr>
        <w:t>7.5</w:t>
      </w:r>
      <w:r w:rsidR="003A661B" w:rsidRPr="00B879B3">
        <w:rPr>
          <w:rFonts w:asciiTheme="majorBidi" w:eastAsia="Times New Roman" w:hAnsiTheme="majorBidi" w:cstheme="majorBidi"/>
          <w:sz w:val="26"/>
          <w:szCs w:val="26"/>
        </w:rPr>
        <w:t xml:space="preserve">% in Gaza Strip). </w:t>
      </w:r>
    </w:p>
    <w:p w14:paraId="03CB2DEE" w14:textId="77777777" w:rsidR="00C962F6" w:rsidRPr="00B879B3" w:rsidRDefault="00C962F6" w:rsidP="00A10A71">
      <w:pPr>
        <w:pStyle w:val="Normal1"/>
        <w:bidi w:val="0"/>
        <w:jc w:val="both"/>
        <w:rPr>
          <w:rFonts w:asciiTheme="majorBidi" w:eastAsia="Times New Roman" w:hAnsiTheme="majorBidi" w:cstheme="majorBidi"/>
          <w:color w:val="FF0000"/>
          <w:sz w:val="16"/>
          <w:szCs w:val="16"/>
        </w:rPr>
      </w:pPr>
    </w:p>
    <w:p w14:paraId="24ADA661" w14:textId="04B5A792" w:rsidR="003A661B" w:rsidRDefault="003A661B" w:rsidP="00A10A71">
      <w:pPr>
        <w:pStyle w:val="Normal1"/>
        <w:bidi w:val="0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</w:rPr>
      </w:pPr>
      <w:r w:rsidRPr="00B879B3">
        <w:rPr>
          <w:rFonts w:asciiTheme="majorBidi" w:eastAsia="Times New Roman" w:hAnsiTheme="majorBidi" w:cstheme="majorBidi"/>
          <w:b/>
          <w:bCs/>
          <w:sz w:val="26"/>
          <w:szCs w:val="26"/>
        </w:rPr>
        <w:t>Number of children by age group, region and sex, mid 202</w:t>
      </w:r>
      <w:r w:rsidR="009731ED" w:rsidRPr="00B879B3">
        <w:rPr>
          <w:rFonts w:asciiTheme="majorBidi" w:eastAsia="Times New Roman" w:hAnsiTheme="majorBidi" w:cstheme="majorBidi"/>
          <w:b/>
          <w:bCs/>
          <w:sz w:val="26"/>
          <w:szCs w:val="26"/>
        </w:rPr>
        <w:t>1</w:t>
      </w:r>
    </w:p>
    <w:p w14:paraId="47EA46DC" w14:textId="77777777" w:rsidR="00C8206F" w:rsidRPr="00C8206F" w:rsidRDefault="00C8206F" w:rsidP="00C8206F">
      <w:pPr>
        <w:pStyle w:val="Normal1"/>
        <w:bidi w:val="0"/>
        <w:jc w:val="center"/>
        <w:rPr>
          <w:rFonts w:asciiTheme="majorBidi" w:eastAsia="Times New Roman" w:hAnsiTheme="majorBidi" w:cstheme="majorBidi"/>
          <w:b/>
          <w:bCs/>
          <w:sz w:val="8"/>
          <w:szCs w:val="8"/>
        </w:rPr>
      </w:pPr>
    </w:p>
    <w:tbl>
      <w:tblPr>
        <w:tblStyle w:val="GridTable5Dark-Accent5"/>
        <w:tblW w:w="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061"/>
        <w:gridCol w:w="1083"/>
        <w:gridCol w:w="1061"/>
        <w:gridCol w:w="1083"/>
      </w:tblGrid>
      <w:tr w:rsidR="009731ED" w:rsidRPr="00B879B3" w14:paraId="13E74C17" w14:textId="77777777" w:rsidTr="00C82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34D4A371" w14:textId="77777777" w:rsidR="003A661B" w:rsidRPr="00B879B3" w:rsidRDefault="003A661B" w:rsidP="00A10A71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Age group</w:t>
            </w:r>
          </w:p>
        </w:tc>
        <w:tc>
          <w:tcPr>
            <w:tcW w:w="21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5C8EF579" w14:textId="77777777" w:rsidR="003A661B" w:rsidRPr="00B879B3" w:rsidRDefault="003A661B" w:rsidP="00A10A7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West Bank</w:t>
            </w:r>
          </w:p>
        </w:tc>
        <w:tc>
          <w:tcPr>
            <w:tcW w:w="21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36C1179" w14:textId="77777777" w:rsidR="003A661B" w:rsidRPr="00B879B3" w:rsidRDefault="003A661B" w:rsidP="00A10A7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Gaza Strip</w:t>
            </w:r>
          </w:p>
        </w:tc>
      </w:tr>
      <w:tr w:rsidR="009731ED" w:rsidRPr="00B879B3" w14:paraId="22CB1C7E" w14:textId="77777777" w:rsidTr="00C8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vMerge/>
            <w:tcBorders>
              <w:left w:val="none" w:sz="0" w:space="0" w:color="auto"/>
            </w:tcBorders>
            <w:vAlign w:val="center"/>
            <w:hideMark/>
          </w:tcPr>
          <w:p w14:paraId="2B5ECF05" w14:textId="77777777" w:rsidR="003A661B" w:rsidRPr="00B879B3" w:rsidRDefault="003A661B" w:rsidP="00A10A71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61" w:type="dxa"/>
            <w:vAlign w:val="center"/>
            <w:hideMark/>
          </w:tcPr>
          <w:p w14:paraId="6F38C349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Males</w:t>
            </w:r>
          </w:p>
        </w:tc>
        <w:tc>
          <w:tcPr>
            <w:tcW w:w="1083" w:type="dxa"/>
            <w:vAlign w:val="center"/>
            <w:hideMark/>
          </w:tcPr>
          <w:p w14:paraId="6FA8CADE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Females</w:t>
            </w:r>
          </w:p>
        </w:tc>
        <w:tc>
          <w:tcPr>
            <w:tcW w:w="1061" w:type="dxa"/>
            <w:vAlign w:val="center"/>
            <w:hideMark/>
          </w:tcPr>
          <w:p w14:paraId="397B9086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Males</w:t>
            </w:r>
          </w:p>
        </w:tc>
        <w:tc>
          <w:tcPr>
            <w:tcW w:w="1083" w:type="dxa"/>
            <w:vAlign w:val="center"/>
          </w:tcPr>
          <w:p w14:paraId="5464317B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Females</w:t>
            </w:r>
          </w:p>
        </w:tc>
      </w:tr>
      <w:tr w:rsidR="009731ED" w:rsidRPr="00B879B3" w14:paraId="404CD0B2" w14:textId="77777777" w:rsidTr="00C8206F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</w:tcBorders>
            <w:vAlign w:val="center"/>
            <w:hideMark/>
          </w:tcPr>
          <w:p w14:paraId="6510DB53" w14:textId="77777777" w:rsidR="003A661B" w:rsidRPr="00B879B3" w:rsidRDefault="003A661B" w:rsidP="00A10A71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0-4</w:t>
            </w:r>
          </w:p>
        </w:tc>
        <w:tc>
          <w:tcPr>
            <w:tcW w:w="1061" w:type="dxa"/>
            <w:vAlign w:val="center"/>
            <w:hideMark/>
          </w:tcPr>
          <w:p w14:paraId="52BAD8EA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027</w:t>
            </w:r>
          </w:p>
        </w:tc>
        <w:tc>
          <w:tcPr>
            <w:tcW w:w="1083" w:type="dxa"/>
            <w:vAlign w:val="center"/>
            <w:hideMark/>
          </w:tcPr>
          <w:p w14:paraId="65207A13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19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807</w:t>
            </w:r>
          </w:p>
        </w:tc>
        <w:tc>
          <w:tcPr>
            <w:tcW w:w="1061" w:type="dxa"/>
            <w:vAlign w:val="center"/>
            <w:hideMark/>
          </w:tcPr>
          <w:p w14:paraId="29F8086A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61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,6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06</w:t>
            </w:r>
          </w:p>
        </w:tc>
        <w:tc>
          <w:tcPr>
            <w:tcW w:w="1083" w:type="dxa"/>
            <w:vAlign w:val="center"/>
          </w:tcPr>
          <w:p w14:paraId="2B67985C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55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483</w:t>
            </w:r>
          </w:p>
        </w:tc>
      </w:tr>
      <w:tr w:rsidR="009731ED" w:rsidRPr="00B879B3" w14:paraId="68DC0C02" w14:textId="77777777" w:rsidTr="00C8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</w:tcBorders>
            <w:vAlign w:val="center"/>
            <w:hideMark/>
          </w:tcPr>
          <w:p w14:paraId="5DEF1D3F" w14:textId="77777777" w:rsidR="003A661B" w:rsidRPr="00B879B3" w:rsidRDefault="003A661B" w:rsidP="00A10A71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5-9</w:t>
            </w:r>
          </w:p>
        </w:tc>
        <w:tc>
          <w:tcPr>
            <w:tcW w:w="1061" w:type="dxa"/>
            <w:vAlign w:val="center"/>
            <w:hideMark/>
          </w:tcPr>
          <w:p w14:paraId="3941D8E6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90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664</w:t>
            </w:r>
          </w:p>
        </w:tc>
        <w:tc>
          <w:tcPr>
            <w:tcW w:w="1083" w:type="dxa"/>
            <w:vAlign w:val="center"/>
            <w:hideMark/>
          </w:tcPr>
          <w:p w14:paraId="2E2AAF52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80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362</w:t>
            </w:r>
          </w:p>
        </w:tc>
        <w:tc>
          <w:tcPr>
            <w:tcW w:w="1061" w:type="dxa"/>
            <w:vAlign w:val="center"/>
            <w:hideMark/>
          </w:tcPr>
          <w:p w14:paraId="3694A65F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14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335</w:t>
            </w:r>
          </w:p>
        </w:tc>
        <w:tc>
          <w:tcPr>
            <w:tcW w:w="1083" w:type="dxa"/>
            <w:vAlign w:val="center"/>
          </w:tcPr>
          <w:p w14:paraId="7FBF4C38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13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905</w:t>
            </w:r>
          </w:p>
        </w:tc>
      </w:tr>
      <w:tr w:rsidR="009731ED" w:rsidRPr="00B879B3" w14:paraId="11E3AD8D" w14:textId="77777777" w:rsidTr="00C8206F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</w:tcBorders>
            <w:vAlign w:val="center"/>
            <w:hideMark/>
          </w:tcPr>
          <w:p w14:paraId="5CC598BE" w14:textId="77777777" w:rsidR="003A661B" w:rsidRPr="00B879B3" w:rsidRDefault="003A661B" w:rsidP="00A10A71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10-14</w:t>
            </w:r>
          </w:p>
        </w:tc>
        <w:tc>
          <w:tcPr>
            <w:tcW w:w="1061" w:type="dxa"/>
            <w:vAlign w:val="center"/>
            <w:hideMark/>
          </w:tcPr>
          <w:p w14:paraId="2381A012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17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164</w:t>
            </w:r>
          </w:p>
        </w:tc>
        <w:tc>
          <w:tcPr>
            <w:tcW w:w="1083" w:type="dxa"/>
            <w:vAlign w:val="center"/>
            <w:hideMark/>
          </w:tcPr>
          <w:p w14:paraId="3EE68D5C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16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8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136</w:t>
            </w:r>
          </w:p>
        </w:tc>
        <w:tc>
          <w:tcPr>
            <w:tcW w:w="1061" w:type="dxa"/>
            <w:vAlign w:val="center"/>
            <w:hideMark/>
          </w:tcPr>
          <w:p w14:paraId="2DC9CC74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13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502</w:t>
            </w:r>
          </w:p>
        </w:tc>
        <w:tc>
          <w:tcPr>
            <w:tcW w:w="1083" w:type="dxa"/>
            <w:vAlign w:val="center"/>
          </w:tcPr>
          <w:p w14:paraId="31B5434D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29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470</w:t>
            </w:r>
          </w:p>
        </w:tc>
      </w:tr>
      <w:tr w:rsidR="009731ED" w:rsidRPr="00B879B3" w14:paraId="27906B39" w14:textId="77777777" w:rsidTr="00C8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</w:tcBorders>
            <w:vAlign w:val="center"/>
            <w:hideMark/>
          </w:tcPr>
          <w:p w14:paraId="6685C61F" w14:textId="77777777" w:rsidR="003A661B" w:rsidRPr="00B879B3" w:rsidRDefault="003A661B" w:rsidP="00A10A71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15-17</w:t>
            </w:r>
          </w:p>
        </w:tc>
        <w:tc>
          <w:tcPr>
            <w:tcW w:w="1061" w:type="dxa"/>
            <w:vAlign w:val="center"/>
            <w:hideMark/>
          </w:tcPr>
          <w:p w14:paraId="350E938A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9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8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951</w:t>
            </w:r>
          </w:p>
        </w:tc>
        <w:tc>
          <w:tcPr>
            <w:tcW w:w="1083" w:type="dxa"/>
            <w:vAlign w:val="center"/>
            <w:hideMark/>
          </w:tcPr>
          <w:p w14:paraId="0B3EEDC7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9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066</w:t>
            </w:r>
          </w:p>
        </w:tc>
        <w:tc>
          <w:tcPr>
            <w:tcW w:w="1061" w:type="dxa"/>
            <w:vAlign w:val="center"/>
            <w:hideMark/>
          </w:tcPr>
          <w:p w14:paraId="08349A34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9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492</w:t>
            </w:r>
          </w:p>
        </w:tc>
        <w:tc>
          <w:tcPr>
            <w:tcW w:w="1083" w:type="dxa"/>
            <w:vAlign w:val="center"/>
          </w:tcPr>
          <w:p w14:paraId="650C6520" w14:textId="77777777" w:rsidR="003A661B" w:rsidRPr="00B879B3" w:rsidRDefault="003A661B" w:rsidP="00A10A7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Pr="00B879B3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sz w:val="26"/>
                <w:szCs w:val="26"/>
              </w:rPr>
              <w:t>426</w:t>
            </w:r>
          </w:p>
        </w:tc>
      </w:tr>
      <w:tr w:rsidR="009731ED" w:rsidRPr="00B879B3" w14:paraId="3C7314A7" w14:textId="77777777" w:rsidTr="00C8206F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A6E2114" w14:textId="77777777" w:rsidR="003A661B" w:rsidRPr="00B879B3" w:rsidRDefault="003A661B" w:rsidP="00A10A71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1061" w:type="dxa"/>
            <w:vAlign w:val="center"/>
            <w:hideMark/>
          </w:tcPr>
          <w:p w14:paraId="1DF7DF06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  <w:r w:rsidR="009731ED"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70</w:t>
            </w: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806</w:t>
            </w:r>
          </w:p>
        </w:tc>
        <w:tc>
          <w:tcPr>
            <w:tcW w:w="1083" w:type="dxa"/>
            <w:vAlign w:val="center"/>
            <w:hideMark/>
          </w:tcPr>
          <w:p w14:paraId="4933AC17" w14:textId="77777777" w:rsidR="003A661B" w:rsidRPr="00B879B3" w:rsidRDefault="009731ED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640</w:t>
            </w:r>
            <w:r w:rsidR="003A661B"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,3</w:t>
            </w: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1061" w:type="dxa"/>
            <w:vAlign w:val="center"/>
            <w:hideMark/>
          </w:tcPr>
          <w:p w14:paraId="5E5DD00F" w14:textId="77777777" w:rsidR="003A661B" w:rsidRPr="00B879B3" w:rsidRDefault="009731ED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510</w:t>
            </w:r>
            <w:r w:rsidR="003A661B"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935</w:t>
            </w:r>
          </w:p>
        </w:tc>
        <w:tc>
          <w:tcPr>
            <w:tcW w:w="1083" w:type="dxa"/>
            <w:vAlign w:val="center"/>
          </w:tcPr>
          <w:p w14:paraId="5003CA42" w14:textId="77777777" w:rsidR="003A661B" w:rsidRPr="00B879B3" w:rsidRDefault="003A661B" w:rsidP="00A10A7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  <w:r w:rsidR="009731ED"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89</w:t>
            </w:r>
            <w:r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="009731ED" w:rsidRPr="00B879B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284</w:t>
            </w:r>
          </w:p>
        </w:tc>
      </w:tr>
    </w:tbl>
    <w:p w14:paraId="25EC19DE" w14:textId="77777777" w:rsidR="003A661B" w:rsidRPr="00C8206F" w:rsidRDefault="003A661B" w:rsidP="00A10A71">
      <w:pPr>
        <w:pStyle w:val="Normal1"/>
        <w:bidi w:val="0"/>
        <w:jc w:val="both"/>
        <w:rPr>
          <w:rFonts w:asciiTheme="majorBidi" w:eastAsia="Times New Roman" w:hAnsiTheme="majorBidi" w:cstheme="majorBidi"/>
          <w:color w:val="FF0000"/>
          <w:sz w:val="16"/>
          <w:szCs w:val="16"/>
        </w:rPr>
      </w:pPr>
    </w:p>
    <w:p w14:paraId="0F207479" w14:textId="42AEE151" w:rsidR="00843AEF" w:rsidRPr="00B879B3" w:rsidRDefault="00EB60B3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One out of five </w:t>
      </w:r>
      <w:r w:rsidR="003A661B" w:rsidRPr="00B879B3">
        <w:rPr>
          <w:rFonts w:asciiTheme="majorBidi" w:hAnsiTheme="majorBidi" w:cstheme="majorBidi"/>
          <w:b/>
          <w:bCs/>
          <w:sz w:val="26"/>
          <w:szCs w:val="26"/>
        </w:rPr>
        <w:t>registered marriage contracts are for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A661B" w:rsidRPr="00B879B3">
        <w:rPr>
          <w:rFonts w:asciiTheme="majorBidi" w:hAnsiTheme="majorBidi" w:cstheme="majorBidi"/>
          <w:b/>
          <w:bCs/>
          <w:sz w:val="26"/>
          <w:szCs w:val="26"/>
        </w:rPr>
        <w:t>female</w:t>
      </w:r>
      <w:r w:rsidR="008958F1" w:rsidRPr="00B879B3">
        <w:rPr>
          <w:rFonts w:asciiTheme="majorBidi" w:hAnsiTheme="majorBidi" w:cstheme="majorBidi"/>
          <w:b/>
          <w:bCs/>
          <w:sz w:val="26"/>
          <w:szCs w:val="26"/>
        </w:rPr>
        <w:t>s</w:t>
      </w:r>
      <w:r w:rsidR="003A661B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>under 18 years</w:t>
      </w:r>
    </w:p>
    <w:p w14:paraId="6B21056B" w14:textId="19C246D9" w:rsidR="00003853" w:rsidRPr="00B879B3" w:rsidRDefault="00003853" w:rsidP="00A10A71">
      <w:pPr>
        <w:bidi w:val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There is a decline in the percentage of early marriage (for those under the age of 18) for both sexes, where it reached 19.3% of the females registered marriages in 2019 (19.0% in the West Bank and 19.9% in Gaza Strip) out of </w:t>
      </w:r>
      <w:r w:rsidR="00D631C4"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the </w:t>
      </w:r>
      <w:r w:rsidRPr="00B879B3">
        <w:rPr>
          <w:rFonts w:asciiTheme="majorBidi" w:hAnsiTheme="majorBidi" w:cstheme="majorBidi"/>
          <w:color w:val="000000"/>
          <w:sz w:val="26"/>
          <w:szCs w:val="26"/>
        </w:rPr>
        <w:t>total number of females registered marriages in the same year compared with 24% in 2010</w:t>
      </w:r>
      <w:r w:rsidR="00D631C4"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. Whereas this </w:t>
      </w:r>
      <w:r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percentage </w:t>
      </w:r>
      <w:r w:rsidR="00D631C4"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reached </w:t>
      </w:r>
      <w:r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0.9% of </w:t>
      </w:r>
      <w:r w:rsidR="00D631C4"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the </w:t>
      </w:r>
      <w:r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males registered marriages out of </w:t>
      </w:r>
      <w:r w:rsidR="00D631C4"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the </w:t>
      </w:r>
      <w:r w:rsidRPr="00B879B3">
        <w:rPr>
          <w:rFonts w:asciiTheme="majorBidi" w:hAnsiTheme="majorBidi" w:cstheme="majorBidi"/>
          <w:color w:val="000000"/>
          <w:sz w:val="26"/>
          <w:szCs w:val="26"/>
        </w:rPr>
        <w:t>total number of males registered marriages in the same year</w:t>
      </w:r>
      <w:r w:rsidR="00D631C4"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color w:val="000000"/>
          <w:sz w:val="26"/>
          <w:szCs w:val="26"/>
        </w:rPr>
        <w:t xml:space="preserve">compared to 2% in 2010. </w:t>
      </w:r>
    </w:p>
    <w:p w14:paraId="6CD9D44D" w14:textId="77777777" w:rsidR="00003853" w:rsidRPr="00C8206F" w:rsidRDefault="00003853" w:rsidP="00A10A71">
      <w:pPr>
        <w:pStyle w:val="Normal1"/>
        <w:bidi w:val="0"/>
        <w:jc w:val="both"/>
        <w:rPr>
          <w:rFonts w:asciiTheme="majorBidi" w:eastAsia="Times New Roman" w:hAnsiTheme="majorBidi" w:cstheme="majorBidi"/>
          <w:sz w:val="16"/>
          <w:szCs w:val="16"/>
        </w:rPr>
      </w:pPr>
    </w:p>
    <w:p w14:paraId="0AE5B308" w14:textId="67816AC4" w:rsidR="00843AEF" w:rsidRPr="00B879B3" w:rsidRDefault="00C962F6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About 13% of females in the age group 20-24 years </w:t>
      </w:r>
      <w:r w:rsidR="00D631C4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were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married </w:t>
      </w:r>
      <w:r w:rsidR="00D631C4" w:rsidRPr="00B879B3">
        <w:rPr>
          <w:rFonts w:asciiTheme="majorBidi" w:hAnsiTheme="majorBidi" w:cstheme="majorBidi"/>
          <w:b/>
          <w:bCs/>
          <w:sz w:val="26"/>
          <w:szCs w:val="26"/>
        </w:rPr>
        <w:t>before completing 18 years old</w:t>
      </w:r>
    </w:p>
    <w:p w14:paraId="2911EA16" w14:textId="4386EC5A" w:rsidR="00C962F6" w:rsidRPr="00B879B3" w:rsidRDefault="00762B6C" w:rsidP="00A10A71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B879B3">
        <w:rPr>
          <w:rFonts w:asciiTheme="majorBidi" w:hAnsiTheme="majorBidi" w:cstheme="majorBidi"/>
          <w:sz w:val="26"/>
          <w:szCs w:val="26"/>
          <w:lang w:eastAsia="en-US"/>
        </w:rPr>
        <w:t>The data of the Palestinian Multiple Indicator Cluster Survey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(PMICS6)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2019-2020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indicated that 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13.4% of women aged 20-24 years were married before reaching the age of 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>18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>; (11.4% in the West Bank and 16.5% in Gaza Strip)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>,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knowing that a presidential decree was issued at the end of 2019 prohibiting 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the marriage of 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>male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>s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and female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>s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>under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18 years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. This decree was put into action and applied at the beginning of 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>2020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>. Therefore,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data 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presented here 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on early marriage included in this </w:t>
      </w:r>
      <w:r w:rsidR="00D631C4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press release shows </w:t>
      </w:r>
      <w:r w:rsidR="007C11B7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the </w:t>
      </w:r>
      <w:r w:rsidR="00C962F6" w:rsidRPr="00B879B3">
        <w:rPr>
          <w:rFonts w:asciiTheme="majorBidi" w:hAnsiTheme="majorBidi" w:cstheme="majorBidi"/>
          <w:sz w:val="26"/>
          <w:szCs w:val="26"/>
          <w:lang w:eastAsia="en-US"/>
        </w:rPr>
        <w:t>years prior to 2020.</w:t>
      </w:r>
    </w:p>
    <w:p w14:paraId="2F4E1FF7" w14:textId="77777777" w:rsidR="00000D7A" w:rsidRPr="00C8206F" w:rsidRDefault="00000D7A" w:rsidP="00A10A71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  <w:lang w:eastAsia="en-US"/>
        </w:rPr>
      </w:pPr>
    </w:p>
    <w:p w14:paraId="53A3A597" w14:textId="42EB7E3E" w:rsidR="00843AEF" w:rsidRPr="00B879B3" w:rsidRDefault="00B73D58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Dropout rates are low in Palestine</w:t>
      </w:r>
      <w:r w:rsidR="00407518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48148578" w14:textId="77777777" w:rsidR="008B1D1D" w:rsidRPr="00B879B3" w:rsidRDefault="00B73D58" w:rsidP="00A10A71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B879B3">
        <w:rPr>
          <w:rFonts w:asciiTheme="majorBidi" w:hAnsiTheme="majorBidi" w:cstheme="majorBidi"/>
          <w:sz w:val="26"/>
          <w:szCs w:val="26"/>
          <w:lang w:eastAsia="en-US"/>
        </w:rPr>
        <w:t>The primary data for the scholastic year 2019/2020 showed that the number of school students in Palestine reached about 1.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309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  million students, out of which 1.06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1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  million were students in the </w:t>
      </w:r>
      <w:r w:rsidR="00B04078" w:rsidRPr="00B879B3">
        <w:rPr>
          <w:rFonts w:asciiTheme="majorBidi" w:hAnsiTheme="majorBidi" w:cstheme="majorBidi"/>
          <w:sz w:val="26"/>
          <w:szCs w:val="26"/>
          <w:lang w:eastAsia="en-US"/>
        </w:rPr>
        <w:t>basic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stage (50.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7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% males and 49.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3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% females), 2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48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thousand students in the secondary stage (45.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0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% males and 5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5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.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0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% females).</w:t>
      </w:r>
    </w:p>
    <w:p w14:paraId="565130D9" w14:textId="77777777" w:rsidR="00792FDC" w:rsidRPr="00B879B3" w:rsidRDefault="00792FDC" w:rsidP="00A10A71">
      <w:pPr>
        <w:pStyle w:val="BodyText"/>
        <w:bidi w:val="0"/>
        <w:jc w:val="both"/>
        <w:rPr>
          <w:rFonts w:asciiTheme="majorBidi" w:hAnsiTheme="majorBidi" w:cstheme="majorBidi"/>
          <w:color w:val="FF0000"/>
          <w:sz w:val="26"/>
          <w:szCs w:val="26"/>
          <w:lang w:eastAsia="en-US"/>
        </w:rPr>
      </w:pPr>
    </w:p>
    <w:p w14:paraId="03CBD006" w14:textId="77777777" w:rsidR="002B64B0" w:rsidRPr="00B879B3" w:rsidRDefault="00B73D58" w:rsidP="00A10A71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B879B3">
        <w:rPr>
          <w:rFonts w:asciiTheme="majorBidi" w:hAnsiTheme="majorBidi" w:cstheme="majorBidi"/>
          <w:sz w:val="26"/>
          <w:szCs w:val="26"/>
          <w:lang w:eastAsia="en-US"/>
        </w:rPr>
        <w:lastRenderedPageBreak/>
        <w:t>The dropout rate in the scholastic year 201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8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/201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9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was about </w:t>
      </w:r>
      <w:r w:rsidR="008B1716" w:rsidRPr="00B879B3">
        <w:rPr>
          <w:rFonts w:asciiTheme="majorBidi" w:hAnsiTheme="majorBidi" w:cstheme="majorBidi"/>
          <w:sz w:val="26"/>
          <w:szCs w:val="26"/>
          <w:lang w:eastAsia="en-US"/>
        </w:rPr>
        <w:t>0.9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% among males compared to 0.6% among females</w:t>
      </w:r>
      <w:r w:rsidR="00000D7A" w:rsidRPr="00B879B3">
        <w:rPr>
          <w:rFonts w:asciiTheme="majorBidi" w:hAnsiTheme="majorBidi" w:cstheme="majorBidi"/>
          <w:sz w:val="26"/>
          <w:szCs w:val="26"/>
          <w:lang w:eastAsia="en-US"/>
        </w:rPr>
        <w:t>, while the repetition rate among males was 0.9% compared to 0.7% among females for the same scholastic year.</w:t>
      </w:r>
      <w:r w:rsidR="00000D7A" w:rsidRPr="00B879B3">
        <w:rPr>
          <w:rFonts w:asciiTheme="majorBidi" w:hAnsiTheme="majorBidi" w:cstheme="majorBidi"/>
          <w:sz w:val="26"/>
          <w:szCs w:val="26"/>
        </w:rPr>
        <w:t xml:space="preserve"> </w:t>
      </w:r>
    </w:p>
    <w:p w14:paraId="3CF82BD4" w14:textId="77777777" w:rsidR="00621F9B" w:rsidRPr="00C8206F" w:rsidRDefault="00621F9B" w:rsidP="00A10A71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17B63FF5" w14:textId="426FFF87" w:rsidR="00792FDC" w:rsidRPr="00B879B3" w:rsidRDefault="00792FDC" w:rsidP="00F316A7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eastAsia="en-US"/>
        </w:rPr>
      </w:pPr>
      <w:r w:rsidRPr="00B879B3">
        <w:rPr>
          <w:rFonts w:asciiTheme="majorBidi" w:hAnsiTheme="majorBidi" w:cstheme="majorBidi"/>
          <w:sz w:val="26"/>
          <w:szCs w:val="26"/>
          <w:lang w:eastAsia="en-US"/>
        </w:rPr>
        <w:t>The data</w:t>
      </w:r>
      <w:r w:rsidR="00F67D2C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for</w:t>
      </w:r>
      <w:r w:rsidR="0059583E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the year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2019 </w:t>
      </w:r>
      <w:r w:rsidR="00F67D2C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showed 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that the percentage of children</w:t>
      </w:r>
      <w:r w:rsidR="00165E09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="00165E09" w:rsidRPr="00B879B3">
        <w:rPr>
          <w:rFonts w:asciiTheme="majorBidi" w:hAnsiTheme="majorBidi" w:cstheme="majorBidi"/>
          <w:sz w:val="26"/>
          <w:szCs w:val="26"/>
          <w:lang w:eastAsia="en-US"/>
        </w:rPr>
        <w:t>at the age of 7-14 years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enrolled in the basic stage</w:t>
      </w:r>
      <w:r w:rsidR="00BB5CEF" w:rsidRPr="00B879B3">
        <w:rPr>
          <w:rStyle w:val="FootnoteReference"/>
          <w:rFonts w:asciiTheme="majorBidi" w:hAnsiTheme="majorBidi" w:cstheme="majorBidi"/>
          <w:sz w:val="26"/>
          <w:szCs w:val="26"/>
          <w:lang w:eastAsia="en-US"/>
        </w:rPr>
        <w:footnoteReference w:id="1"/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who </w:t>
      </w:r>
      <w:r w:rsidR="0059583E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have 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basic reading skills was about 53</w:t>
      </w:r>
      <w:r w:rsidR="0059583E" w:rsidRPr="00B879B3">
        <w:rPr>
          <w:rFonts w:asciiTheme="majorBidi" w:hAnsiTheme="majorBidi" w:cstheme="majorBidi"/>
          <w:sz w:val="26"/>
          <w:szCs w:val="26"/>
          <w:lang w:eastAsia="en-US"/>
        </w:rPr>
        <w:t>%;</w:t>
      </w:r>
      <w:r w:rsidR="00E60B28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3A2907" w:rsidRPr="00B879B3">
        <w:rPr>
          <w:rFonts w:asciiTheme="majorBidi" w:hAnsiTheme="majorBidi" w:cstheme="majorBidi"/>
          <w:sz w:val="26"/>
          <w:szCs w:val="26"/>
          <w:lang w:eastAsia="en-US"/>
        </w:rPr>
        <w:t>(</w:t>
      </w:r>
      <w:r w:rsidR="00F316A7" w:rsidRPr="00B879B3">
        <w:rPr>
          <w:rFonts w:asciiTheme="majorBidi" w:hAnsiTheme="majorBidi" w:cstheme="majorBidi"/>
          <w:sz w:val="26"/>
          <w:szCs w:val="26"/>
          <w:lang w:eastAsia="en-US"/>
        </w:rPr>
        <w:t>58.0%</w:t>
      </w:r>
      <w:r w:rsidR="003A2907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in </w:t>
      </w:r>
      <w:r w:rsidR="00F316A7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the </w:t>
      </w:r>
      <w:r w:rsidR="003A2907" w:rsidRPr="00B879B3">
        <w:rPr>
          <w:rFonts w:asciiTheme="majorBidi" w:hAnsiTheme="majorBidi" w:cstheme="majorBidi"/>
          <w:sz w:val="26"/>
          <w:szCs w:val="26"/>
          <w:lang w:eastAsia="en-US"/>
        </w:rPr>
        <w:t>West Bank and 47.0% in Gaza Strip)</w:t>
      </w:r>
      <w:r w:rsidR="0059583E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about 48% among males and about 57% among females. While data showed that the percentage of children enrolled in the basic stage who </w:t>
      </w:r>
      <w:r w:rsidR="0059583E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presented </w:t>
      </w:r>
      <w:r w:rsidRPr="00B879B3">
        <w:rPr>
          <w:rFonts w:asciiTheme="majorBidi" w:hAnsiTheme="majorBidi" w:cstheme="majorBidi"/>
          <w:sz w:val="26"/>
          <w:szCs w:val="26"/>
          <w:lang w:eastAsia="en-US"/>
        </w:rPr>
        <w:t>basic numeracy skills was about 46% for both sexes</w:t>
      </w:r>
      <w:r w:rsidR="004A16C0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930013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(53.7% in </w:t>
      </w:r>
      <w:r w:rsidR="004A16C0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West Bank </w:t>
      </w:r>
      <w:r w:rsidR="00930013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and 36.6% </w:t>
      </w:r>
      <w:r w:rsidR="0059583E" w:rsidRPr="00B879B3">
        <w:rPr>
          <w:rFonts w:asciiTheme="majorBidi" w:hAnsiTheme="majorBidi" w:cstheme="majorBidi"/>
          <w:sz w:val="26"/>
          <w:szCs w:val="26"/>
          <w:lang w:eastAsia="en-US"/>
        </w:rPr>
        <w:t xml:space="preserve">in </w:t>
      </w:r>
      <w:r w:rsidR="00930013" w:rsidRPr="00B879B3">
        <w:rPr>
          <w:rFonts w:asciiTheme="majorBidi" w:hAnsiTheme="majorBidi" w:cstheme="majorBidi"/>
          <w:sz w:val="26"/>
          <w:szCs w:val="26"/>
          <w:lang w:eastAsia="en-US"/>
        </w:rPr>
        <w:t>Gaza Strip).</w:t>
      </w:r>
    </w:p>
    <w:p w14:paraId="45C0489C" w14:textId="77777777" w:rsidR="00792FDC" w:rsidRPr="00C8206F" w:rsidRDefault="00792FDC" w:rsidP="00A10A71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  <w:lang w:eastAsia="en-US"/>
        </w:rPr>
      </w:pPr>
    </w:p>
    <w:p w14:paraId="48E94E8E" w14:textId="14C92E5E" w:rsidR="0076167B" w:rsidRPr="00B879B3" w:rsidRDefault="00D12D4E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Variation in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students’ participation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>online education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during </w:t>
      </w:r>
      <w:r w:rsidR="00D87C72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Lockdown </w:t>
      </w:r>
      <w:r w:rsidR="00D87C72" w:rsidRPr="00B879B3">
        <w:rPr>
          <w:rFonts w:asciiTheme="majorBidi" w:hAnsiTheme="majorBidi" w:cstheme="majorBidi"/>
          <w:b/>
          <w:bCs/>
          <w:sz w:val="26"/>
          <w:szCs w:val="26"/>
        </w:rPr>
        <w:t>period (March - May), 2020 due to the COVID-19 (</w:t>
      </w:r>
      <w:r w:rsidR="003A443A" w:rsidRPr="00B879B3">
        <w:rPr>
          <w:rFonts w:asciiTheme="majorBidi" w:hAnsiTheme="majorBidi" w:cstheme="majorBidi"/>
          <w:b/>
          <w:bCs/>
          <w:sz w:val="26"/>
          <w:szCs w:val="26"/>
        </w:rPr>
        <w:t>Coronavirus</w:t>
      </w:r>
      <w:r w:rsidR="00D87C72" w:rsidRPr="00B879B3">
        <w:rPr>
          <w:rFonts w:asciiTheme="majorBidi" w:hAnsiTheme="majorBidi" w:cstheme="majorBidi"/>
          <w:b/>
          <w:bCs/>
          <w:sz w:val="26"/>
          <w:szCs w:val="26"/>
        </w:rPr>
        <w:t>) pandemic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397779D3" w14:textId="2C3C943C" w:rsidR="00D87C72" w:rsidRPr="00B879B3" w:rsidRDefault="00D12D4E" w:rsidP="00A10A71">
      <w:pPr>
        <w:pStyle w:val="Normal1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>51</w:t>
      </w:r>
      <w:r w:rsidR="00400329" w:rsidRPr="00B879B3">
        <w:rPr>
          <w:rFonts w:asciiTheme="majorBidi" w:hAnsiTheme="majorBidi" w:cstheme="majorBidi"/>
          <w:sz w:val="26"/>
          <w:szCs w:val="26"/>
        </w:rPr>
        <w:t>.0</w:t>
      </w:r>
      <w:r w:rsidRPr="00B879B3">
        <w:rPr>
          <w:rFonts w:asciiTheme="majorBidi" w:hAnsiTheme="majorBidi" w:cstheme="majorBidi"/>
          <w:sz w:val="26"/>
          <w:szCs w:val="26"/>
        </w:rPr>
        <w:t>% of households in Palestine</w:t>
      </w:r>
      <w:r w:rsidR="001C2149" w:rsidRPr="00B879B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C2149" w:rsidRPr="00B879B3">
        <w:rPr>
          <w:rFonts w:asciiTheme="majorBidi" w:hAnsiTheme="majorBidi" w:cstheme="majorBidi"/>
          <w:sz w:val="26"/>
          <w:szCs w:val="26"/>
        </w:rPr>
        <w:t>with children (6-18 years)</w:t>
      </w:r>
      <w:r w:rsidR="001C2149" w:rsidRPr="00B879B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C2149" w:rsidRPr="00B879B3">
        <w:rPr>
          <w:rFonts w:asciiTheme="majorBidi" w:hAnsiTheme="majorBidi" w:cstheme="majorBidi"/>
          <w:sz w:val="26"/>
          <w:szCs w:val="26"/>
        </w:rPr>
        <w:t>and enrolled in education before the lockdown,</w:t>
      </w:r>
      <w:r w:rsidR="001C2149" w:rsidRPr="00B879B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 xml:space="preserve">thier childern particpated in eductional activities (online education) during the lockdown; (53.3% in the West Bank and 48.5% in Gaza Strip). </w:t>
      </w:r>
      <w:r w:rsidR="00C62FF3" w:rsidRPr="00B879B3">
        <w:rPr>
          <w:rFonts w:asciiTheme="majorBidi" w:hAnsiTheme="majorBidi" w:cstheme="majorBidi"/>
          <w:sz w:val="26"/>
          <w:szCs w:val="26"/>
        </w:rPr>
        <w:t xml:space="preserve"> Also, there is a clear variation between the different </w:t>
      </w:r>
      <w:r w:rsidR="00D87C72" w:rsidRPr="00B879B3">
        <w:rPr>
          <w:rFonts w:asciiTheme="majorBidi" w:hAnsiTheme="majorBidi" w:cstheme="majorBidi"/>
          <w:sz w:val="26"/>
          <w:szCs w:val="26"/>
        </w:rPr>
        <w:t>governorates in terms of students participation,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 where</w:t>
      </w:r>
      <w:r w:rsidR="00D87C72" w:rsidRPr="00B879B3">
        <w:rPr>
          <w:rFonts w:asciiTheme="majorBidi" w:hAnsiTheme="majorBidi" w:cstheme="majorBidi"/>
          <w:sz w:val="26"/>
          <w:szCs w:val="26"/>
        </w:rPr>
        <w:t xml:space="preserve"> the highest participation was in Jerusalem Governorate (84.8%) and the lowest was in Hebron Governorate (38.9%). </w:t>
      </w:r>
    </w:p>
    <w:p w14:paraId="37895E22" w14:textId="77777777" w:rsidR="00A10A71" w:rsidRPr="00C8206F" w:rsidRDefault="00A10A71" w:rsidP="00A10A71">
      <w:pPr>
        <w:pStyle w:val="Normal1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3F30BF38" w14:textId="187CF476" w:rsidR="00C93ED1" w:rsidRPr="00B879B3" w:rsidRDefault="00C93ED1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Unavailability of </w:t>
      </w:r>
      <w:r w:rsidR="00D80965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internet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is </w:t>
      </w:r>
      <w:r w:rsidR="00D80965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considered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 reason </w:t>
      </w:r>
      <w:r w:rsidR="00D80965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for the deprivation of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the children of about half of the </w:t>
      </w:r>
      <w:r w:rsidR="00D80965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households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from participating in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online education during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>the lockdown period (March - May), 2020 due to the COVID-19 (Coronavirus) pandemic</w:t>
      </w:r>
    </w:p>
    <w:p w14:paraId="4C24957E" w14:textId="7DF9645C" w:rsidR="001857E1" w:rsidRPr="00B879B3" w:rsidRDefault="001857E1" w:rsidP="00D37138">
      <w:pPr>
        <w:pStyle w:val="Normal1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48.5% of households pointed out that the unavailability of intenet in the household prevented their children from participating in the </w:t>
      </w:r>
      <w:r w:rsidR="00D80965" w:rsidRPr="00B879B3">
        <w:rPr>
          <w:rFonts w:asciiTheme="majorBidi" w:hAnsiTheme="majorBidi" w:cstheme="majorBidi"/>
          <w:sz w:val="26"/>
          <w:szCs w:val="26"/>
        </w:rPr>
        <w:t xml:space="preserve">online </w:t>
      </w:r>
      <w:r w:rsidRPr="00B879B3">
        <w:rPr>
          <w:rFonts w:asciiTheme="majorBidi" w:hAnsiTheme="majorBidi" w:cstheme="majorBidi"/>
          <w:sz w:val="26"/>
          <w:szCs w:val="26"/>
        </w:rPr>
        <w:t xml:space="preserve">educational activities during the lockdown period, while 21.6% of them did not participate due to the fact that the teachers did not perform/conduct any educational activities, and 13.3% of them did not participate due to the fact that the child him/herself did not want to carry out nor perform </w:t>
      </w:r>
      <w:r w:rsidR="00D37138" w:rsidRPr="00B879B3">
        <w:rPr>
          <w:rFonts w:asciiTheme="majorBidi" w:hAnsiTheme="majorBidi" w:cstheme="majorBidi"/>
          <w:sz w:val="26"/>
          <w:szCs w:val="26"/>
        </w:rPr>
        <w:t xml:space="preserve">online </w:t>
      </w:r>
      <w:r w:rsidRPr="00B879B3">
        <w:rPr>
          <w:rFonts w:asciiTheme="majorBidi" w:hAnsiTheme="majorBidi" w:cstheme="majorBidi"/>
          <w:sz w:val="26"/>
          <w:szCs w:val="26"/>
        </w:rPr>
        <w:t>educational activities.</w:t>
      </w:r>
    </w:p>
    <w:p w14:paraId="3287EDEC" w14:textId="77777777" w:rsidR="00521B02" w:rsidRPr="00C8206F" w:rsidRDefault="00521B02" w:rsidP="00521B02">
      <w:pPr>
        <w:pStyle w:val="Normal1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7C0D39E2" w14:textId="120C58E8" w:rsidR="00521B02" w:rsidRPr="00B879B3" w:rsidRDefault="00521B02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decline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child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and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>infant mortality rates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14:paraId="22729182" w14:textId="5A8ED3E9" w:rsidR="00521B02" w:rsidRPr="00B879B3" w:rsidRDefault="00521B02" w:rsidP="00F316A7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The </w:t>
      </w:r>
      <w:r w:rsidR="009666CE" w:rsidRPr="00B879B3">
        <w:rPr>
          <w:rFonts w:asciiTheme="majorBidi" w:hAnsiTheme="majorBidi" w:cstheme="majorBidi"/>
          <w:sz w:val="26"/>
          <w:szCs w:val="26"/>
        </w:rPr>
        <w:t xml:space="preserve">under-five </w:t>
      </w:r>
      <w:r w:rsidRPr="00B879B3">
        <w:rPr>
          <w:rFonts w:asciiTheme="majorBidi" w:hAnsiTheme="majorBidi" w:cstheme="majorBidi"/>
          <w:sz w:val="26"/>
          <w:szCs w:val="26"/>
        </w:rPr>
        <w:t xml:space="preserve">child mortality rate in Palestine was </w:t>
      </w:r>
      <w:r w:rsidRPr="00B879B3">
        <w:rPr>
          <w:rFonts w:asciiTheme="majorBidi" w:hAnsiTheme="majorBidi" w:cstheme="majorBidi"/>
          <w:sz w:val="26"/>
          <w:szCs w:val="26"/>
          <w:rtl/>
        </w:rPr>
        <w:t>14</w:t>
      </w:r>
      <w:r w:rsidRPr="00B879B3">
        <w:rPr>
          <w:rFonts w:asciiTheme="majorBidi" w:hAnsiTheme="majorBidi" w:cstheme="majorBidi"/>
          <w:sz w:val="26"/>
          <w:szCs w:val="26"/>
        </w:rPr>
        <w:t xml:space="preserve"> per 1000 live births</w:t>
      </w:r>
      <w:r w:rsidR="00DA22A2" w:rsidRPr="00B879B3">
        <w:rPr>
          <w:rFonts w:asciiTheme="majorBidi" w:hAnsiTheme="majorBidi" w:cstheme="majorBidi"/>
          <w:sz w:val="26"/>
          <w:szCs w:val="26"/>
        </w:rPr>
        <w:t xml:space="preserve"> during</w:t>
      </w:r>
      <w:r w:rsidRPr="00B879B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>(2015-2019); 15 in the West Bank and 14 in Gaza Strip. On the other hand, infant mortality rate in Palestine reached 12 per 1000 live births</w:t>
      </w:r>
      <w:r w:rsidR="0046290F" w:rsidRPr="00B879B3">
        <w:rPr>
          <w:rFonts w:asciiTheme="majorBidi" w:hAnsiTheme="majorBidi" w:cstheme="majorBidi"/>
          <w:sz w:val="26"/>
          <w:szCs w:val="26"/>
        </w:rPr>
        <w:t xml:space="preserve"> in the same period</w:t>
      </w:r>
      <w:r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="006839B3" w:rsidRPr="00B879B3">
        <w:rPr>
          <w:rFonts w:asciiTheme="majorBidi" w:hAnsiTheme="majorBidi" w:cstheme="majorBidi"/>
          <w:sz w:val="26"/>
          <w:szCs w:val="26"/>
        </w:rPr>
        <w:t>(</w:t>
      </w:r>
      <w:r w:rsidRPr="00B879B3">
        <w:rPr>
          <w:rFonts w:asciiTheme="majorBidi" w:hAnsiTheme="majorBidi" w:cstheme="majorBidi"/>
          <w:sz w:val="26"/>
          <w:szCs w:val="26"/>
        </w:rPr>
        <w:t>12 in the Wes</w:t>
      </w:r>
      <w:r w:rsidR="006E2A85" w:rsidRPr="00B879B3">
        <w:rPr>
          <w:rFonts w:asciiTheme="majorBidi" w:hAnsiTheme="majorBidi" w:cstheme="majorBidi"/>
          <w:sz w:val="26"/>
          <w:szCs w:val="26"/>
        </w:rPr>
        <w:t>t Bank and 13 in Gaza Strip</w:t>
      </w:r>
      <w:r w:rsidR="006839B3" w:rsidRPr="00B879B3">
        <w:rPr>
          <w:rFonts w:asciiTheme="majorBidi" w:hAnsiTheme="majorBidi" w:cstheme="majorBidi"/>
          <w:sz w:val="26"/>
          <w:szCs w:val="26"/>
        </w:rPr>
        <w:t>)</w:t>
      </w:r>
      <w:r w:rsidRPr="00B879B3">
        <w:rPr>
          <w:rFonts w:asciiTheme="majorBidi" w:hAnsiTheme="majorBidi" w:cstheme="majorBidi"/>
          <w:sz w:val="26"/>
          <w:szCs w:val="26"/>
        </w:rPr>
        <w:t>.</w:t>
      </w:r>
    </w:p>
    <w:p w14:paraId="2044EC30" w14:textId="77777777" w:rsidR="00521B02" w:rsidRPr="00C8206F" w:rsidRDefault="00521B02" w:rsidP="00521B02">
      <w:pPr>
        <w:pStyle w:val="Normal1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35E7F126" w14:textId="2563AFD8" w:rsidR="00521B02" w:rsidRPr="00B879B3" w:rsidRDefault="0059583E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An </w:t>
      </w:r>
      <w:r w:rsidR="007C11B7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increase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="006E2A85" w:rsidRPr="00B879B3">
        <w:rPr>
          <w:rFonts w:asciiTheme="majorBidi" w:hAnsiTheme="majorBidi" w:cstheme="majorBidi"/>
          <w:b/>
          <w:bCs/>
          <w:sz w:val="26"/>
          <w:szCs w:val="26"/>
        </w:rPr>
        <w:t>the percentage of children under the age of five who suffer from stunting and underweight</w:t>
      </w:r>
      <w:r w:rsidR="006E2A85" w:rsidRPr="00B879B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6E2A85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1E1B12BA" w14:textId="27142442" w:rsidR="00521B02" w:rsidRPr="00B879B3" w:rsidRDefault="00521B02" w:rsidP="001978DC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8.7% of children under the age of five years in Palestine in 2019 suffer from moderate and severe stunting. The percentage was 8.5% in the West Bank and 9.0% in Gaza Strip. </w:t>
      </w:r>
      <w:r w:rsidR="009669C2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="00D37138" w:rsidRPr="00B879B3">
        <w:rPr>
          <w:rFonts w:asciiTheme="majorBidi" w:hAnsiTheme="majorBidi" w:cstheme="majorBidi"/>
          <w:sz w:val="26"/>
          <w:szCs w:val="26"/>
        </w:rPr>
        <w:t>W</w:t>
      </w:r>
      <w:r w:rsidR="0059583E" w:rsidRPr="00B879B3">
        <w:rPr>
          <w:rFonts w:asciiTheme="majorBidi" w:hAnsiTheme="majorBidi" w:cstheme="majorBidi"/>
          <w:sz w:val="26"/>
          <w:szCs w:val="26"/>
        </w:rPr>
        <w:t>hen</w:t>
      </w:r>
      <w:r w:rsidR="009669C2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comparing this </w:t>
      </w:r>
      <w:r w:rsidR="001978DC" w:rsidRPr="00B879B3">
        <w:rPr>
          <w:rFonts w:asciiTheme="majorBidi" w:hAnsiTheme="majorBidi" w:cstheme="majorBidi"/>
          <w:sz w:val="26"/>
          <w:szCs w:val="26"/>
        </w:rPr>
        <w:t>percentage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="009669C2" w:rsidRPr="00B879B3">
        <w:rPr>
          <w:rFonts w:asciiTheme="majorBidi" w:hAnsiTheme="majorBidi" w:cstheme="majorBidi"/>
          <w:sz w:val="26"/>
          <w:szCs w:val="26"/>
        </w:rPr>
        <w:t>to 7.4% in 2014,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 it is clear that there is</w:t>
      </w:r>
      <w:r w:rsidR="009669C2" w:rsidRPr="00B879B3">
        <w:rPr>
          <w:rFonts w:asciiTheme="majorBidi" w:hAnsiTheme="majorBidi" w:cstheme="majorBidi"/>
          <w:sz w:val="26"/>
          <w:szCs w:val="26"/>
        </w:rPr>
        <w:t xml:space="preserve"> an increase of 17.6%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 in 2019</w:t>
      </w:r>
      <w:r w:rsidR="009669C2" w:rsidRPr="00B879B3">
        <w:rPr>
          <w:rFonts w:asciiTheme="majorBidi" w:hAnsiTheme="majorBidi" w:cstheme="majorBidi"/>
          <w:sz w:val="26"/>
          <w:szCs w:val="26"/>
        </w:rPr>
        <w:t>.</w:t>
      </w:r>
      <w:r w:rsidRPr="00B879B3">
        <w:rPr>
          <w:rFonts w:asciiTheme="majorBidi" w:hAnsiTheme="majorBidi" w:cstheme="majorBidi"/>
          <w:sz w:val="26"/>
          <w:szCs w:val="26"/>
        </w:rPr>
        <w:t xml:space="preserve"> </w:t>
      </w:r>
    </w:p>
    <w:p w14:paraId="6E0A1C69" w14:textId="45330ECA" w:rsidR="000B57B9" w:rsidRPr="00C8206F" w:rsidRDefault="000B57B9" w:rsidP="000B57B9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023F3467" w14:textId="6D9777D7" w:rsidR="00870F70" w:rsidRPr="00B879B3" w:rsidRDefault="00521B02" w:rsidP="00870F70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>2.1% of children under the age of five years in Palestine in 2019 suffer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>from being underweight</w:t>
      </w:r>
      <w:r w:rsidR="00870F70" w:rsidRPr="00B879B3">
        <w:rPr>
          <w:rFonts w:asciiTheme="majorBidi" w:hAnsiTheme="majorBidi" w:cstheme="majorBidi"/>
          <w:sz w:val="26"/>
          <w:szCs w:val="26"/>
        </w:rPr>
        <w:t>, with no difference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870F70" w:rsidRPr="00B879B3">
        <w:rPr>
          <w:rFonts w:asciiTheme="majorBidi" w:hAnsiTheme="majorBidi" w:cstheme="majorBidi"/>
          <w:sz w:val="26"/>
          <w:szCs w:val="26"/>
        </w:rPr>
        <w:t>between the</w:t>
      </w:r>
      <w:r w:rsidRPr="00B879B3">
        <w:rPr>
          <w:rFonts w:asciiTheme="majorBidi" w:hAnsiTheme="majorBidi" w:cstheme="majorBidi"/>
          <w:sz w:val="26"/>
          <w:szCs w:val="26"/>
        </w:rPr>
        <w:t xml:space="preserve"> West Bank and Gaza Strip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>(2.1%)</w:t>
      </w:r>
      <w:r w:rsidR="00870F70" w:rsidRPr="00B879B3">
        <w:rPr>
          <w:rFonts w:asciiTheme="majorBidi" w:hAnsiTheme="majorBidi" w:cstheme="majorBidi"/>
          <w:sz w:val="26"/>
          <w:szCs w:val="26"/>
        </w:rPr>
        <w:t>. This percentage increased at 50% in comparison</w:t>
      </w:r>
    </w:p>
    <w:p w14:paraId="0EAD0A11" w14:textId="025584AA" w:rsidR="009669C2" w:rsidRPr="00B879B3" w:rsidRDefault="00870F70" w:rsidP="00870F70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>W</w:t>
      </w:r>
      <w:r w:rsidR="0059583E" w:rsidRPr="00B879B3">
        <w:rPr>
          <w:rFonts w:asciiTheme="majorBidi" w:hAnsiTheme="majorBidi" w:cstheme="majorBidi"/>
          <w:sz w:val="26"/>
          <w:szCs w:val="26"/>
        </w:rPr>
        <w:t>ith</w:t>
      </w:r>
      <w:r w:rsidRPr="00B879B3">
        <w:rPr>
          <w:rFonts w:asciiTheme="majorBidi" w:hAnsiTheme="majorBidi" w:cstheme="majorBidi"/>
          <w:sz w:val="26"/>
          <w:szCs w:val="26"/>
        </w:rPr>
        <w:t xml:space="preserve"> the year 2014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>which was</w:t>
      </w:r>
      <w:r w:rsidR="009669C2" w:rsidRPr="00B879B3">
        <w:rPr>
          <w:rFonts w:asciiTheme="majorBidi" w:hAnsiTheme="majorBidi" w:cstheme="majorBidi"/>
          <w:sz w:val="26"/>
          <w:szCs w:val="26"/>
        </w:rPr>
        <w:t xml:space="preserve"> 1.4% </w:t>
      </w:r>
    </w:p>
    <w:p w14:paraId="1F67DECE" w14:textId="77777777" w:rsidR="009669C2" w:rsidRPr="00C8206F" w:rsidRDefault="009669C2" w:rsidP="009669C2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6EDB5A40" w14:textId="2D9474F6" w:rsidR="00521B02" w:rsidRPr="00B879B3" w:rsidRDefault="00521B02" w:rsidP="00521B02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1.3% of children under the age of five years in Palestine in 2019 suffer from wasting. The percentage was 1.7% in the West Bank and 0.8% in Gaza Strip. This percentage has remained steady as compared to 2014, 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where </w:t>
      </w:r>
      <w:r w:rsidRPr="00B879B3">
        <w:rPr>
          <w:rFonts w:asciiTheme="majorBidi" w:hAnsiTheme="majorBidi" w:cstheme="majorBidi"/>
          <w:sz w:val="26"/>
          <w:szCs w:val="26"/>
        </w:rPr>
        <w:t>it reached 1.2%.</w:t>
      </w:r>
    </w:p>
    <w:p w14:paraId="70224C26" w14:textId="5659945D" w:rsidR="00521B02" w:rsidRDefault="00521B02" w:rsidP="00521B02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" w:name="_Toc142800363"/>
    </w:p>
    <w:p w14:paraId="459D9125" w14:textId="02EC42D6" w:rsidR="00C8206F" w:rsidRDefault="00C8206F" w:rsidP="00C8206F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CCCB58D" w14:textId="57854330" w:rsidR="00C8206F" w:rsidRDefault="00C8206F" w:rsidP="00C8206F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E6F7BE7" w14:textId="77777777" w:rsidR="00C8206F" w:rsidRPr="00B879B3" w:rsidRDefault="00C8206F" w:rsidP="00C8206F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6ED0343B" w14:textId="77777777" w:rsidR="00521B02" w:rsidRPr="00B879B3" w:rsidRDefault="00521B02" w:rsidP="00521B02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The percentage of children under five years by nutritional status and sex, 2019- 2020</w:t>
      </w:r>
    </w:p>
    <w:p w14:paraId="4470A0F6" w14:textId="77777777" w:rsidR="00521B02" w:rsidRPr="00B879B3" w:rsidRDefault="00521B02" w:rsidP="00521B02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GridTable5Dark-Accent1"/>
        <w:bidiVisual/>
        <w:tblW w:w="5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47"/>
        <w:gridCol w:w="1536"/>
        <w:gridCol w:w="2520"/>
      </w:tblGrid>
      <w:tr w:rsidR="00521B02" w:rsidRPr="00B879B3" w14:paraId="355CE49D" w14:textId="77777777" w:rsidTr="00C82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4"/>
          <w:jc w:val="center"/>
        </w:trPr>
        <w:tc>
          <w:tcPr>
            <w:tcW w:w="15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FDBDC01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Female</w:t>
            </w:r>
          </w:p>
        </w:tc>
        <w:tc>
          <w:tcPr>
            <w:tcW w:w="15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2093D5A7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Male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2781F7D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Malnutrition Indicators</w:t>
            </w:r>
          </w:p>
        </w:tc>
      </w:tr>
      <w:tr w:rsidR="00521B02" w:rsidRPr="00B879B3" w14:paraId="79CD6AE7" w14:textId="77777777" w:rsidTr="00C8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8"/>
          <w:jc w:val="center"/>
        </w:trPr>
        <w:tc>
          <w:tcPr>
            <w:tcW w:w="1547" w:type="dxa"/>
            <w:vAlign w:val="center"/>
          </w:tcPr>
          <w:p w14:paraId="47BB2B95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  <w:rtl/>
              </w:rPr>
              <w:t>8.8</w:t>
            </w:r>
          </w:p>
        </w:tc>
        <w:tc>
          <w:tcPr>
            <w:tcW w:w="1536" w:type="dxa"/>
            <w:vAlign w:val="center"/>
          </w:tcPr>
          <w:p w14:paraId="7283D715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  <w:rtl/>
              </w:rPr>
              <w:t>8.6</w:t>
            </w:r>
          </w:p>
        </w:tc>
        <w:tc>
          <w:tcPr>
            <w:tcW w:w="2520" w:type="dxa"/>
            <w:vAlign w:val="center"/>
          </w:tcPr>
          <w:p w14:paraId="46DF264E" w14:textId="77777777" w:rsidR="00521B02" w:rsidRPr="00B879B3" w:rsidRDefault="00521B02" w:rsidP="00A14FF5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Stunting</w:t>
            </w:r>
          </w:p>
        </w:tc>
      </w:tr>
      <w:tr w:rsidR="00521B02" w:rsidRPr="00B879B3" w14:paraId="7CA5B8D5" w14:textId="77777777" w:rsidTr="00C8206F">
        <w:trPr>
          <w:trHeight w:hRule="exact" w:val="474"/>
          <w:jc w:val="center"/>
        </w:trPr>
        <w:tc>
          <w:tcPr>
            <w:tcW w:w="1547" w:type="dxa"/>
            <w:vAlign w:val="center"/>
          </w:tcPr>
          <w:p w14:paraId="588B27B0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  <w:rtl/>
              </w:rPr>
              <w:t>1.6</w:t>
            </w:r>
          </w:p>
        </w:tc>
        <w:tc>
          <w:tcPr>
            <w:tcW w:w="1536" w:type="dxa"/>
            <w:vAlign w:val="center"/>
          </w:tcPr>
          <w:p w14:paraId="6D7E69DF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  <w:rtl/>
              </w:rPr>
              <w:t>2.6</w:t>
            </w:r>
          </w:p>
        </w:tc>
        <w:tc>
          <w:tcPr>
            <w:tcW w:w="2520" w:type="dxa"/>
            <w:vAlign w:val="center"/>
          </w:tcPr>
          <w:p w14:paraId="25B06F2C" w14:textId="77777777" w:rsidR="00521B02" w:rsidRPr="00B879B3" w:rsidRDefault="00521B02" w:rsidP="00A14FF5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Underweight</w:t>
            </w:r>
          </w:p>
        </w:tc>
      </w:tr>
      <w:tr w:rsidR="00521B02" w:rsidRPr="00B879B3" w14:paraId="19C3FC93" w14:textId="77777777" w:rsidTr="00C82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1"/>
          <w:jc w:val="center"/>
        </w:trPr>
        <w:tc>
          <w:tcPr>
            <w:tcW w:w="1547" w:type="dxa"/>
            <w:vAlign w:val="center"/>
          </w:tcPr>
          <w:p w14:paraId="7CB0B903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  <w:rtl/>
              </w:rPr>
              <w:t>1.3</w:t>
            </w:r>
          </w:p>
        </w:tc>
        <w:tc>
          <w:tcPr>
            <w:tcW w:w="1536" w:type="dxa"/>
            <w:vAlign w:val="center"/>
          </w:tcPr>
          <w:p w14:paraId="22B6AF30" w14:textId="77777777" w:rsidR="00521B02" w:rsidRPr="00B879B3" w:rsidRDefault="00521B02" w:rsidP="00CB371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  <w:rtl/>
              </w:rPr>
              <w:t>1.3</w:t>
            </w:r>
          </w:p>
        </w:tc>
        <w:tc>
          <w:tcPr>
            <w:tcW w:w="2520" w:type="dxa"/>
            <w:vAlign w:val="center"/>
          </w:tcPr>
          <w:p w14:paraId="556B8B18" w14:textId="77777777" w:rsidR="00521B02" w:rsidRPr="00B879B3" w:rsidRDefault="00521B02" w:rsidP="00A14FF5">
            <w:pPr>
              <w:bidi w:val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sz w:val="26"/>
                <w:szCs w:val="26"/>
              </w:rPr>
              <w:t>Wasting</w:t>
            </w:r>
          </w:p>
        </w:tc>
      </w:tr>
      <w:bookmarkEnd w:id="1"/>
    </w:tbl>
    <w:p w14:paraId="0EBD599D" w14:textId="77777777" w:rsidR="006C6073" w:rsidRPr="00C8206F" w:rsidRDefault="006C6073" w:rsidP="00A10A71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1D67B934" w14:textId="4FE0554C" w:rsidR="00AE20ED" w:rsidRPr="00B879B3" w:rsidRDefault="006C6073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Disability among children in the age group (10-17) years in Gaza Strip is higher than in the West Bank</w:t>
      </w:r>
    </w:p>
    <w:p w14:paraId="2F38B8B0" w14:textId="560BB7C9" w:rsidR="006C6073" w:rsidRPr="00B879B3" w:rsidRDefault="00AE20ED" w:rsidP="00A10A71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>The Labor Force Survey 2020 database indicated that</w:t>
      </w:r>
      <w:r w:rsidRPr="00B879B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6C6073" w:rsidRPr="00B879B3">
        <w:rPr>
          <w:rFonts w:asciiTheme="majorBidi" w:hAnsiTheme="majorBidi" w:cstheme="majorBidi"/>
          <w:sz w:val="26"/>
          <w:szCs w:val="26"/>
        </w:rPr>
        <w:t xml:space="preserve">1.2% of children in the age group (10-17) years have at least one type of disability (1% in the West Bank and 1.4% in Gaza Strip), and 1.5% of </w:t>
      </w:r>
      <w:r w:rsidR="0059583E" w:rsidRPr="00B879B3">
        <w:rPr>
          <w:rFonts w:asciiTheme="majorBidi" w:hAnsiTheme="majorBidi" w:cstheme="majorBidi"/>
          <w:sz w:val="26"/>
          <w:szCs w:val="26"/>
        </w:rPr>
        <w:t xml:space="preserve">male </w:t>
      </w:r>
      <w:r w:rsidR="006C6073" w:rsidRPr="00B879B3">
        <w:rPr>
          <w:rFonts w:asciiTheme="majorBidi" w:hAnsiTheme="majorBidi" w:cstheme="majorBidi"/>
          <w:sz w:val="26"/>
          <w:szCs w:val="26"/>
        </w:rPr>
        <w:t xml:space="preserve">children compared to 0.8% of female </w:t>
      </w:r>
      <w:r w:rsidR="0059583E" w:rsidRPr="00B879B3">
        <w:rPr>
          <w:rFonts w:asciiTheme="majorBidi" w:hAnsiTheme="majorBidi" w:cstheme="majorBidi"/>
          <w:sz w:val="26"/>
          <w:szCs w:val="26"/>
        </w:rPr>
        <w:t>childern</w:t>
      </w:r>
      <w:r w:rsidR="006C6073" w:rsidRPr="00B879B3">
        <w:rPr>
          <w:rFonts w:asciiTheme="majorBidi" w:hAnsiTheme="majorBidi" w:cstheme="majorBidi"/>
          <w:sz w:val="26"/>
          <w:szCs w:val="26"/>
        </w:rPr>
        <w:t>.</w:t>
      </w:r>
    </w:p>
    <w:p w14:paraId="2E1205A4" w14:textId="77777777" w:rsidR="00E27B73" w:rsidRPr="00C8206F" w:rsidRDefault="00E27B73" w:rsidP="00A10A71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370E6AD5" w14:textId="5B825E14" w:rsidR="00B40277" w:rsidRPr="00B879B3" w:rsidRDefault="007F25D0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2.3% of children in Palestine are orphans </w:t>
      </w:r>
    </w:p>
    <w:p w14:paraId="3F254BA4" w14:textId="328B688D" w:rsidR="00A10A71" w:rsidRPr="00B879B3" w:rsidRDefault="005B1CCD" w:rsidP="00BD4205">
      <w:pPr>
        <w:tabs>
          <w:tab w:val="right" w:pos="1134"/>
        </w:tabs>
        <w:bidi w:val="0"/>
        <w:jc w:val="both"/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2.3% of children aged (0-17 years) were orphans (had lost one or both parents): 2.0% in the West Bank and 2.7% in Gaza Strip.  Whereas 2.2% of children (0-17 years) live with their mothers only, and their fathers are alive, 2.7% in Gaza Strip, compared to 1.8% in the West Bank. While the percentage of children living with the father and their mothers alive was 1.0% in Palestine; </w:t>
      </w:r>
      <w:r w:rsidR="00294330" w:rsidRPr="00B879B3">
        <w:rPr>
          <w:rFonts w:asciiTheme="majorBidi" w:hAnsiTheme="majorBidi" w:cstheme="majorBidi"/>
          <w:sz w:val="26"/>
          <w:szCs w:val="26"/>
        </w:rPr>
        <w:t>b</w:t>
      </w:r>
      <w:r w:rsidRPr="00B879B3">
        <w:rPr>
          <w:rFonts w:asciiTheme="majorBidi" w:hAnsiTheme="majorBidi" w:cstheme="majorBidi"/>
          <w:sz w:val="26"/>
          <w:szCs w:val="26"/>
        </w:rPr>
        <w:t xml:space="preserve">y </w:t>
      </w:r>
      <w:r w:rsidR="00325A45" w:rsidRPr="00B879B3">
        <w:rPr>
          <w:rFonts w:asciiTheme="majorBidi" w:hAnsiTheme="majorBidi" w:cstheme="majorBidi"/>
          <w:sz w:val="26"/>
          <w:szCs w:val="26"/>
        </w:rPr>
        <w:t xml:space="preserve">0.6% in the West Bank and </w:t>
      </w:r>
      <w:r w:rsidRPr="00B879B3">
        <w:rPr>
          <w:rFonts w:asciiTheme="majorBidi" w:hAnsiTheme="majorBidi" w:cstheme="majorBidi"/>
          <w:sz w:val="26"/>
          <w:szCs w:val="26"/>
        </w:rPr>
        <w:t xml:space="preserve">1.5% in Gaza Strip </w:t>
      </w:r>
      <w:r w:rsidR="00852810" w:rsidRPr="00B879B3">
        <w:rPr>
          <w:rFonts w:asciiTheme="majorBidi" w:hAnsiTheme="majorBidi" w:cstheme="majorBidi"/>
          <w:sz w:val="26"/>
          <w:szCs w:val="26"/>
        </w:rPr>
        <w:t>according to the data for the year 2019.</w:t>
      </w:r>
      <w:r w:rsidR="00754E0F" w:rsidRPr="00B879B3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E</w:t>
      </w:r>
    </w:p>
    <w:p w14:paraId="14D39963" w14:textId="77777777" w:rsidR="0046290F" w:rsidRPr="00C8206F" w:rsidRDefault="0046290F" w:rsidP="0046290F">
      <w:pPr>
        <w:tabs>
          <w:tab w:val="right" w:pos="1134"/>
        </w:tabs>
        <w:bidi w:val="0"/>
        <w:jc w:val="both"/>
        <w:rPr>
          <w:rFonts w:asciiTheme="majorBidi" w:hAnsiTheme="majorBidi" w:cstheme="majorBidi"/>
          <w:b/>
          <w:bCs/>
          <w:color w:val="FFFFFF" w:themeColor="background1"/>
          <w:sz w:val="16"/>
          <w:szCs w:val="16"/>
          <w:rtl/>
        </w:rPr>
      </w:pPr>
    </w:p>
    <w:p w14:paraId="4749DBA8" w14:textId="0E877F20" w:rsidR="00D1001A" w:rsidRPr="00B879B3" w:rsidRDefault="00B63EBD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Female children follow the correct developmental path more than male children</w:t>
      </w:r>
    </w:p>
    <w:p w14:paraId="777C9E2F" w14:textId="16E36E5B" w:rsidR="00F755C0" w:rsidRPr="00B879B3" w:rsidRDefault="0059583E" w:rsidP="00AE5C58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>D</w:t>
      </w:r>
      <w:r w:rsidR="00754E0F" w:rsidRPr="00B879B3">
        <w:rPr>
          <w:rFonts w:asciiTheme="majorBidi" w:hAnsiTheme="majorBidi" w:cstheme="majorBidi"/>
          <w:sz w:val="26"/>
          <w:szCs w:val="26"/>
        </w:rPr>
        <w:t xml:space="preserve">ata </w:t>
      </w:r>
      <w:r w:rsidRPr="00B879B3">
        <w:rPr>
          <w:rFonts w:asciiTheme="majorBidi" w:hAnsiTheme="majorBidi" w:cstheme="majorBidi"/>
          <w:sz w:val="26"/>
          <w:szCs w:val="26"/>
        </w:rPr>
        <w:t xml:space="preserve">of </w:t>
      </w:r>
      <w:r w:rsidR="00754E0F" w:rsidRPr="00B879B3">
        <w:rPr>
          <w:rFonts w:asciiTheme="majorBidi" w:hAnsiTheme="majorBidi" w:cstheme="majorBidi"/>
          <w:sz w:val="26"/>
          <w:szCs w:val="26"/>
        </w:rPr>
        <w:t xml:space="preserve">2019 indicated that 83.9% of children of the age (3-4 years) are on the right path towards development and </w:t>
      </w:r>
      <w:r w:rsidR="00407DC3" w:rsidRPr="00B879B3">
        <w:rPr>
          <w:rFonts w:asciiTheme="majorBidi" w:hAnsiTheme="majorBidi" w:cstheme="majorBidi"/>
          <w:sz w:val="26"/>
          <w:szCs w:val="26"/>
        </w:rPr>
        <w:t>growth</w:t>
      </w:r>
      <w:r w:rsidR="00AE5C58" w:rsidRPr="00B879B3">
        <w:rPr>
          <w:rFonts w:asciiTheme="majorBidi" w:hAnsiTheme="majorBidi" w:cstheme="majorBidi"/>
          <w:sz w:val="26"/>
          <w:szCs w:val="26"/>
          <w:rtl/>
        </w:rPr>
        <w:t>,</w:t>
      </w:r>
      <w:r w:rsidR="00F755C0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 xml:space="preserve">84.2% </w:t>
      </w:r>
      <w:r w:rsidR="00F755C0" w:rsidRPr="00B879B3">
        <w:rPr>
          <w:rFonts w:asciiTheme="majorBidi" w:hAnsiTheme="majorBidi" w:cstheme="majorBidi"/>
          <w:sz w:val="26"/>
          <w:szCs w:val="26"/>
        </w:rPr>
        <w:t xml:space="preserve">in the West Bank and </w:t>
      </w:r>
      <w:r w:rsidR="00420044" w:rsidRPr="00B879B3">
        <w:rPr>
          <w:rFonts w:asciiTheme="majorBidi" w:hAnsiTheme="majorBidi" w:cstheme="majorBidi"/>
          <w:sz w:val="26"/>
          <w:szCs w:val="26"/>
        </w:rPr>
        <w:t xml:space="preserve">83.4% in </w:t>
      </w:r>
      <w:r w:rsidR="00F755C0" w:rsidRPr="00B879B3">
        <w:rPr>
          <w:rFonts w:asciiTheme="majorBidi" w:hAnsiTheme="majorBidi" w:cstheme="majorBidi"/>
          <w:sz w:val="26"/>
          <w:szCs w:val="26"/>
        </w:rPr>
        <w:t>Gaza Strip</w:t>
      </w:r>
      <w:r w:rsidR="00420044" w:rsidRPr="00B879B3">
        <w:rPr>
          <w:rFonts w:asciiTheme="majorBidi" w:hAnsiTheme="majorBidi" w:cstheme="majorBidi"/>
          <w:sz w:val="26"/>
          <w:szCs w:val="26"/>
        </w:rPr>
        <w:t>.</w:t>
      </w:r>
      <w:r w:rsidR="00F755C0" w:rsidRPr="00B879B3">
        <w:rPr>
          <w:rFonts w:asciiTheme="majorBidi" w:hAnsiTheme="majorBidi" w:cstheme="majorBidi"/>
          <w:sz w:val="26"/>
          <w:szCs w:val="26"/>
        </w:rPr>
        <w:t>As for gender, the percentage of female children (3-4 years) who are on the right developmental path is 86.2% compared to 81.7% for male children.</w:t>
      </w:r>
    </w:p>
    <w:p w14:paraId="02CD6F55" w14:textId="77777777" w:rsidR="00AE5C58" w:rsidRPr="00C8206F" w:rsidRDefault="00AE5C58" w:rsidP="00AE5C58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E34C5E8" w14:textId="4E3E37F4" w:rsidR="00AE5C58" w:rsidRPr="00B879B3" w:rsidRDefault="00420044" w:rsidP="00AE5C58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As for </w:t>
      </w:r>
      <w:r w:rsidR="00840658" w:rsidRPr="00B879B3">
        <w:rPr>
          <w:rFonts w:asciiTheme="majorBidi" w:hAnsiTheme="majorBidi" w:cstheme="majorBidi"/>
          <w:sz w:val="26"/>
          <w:szCs w:val="26"/>
        </w:rPr>
        <w:t xml:space="preserve">type of </w:t>
      </w:r>
      <w:r w:rsidR="00AE5C58" w:rsidRPr="00B879B3">
        <w:rPr>
          <w:rFonts w:asciiTheme="majorBidi" w:hAnsiTheme="majorBidi" w:cstheme="majorBidi"/>
          <w:sz w:val="26"/>
          <w:szCs w:val="26"/>
        </w:rPr>
        <w:t>locality, it was 84.2% for urban children, 82.8% for rural children, and 82.1% for camp children.</w:t>
      </w:r>
    </w:p>
    <w:p w14:paraId="69990755" w14:textId="77777777" w:rsidR="00AE5C58" w:rsidRPr="00C8206F" w:rsidRDefault="00AE5C58" w:rsidP="00AE5C58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2EBB459C" w14:textId="77777777" w:rsidR="00AE5C58" w:rsidRPr="00B879B3" w:rsidRDefault="00AE5C58" w:rsidP="00AE5C58">
      <w:pPr>
        <w:tabs>
          <w:tab w:val="right" w:pos="1134"/>
        </w:tabs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Early Childhood Development Index by Background Characteristics, 2019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72"/>
      </w:tblGrid>
      <w:tr w:rsidR="00AE5C58" w:rsidRPr="00B879B3" w14:paraId="44AEFFF8" w14:textId="77777777" w:rsidTr="00C8206F">
        <w:trPr>
          <w:trHeight w:val="2594"/>
          <w:jc w:val="center"/>
        </w:trPr>
        <w:tc>
          <w:tcPr>
            <w:tcW w:w="6038" w:type="dxa"/>
          </w:tcPr>
          <w:p w14:paraId="616A4391" w14:textId="77777777" w:rsidR="00AE5C58" w:rsidRPr="00B879B3" w:rsidRDefault="00AE5C58" w:rsidP="00EC57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879B3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359AB477" wp14:editId="3D0BD3A3">
                  <wp:extent cx="3718560" cy="1628775"/>
                  <wp:effectExtent l="0" t="0" r="0" b="0"/>
                  <wp:docPr id="2" name="Objec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089EB553" w14:textId="77777777" w:rsidR="00AE5C58" w:rsidRPr="00C8206F" w:rsidRDefault="00AE5C58" w:rsidP="00AE5C58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14:paraId="4B9ED7AA" w14:textId="5DA15B85" w:rsidR="00704212" w:rsidRPr="00B879B3" w:rsidRDefault="00754E0F" w:rsidP="00F755C0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B879B3">
        <w:rPr>
          <w:rFonts w:asciiTheme="majorBidi" w:hAnsiTheme="majorBidi" w:cstheme="majorBidi"/>
          <w:sz w:val="26"/>
          <w:szCs w:val="26"/>
        </w:rPr>
        <w:t>The analysis of the four areas of child development shows that 98.8% of children follow the correct path in the physical field, and that about 92.8% of children follow the correct path in the field of learning, while in the field of literacy - the principles of arithmetic, the percentage was 38.4%, and in the field (social - emotional) it reached 81.9%.</w:t>
      </w:r>
    </w:p>
    <w:p w14:paraId="27C47C89" w14:textId="77777777" w:rsidR="00AE5C58" w:rsidRPr="00C8206F" w:rsidRDefault="00AE5C58" w:rsidP="00AE5C58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37EA5D33" w14:textId="522F3BDC" w:rsidR="00FB2CD9" w:rsidRPr="00B879B3" w:rsidRDefault="00AE5C58" w:rsidP="00AE5C58">
      <w:pPr>
        <w:tabs>
          <w:tab w:val="right" w:pos="1134"/>
          <w:tab w:val="left" w:pos="7920"/>
        </w:tabs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B879B3">
        <w:rPr>
          <w:rFonts w:asciiTheme="majorBidi" w:hAnsiTheme="majorBidi" w:cstheme="majorBidi"/>
          <w:sz w:val="26"/>
          <w:szCs w:val="26"/>
        </w:rPr>
        <w:t>T</w:t>
      </w:r>
      <w:r w:rsidR="0054562A" w:rsidRPr="00B879B3">
        <w:rPr>
          <w:rFonts w:asciiTheme="majorBidi" w:hAnsiTheme="majorBidi" w:cstheme="majorBidi"/>
          <w:sz w:val="26"/>
          <w:szCs w:val="26"/>
        </w:rPr>
        <w:t xml:space="preserve">he early childhood development index is 90.9% among children at the age of 4 years, compared to 77.8% among children at the age of 3 years. </w:t>
      </w:r>
      <w:r w:rsidR="00840658" w:rsidRPr="00B879B3">
        <w:rPr>
          <w:rFonts w:asciiTheme="majorBidi" w:hAnsiTheme="majorBidi" w:cstheme="majorBidi"/>
          <w:sz w:val="26"/>
          <w:szCs w:val="26"/>
        </w:rPr>
        <w:t xml:space="preserve">This is because </w:t>
      </w:r>
      <w:r w:rsidR="0054562A" w:rsidRPr="00B879B3">
        <w:rPr>
          <w:rFonts w:asciiTheme="majorBidi" w:hAnsiTheme="majorBidi" w:cstheme="majorBidi"/>
          <w:sz w:val="26"/>
          <w:szCs w:val="26"/>
        </w:rPr>
        <w:t xml:space="preserve">children master more skills with age. A high level of early childhood development index is seen among children who attend </w:t>
      </w:r>
      <w:r w:rsidR="0054562A" w:rsidRPr="00B879B3">
        <w:rPr>
          <w:rFonts w:asciiTheme="majorBidi" w:hAnsiTheme="majorBidi" w:cstheme="majorBidi"/>
          <w:sz w:val="26"/>
          <w:szCs w:val="26"/>
        </w:rPr>
        <w:lastRenderedPageBreak/>
        <w:t>kindergarten</w:t>
      </w:r>
      <w:r w:rsidR="00B12896" w:rsidRPr="00B879B3">
        <w:rPr>
          <w:rFonts w:asciiTheme="majorBidi" w:hAnsiTheme="majorBidi" w:cstheme="majorBidi"/>
          <w:sz w:val="26"/>
          <w:szCs w:val="26"/>
        </w:rPr>
        <w:t>s</w:t>
      </w:r>
      <w:r w:rsidR="0054562A" w:rsidRPr="00B879B3">
        <w:rPr>
          <w:rFonts w:asciiTheme="majorBidi" w:hAnsiTheme="majorBidi" w:cstheme="majorBidi"/>
          <w:sz w:val="26"/>
          <w:szCs w:val="26"/>
        </w:rPr>
        <w:t xml:space="preserve"> (pre-school education) by 92.1% compared with 79.5% for those children who </w:t>
      </w:r>
      <w:r w:rsidR="00840658" w:rsidRPr="00B879B3">
        <w:rPr>
          <w:rFonts w:asciiTheme="majorBidi" w:hAnsiTheme="majorBidi" w:cstheme="majorBidi"/>
          <w:sz w:val="26"/>
          <w:szCs w:val="26"/>
        </w:rPr>
        <w:t xml:space="preserve">did </w:t>
      </w:r>
      <w:r w:rsidR="0054562A" w:rsidRPr="00B879B3">
        <w:rPr>
          <w:rFonts w:asciiTheme="majorBidi" w:hAnsiTheme="majorBidi" w:cstheme="majorBidi"/>
          <w:sz w:val="26"/>
          <w:szCs w:val="26"/>
        </w:rPr>
        <w:t>not attend kindergarten</w:t>
      </w:r>
      <w:r w:rsidR="00B12896" w:rsidRPr="00B879B3">
        <w:rPr>
          <w:rFonts w:asciiTheme="majorBidi" w:hAnsiTheme="majorBidi" w:cstheme="majorBidi"/>
          <w:sz w:val="26"/>
          <w:szCs w:val="26"/>
        </w:rPr>
        <w:t>s</w:t>
      </w:r>
      <w:r w:rsidR="0054562A" w:rsidRPr="00B879B3">
        <w:rPr>
          <w:rFonts w:asciiTheme="majorBidi" w:hAnsiTheme="majorBidi" w:cstheme="majorBidi"/>
          <w:sz w:val="26"/>
          <w:szCs w:val="26"/>
        </w:rPr>
        <w:t>.</w:t>
      </w:r>
    </w:p>
    <w:p w14:paraId="791852BE" w14:textId="497550A5" w:rsidR="005A4B9C" w:rsidRPr="00B879B3" w:rsidRDefault="005A4B9C" w:rsidP="005A4B9C">
      <w:pPr>
        <w:tabs>
          <w:tab w:val="right" w:pos="1134"/>
          <w:tab w:val="left" w:pos="7920"/>
        </w:tabs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4CF8324D" w14:textId="5312687E" w:rsidR="0054562A" w:rsidRPr="00B879B3" w:rsidRDefault="0054562A" w:rsidP="00A10A71">
      <w:pPr>
        <w:tabs>
          <w:tab w:val="right" w:pos="1134"/>
        </w:tabs>
        <w:bidi w:val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Early Childhood Development Index by Age / Enrolled in </w:t>
      </w:r>
      <w:r w:rsidR="00840658" w:rsidRPr="00B879B3">
        <w:rPr>
          <w:rFonts w:asciiTheme="majorBidi" w:hAnsiTheme="majorBidi" w:cstheme="majorBidi"/>
          <w:b/>
          <w:bCs/>
          <w:sz w:val="26"/>
          <w:szCs w:val="26"/>
        </w:rPr>
        <w:t>education, 2019</w:t>
      </w:r>
    </w:p>
    <w:tbl>
      <w:tblPr>
        <w:tblStyle w:val="TableGrid"/>
        <w:bidiVisual/>
        <w:tblW w:w="4885" w:type="dxa"/>
        <w:jc w:val="center"/>
        <w:tblLook w:val="04A0" w:firstRow="1" w:lastRow="0" w:firstColumn="1" w:lastColumn="0" w:noHBand="0" w:noVBand="1"/>
      </w:tblPr>
      <w:tblGrid>
        <w:gridCol w:w="4885"/>
      </w:tblGrid>
      <w:tr w:rsidR="005A4B9C" w:rsidRPr="00B879B3" w14:paraId="57AB31E3" w14:textId="77777777" w:rsidTr="00C8206F">
        <w:trPr>
          <w:jc w:val="center"/>
        </w:trPr>
        <w:tc>
          <w:tcPr>
            <w:tcW w:w="4885" w:type="dxa"/>
          </w:tcPr>
          <w:p w14:paraId="387ABCD6" w14:textId="77777777" w:rsidR="005A4B9C" w:rsidRPr="00B879B3" w:rsidRDefault="005A4B9C" w:rsidP="009043B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val="en-GB" w:bidi="ar-JO"/>
              </w:rPr>
            </w:pPr>
            <w:r w:rsidRPr="00B879B3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5DA5AAA1" wp14:editId="378FC22C">
                  <wp:extent cx="2501053" cy="1584960"/>
                  <wp:effectExtent l="0" t="0" r="0" b="0"/>
                  <wp:docPr id="48" name="Objec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400D863A" w14:textId="77777777" w:rsidR="00C8206F" w:rsidRPr="00C8206F" w:rsidRDefault="00C8206F" w:rsidP="000B57B9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12121AA8" w14:textId="7D18EB73" w:rsidR="00521B02" w:rsidRPr="00B879B3" w:rsidRDefault="00521B02" w:rsidP="00C8206F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140</w:t>
      </w:r>
      <w:r w:rsidRPr="00B879B3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>children are detained in the Israeli prisons</w:t>
      </w:r>
    </w:p>
    <w:p w14:paraId="5B956131" w14:textId="5BE406EB" w:rsidR="00341113" w:rsidRPr="00B879B3" w:rsidRDefault="00E62865" w:rsidP="00B12896">
      <w:pPr>
        <w:bidi w:val="0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The data of the </w:t>
      </w:r>
      <w:r w:rsidR="00840658" w:rsidRPr="00B879B3">
        <w:rPr>
          <w:rFonts w:asciiTheme="majorBidi" w:eastAsia="Times New Roman" w:hAnsiTheme="majorBidi" w:cstheme="majorBidi"/>
          <w:sz w:val="26"/>
          <w:szCs w:val="26"/>
        </w:rPr>
        <w:t>the</w:t>
      </w: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 Commission of Detainees </w:t>
      </w:r>
      <w:r w:rsidR="00B12896" w:rsidRPr="00B879B3">
        <w:rPr>
          <w:rFonts w:asciiTheme="majorBidi" w:eastAsia="Times New Roman" w:hAnsiTheme="majorBidi" w:cstheme="majorBidi"/>
          <w:sz w:val="26"/>
          <w:szCs w:val="26"/>
        </w:rPr>
        <w:t xml:space="preserve">and Ex-Detainees </w:t>
      </w:r>
      <w:r w:rsidR="00840658" w:rsidRPr="00B879B3">
        <w:rPr>
          <w:rFonts w:asciiTheme="majorBidi" w:eastAsia="Times New Roman" w:hAnsiTheme="majorBidi" w:cstheme="majorBidi"/>
          <w:sz w:val="26"/>
          <w:szCs w:val="26"/>
        </w:rPr>
        <w:t>Affairs indicated</w:t>
      </w: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 that the number of Palestinian prisoners and detainees in the occupation prisons reached about 4,500 prisoners by the end of January 2021</w:t>
      </w:r>
      <w:r w:rsidR="00CB1168" w:rsidRPr="00B879B3">
        <w:rPr>
          <w:rFonts w:asciiTheme="majorBidi" w:eastAsia="Times New Roman" w:hAnsiTheme="majorBidi" w:cstheme="majorBidi"/>
          <w:sz w:val="26"/>
          <w:szCs w:val="26"/>
        </w:rPr>
        <w:t>,</w:t>
      </w: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CB1168" w:rsidRPr="00B879B3">
        <w:rPr>
          <w:rFonts w:asciiTheme="majorBidi" w:eastAsia="Times New Roman" w:hAnsiTheme="majorBidi" w:cstheme="majorBidi"/>
          <w:sz w:val="26"/>
          <w:szCs w:val="26"/>
        </w:rPr>
        <w:t>including 140 children</w:t>
      </w: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B12896" w:rsidRPr="00B879B3">
        <w:rPr>
          <w:rFonts w:asciiTheme="majorBidi" w:eastAsia="Times New Roman" w:hAnsiTheme="majorBidi" w:cstheme="majorBidi"/>
          <w:sz w:val="26"/>
          <w:szCs w:val="26"/>
        </w:rPr>
        <w:t>equivalent to</w:t>
      </w: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 3.1% of the total number of prisoners.</w:t>
      </w:r>
      <w:r w:rsidR="00341113" w:rsidRPr="00B879B3">
        <w:rPr>
          <w:rFonts w:asciiTheme="majorBidi" w:eastAsia="Times New Roman" w:hAnsiTheme="majorBidi" w:cstheme="majorBidi"/>
          <w:sz w:val="26"/>
          <w:szCs w:val="26"/>
        </w:rPr>
        <w:t xml:space="preserve"> As they are still in detention, they are deprived of their childhood, including continuing their studies, in addition to being subjected to violations during arrest, </w:t>
      </w:r>
      <w:r w:rsidR="00840658" w:rsidRPr="00B879B3">
        <w:rPr>
          <w:rFonts w:asciiTheme="majorBidi" w:eastAsia="Times New Roman" w:hAnsiTheme="majorBidi" w:cstheme="majorBidi"/>
          <w:sz w:val="26"/>
          <w:szCs w:val="26"/>
        </w:rPr>
        <w:t>wh</w:t>
      </w:r>
      <w:r w:rsidR="00B12896" w:rsidRPr="00B879B3">
        <w:rPr>
          <w:rFonts w:asciiTheme="majorBidi" w:eastAsia="Times New Roman" w:hAnsiTheme="majorBidi" w:cstheme="majorBidi"/>
          <w:sz w:val="26"/>
          <w:szCs w:val="26"/>
        </w:rPr>
        <w:t>i</w:t>
      </w:r>
      <w:r w:rsidR="00840658" w:rsidRPr="00B879B3">
        <w:rPr>
          <w:rFonts w:asciiTheme="majorBidi" w:eastAsia="Times New Roman" w:hAnsiTheme="majorBidi" w:cstheme="majorBidi"/>
          <w:sz w:val="26"/>
          <w:szCs w:val="26"/>
        </w:rPr>
        <w:t xml:space="preserve">ch violates </w:t>
      </w:r>
      <w:r w:rsidR="00341113" w:rsidRPr="00B879B3">
        <w:rPr>
          <w:rFonts w:asciiTheme="majorBidi" w:eastAsia="Times New Roman" w:hAnsiTheme="majorBidi" w:cstheme="majorBidi"/>
          <w:sz w:val="26"/>
          <w:szCs w:val="26"/>
        </w:rPr>
        <w:t xml:space="preserve">the rules of international law and the Convention </w:t>
      </w:r>
      <w:r w:rsidR="00840658" w:rsidRPr="00B879B3">
        <w:rPr>
          <w:rFonts w:asciiTheme="majorBidi" w:eastAsia="Times New Roman" w:hAnsiTheme="majorBidi" w:cstheme="majorBidi"/>
          <w:sz w:val="26"/>
          <w:szCs w:val="26"/>
        </w:rPr>
        <w:t xml:space="preserve">of </w:t>
      </w:r>
      <w:r w:rsidR="00341113" w:rsidRPr="00B879B3">
        <w:rPr>
          <w:rFonts w:asciiTheme="majorBidi" w:eastAsia="Times New Roman" w:hAnsiTheme="majorBidi" w:cstheme="majorBidi"/>
          <w:sz w:val="26"/>
          <w:szCs w:val="26"/>
        </w:rPr>
        <w:t>the Rights of the Child.</w:t>
      </w:r>
    </w:p>
    <w:p w14:paraId="0CBE7D8E" w14:textId="77777777" w:rsidR="002E3EA5" w:rsidRPr="00C8206F" w:rsidRDefault="002E3EA5" w:rsidP="002E3EA5">
      <w:pPr>
        <w:bidi w:val="0"/>
        <w:jc w:val="both"/>
        <w:rPr>
          <w:rFonts w:asciiTheme="majorBidi" w:eastAsia="Times New Roman" w:hAnsiTheme="majorBidi" w:cstheme="majorBidi"/>
          <w:sz w:val="16"/>
          <w:szCs w:val="16"/>
        </w:rPr>
      </w:pPr>
    </w:p>
    <w:p w14:paraId="6820CFE1" w14:textId="5B728CE5" w:rsidR="003152E9" w:rsidRPr="00B879B3" w:rsidRDefault="00E62865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9 martyrs were children in 2020</w:t>
      </w:r>
    </w:p>
    <w:p w14:paraId="53D82005" w14:textId="0F2E959A" w:rsidR="002E3EA5" w:rsidRPr="00B879B3" w:rsidRDefault="00E62865" w:rsidP="000B57B9">
      <w:pPr>
        <w:tabs>
          <w:tab w:val="right" w:pos="1134"/>
        </w:tabs>
        <w:bidi w:val="0"/>
        <w:jc w:val="both"/>
        <w:rPr>
          <w:rFonts w:asciiTheme="majorBidi" w:eastAsia="Times New Roman" w:hAnsiTheme="majorBidi" w:cstheme="majorBidi"/>
          <w:sz w:val="26"/>
          <w:szCs w:val="26"/>
          <w:rtl/>
        </w:rPr>
      </w:pPr>
      <w:r w:rsidRPr="00B879B3">
        <w:rPr>
          <w:rFonts w:asciiTheme="majorBidi" w:eastAsia="Times New Roman" w:hAnsiTheme="majorBidi" w:cstheme="majorBidi"/>
          <w:sz w:val="26"/>
          <w:szCs w:val="26"/>
        </w:rPr>
        <w:t xml:space="preserve">According to the records of the Defense for Children International </w:t>
      </w:r>
      <w:r w:rsidR="00B12896" w:rsidRPr="00B879B3">
        <w:rPr>
          <w:rFonts w:asciiTheme="majorBidi" w:eastAsia="Times New Roman" w:hAnsiTheme="majorBidi" w:cstheme="majorBidi"/>
          <w:sz w:val="26"/>
          <w:szCs w:val="26"/>
        </w:rPr>
        <w:t xml:space="preserve">- </w:t>
      </w:r>
      <w:r w:rsidRPr="00B879B3">
        <w:rPr>
          <w:rFonts w:asciiTheme="majorBidi" w:eastAsia="Times New Roman" w:hAnsiTheme="majorBidi" w:cstheme="majorBidi"/>
          <w:sz w:val="26"/>
          <w:szCs w:val="26"/>
        </w:rPr>
        <w:t>Palestine (DCIP), 9 children were martyred in 2020 compared to 28 child martyrs during 2019.</w:t>
      </w:r>
    </w:p>
    <w:p w14:paraId="092DE940" w14:textId="77777777" w:rsidR="000B57B9" w:rsidRPr="00C8206F" w:rsidRDefault="000B57B9" w:rsidP="000B57B9">
      <w:pPr>
        <w:tabs>
          <w:tab w:val="right" w:pos="1134"/>
        </w:tabs>
        <w:bidi w:val="0"/>
        <w:jc w:val="both"/>
        <w:rPr>
          <w:rFonts w:asciiTheme="majorBidi" w:eastAsia="Times New Roman" w:hAnsiTheme="majorBidi" w:cstheme="majorBidi"/>
          <w:sz w:val="16"/>
          <w:szCs w:val="16"/>
        </w:rPr>
      </w:pPr>
    </w:p>
    <w:p w14:paraId="3B17716F" w14:textId="156BF291" w:rsidR="002E3EA5" w:rsidRPr="00B879B3" w:rsidRDefault="002E3EA5" w:rsidP="000B57B9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Less than one-fifth of the Coronavirus cases in Palestine </w:t>
      </w:r>
      <w:r w:rsidR="00840658"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are 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 xml:space="preserve">among children </w:t>
      </w:r>
      <w:r w:rsidR="00B12896" w:rsidRPr="00B879B3">
        <w:rPr>
          <w:rFonts w:asciiTheme="majorBidi" w:hAnsiTheme="majorBidi" w:cstheme="majorBidi"/>
          <w:b/>
          <w:bCs/>
          <w:sz w:val="26"/>
          <w:szCs w:val="26"/>
        </w:rPr>
        <w:t>(</w:t>
      </w:r>
      <w:r w:rsidRPr="00B879B3">
        <w:rPr>
          <w:rFonts w:asciiTheme="majorBidi" w:hAnsiTheme="majorBidi" w:cstheme="majorBidi"/>
          <w:b/>
          <w:bCs/>
          <w:sz w:val="26"/>
          <w:szCs w:val="26"/>
        </w:rPr>
        <w:t>18 years or less</w:t>
      </w:r>
      <w:r w:rsidR="00B12896" w:rsidRPr="00B879B3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14:paraId="0D6776CF" w14:textId="4978F1EA" w:rsidR="002E3EA5" w:rsidRPr="00B879B3" w:rsidRDefault="002E3EA5" w:rsidP="00B12896">
      <w:pPr>
        <w:keepNext/>
        <w:keepLines/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B879B3">
        <w:rPr>
          <w:rFonts w:asciiTheme="majorBidi" w:hAnsiTheme="majorBidi" w:cstheme="majorBidi"/>
          <w:sz w:val="26"/>
          <w:szCs w:val="26"/>
        </w:rPr>
        <w:t xml:space="preserve">The percentage of children </w:t>
      </w:r>
      <w:r w:rsidR="00B12896" w:rsidRPr="00B879B3">
        <w:rPr>
          <w:rFonts w:asciiTheme="majorBidi" w:hAnsiTheme="majorBidi" w:cstheme="majorBidi"/>
          <w:sz w:val="26"/>
          <w:szCs w:val="26"/>
        </w:rPr>
        <w:t>(</w:t>
      </w:r>
      <w:r w:rsidRPr="00B879B3">
        <w:rPr>
          <w:rFonts w:asciiTheme="majorBidi" w:hAnsiTheme="majorBidi" w:cstheme="majorBidi"/>
          <w:sz w:val="26"/>
          <w:szCs w:val="26"/>
        </w:rPr>
        <w:t>18 years or less</w:t>
      </w:r>
      <w:r w:rsidR="00B12896" w:rsidRPr="00B879B3">
        <w:rPr>
          <w:rFonts w:asciiTheme="majorBidi" w:hAnsiTheme="majorBidi" w:cstheme="majorBidi"/>
          <w:sz w:val="26"/>
          <w:szCs w:val="26"/>
        </w:rPr>
        <w:t>)</w:t>
      </w:r>
      <w:r w:rsidRPr="00B879B3">
        <w:rPr>
          <w:rFonts w:asciiTheme="majorBidi" w:hAnsiTheme="majorBidi" w:cstheme="majorBidi"/>
          <w:sz w:val="26"/>
          <w:szCs w:val="26"/>
        </w:rPr>
        <w:t xml:space="preserve"> who were infected with Coronavirus</w:t>
      </w:r>
      <w:r w:rsidR="00840658" w:rsidRPr="00B879B3">
        <w:rPr>
          <w:rFonts w:asciiTheme="majorBidi" w:hAnsiTheme="majorBidi" w:cstheme="majorBidi"/>
          <w:sz w:val="26"/>
          <w:szCs w:val="26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 xml:space="preserve">in Palestine up to </w:t>
      </w:r>
      <w:r w:rsidRPr="00B879B3">
        <w:rPr>
          <w:rFonts w:asciiTheme="majorBidi" w:hAnsiTheme="majorBidi" w:cstheme="majorBidi"/>
          <w:sz w:val="26"/>
          <w:szCs w:val="26"/>
          <w:rtl/>
        </w:rPr>
        <w:t>30</w:t>
      </w:r>
      <w:r w:rsidRPr="00B879B3">
        <w:rPr>
          <w:rFonts w:asciiTheme="majorBidi" w:hAnsiTheme="majorBidi" w:cstheme="majorBidi"/>
          <w:sz w:val="26"/>
          <w:szCs w:val="26"/>
        </w:rPr>
        <w:t>/03/2021 reached 14.</w:t>
      </w:r>
      <w:r w:rsidRPr="00B879B3">
        <w:rPr>
          <w:rFonts w:asciiTheme="majorBidi" w:hAnsiTheme="majorBidi" w:cstheme="majorBidi"/>
          <w:sz w:val="26"/>
          <w:szCs w:val="26"/>
          <w:rtl/>
        </w:rPr>
        <w:t>1</w:t>
      </w:r>
      <w:r w:rsidRPr="00B879B3">
        <w:rPr>
          <w:rFonts w:asciiTheme="majorBidi" w:hAnsiTheme="majorBidi" w:cstheme="majorBidi"/>
          <w:sz w:val="26"/>
          <w:szCs w:val="26"/>
        </w:rPr>
        <w:t>% of the total number of infected people in Palestine</w:t>
      </w:r>
      <w:r w:rsidRPr="00B879B3">
        <w:rPr>
          <w:rFonts w:asciiTheme="majorBidi" w:hAnsiTheme="majorBidi" w:cstheme="majorBidi"/>
          <w:sz w:val="26"/>
          <w:szCs w:val="26"/>
          <w:vertAlign w:val="superscript"/>
        </w:rPr>
        <w:footnoteReference w:id="2"/>
      </w:r>
      <w:r w:rsidRPr="00B879B3">
        <w:rPr>
          <w:rFonts w:asciiTheme="majorBidi" w:hAnsiTheme="majorBidi" w:cstheme="majorBidi"/>
          <w:sz w:val="26"/>
          <w:szCs w:val="26"/>
        </w:rPr>
        <w:t>,</w:t>
      </w:r>
      <w:r w:rsidRPr="00B879B3">
        <w:rPr>
          <w:rFonts w:asciiTheme="majorBidi" w:hAnsiTheme="majorBidi" w:cstheme="majorBidi"/>
          <w:sz w:val="26"/>
          <w:szCs w:val="26"/>
          <w:vertAlign w:val="superscript"/>
        </w:rPr>
        <w:t xml:space="preserve"> </w:t>
      </w:r>
      <w:r w:rsidRPr="00B879B3">
        <w:rPr>
          <w:rFonts w:asciiTheme="majorBidi" w:hAnsiTheme="majorBidi" w:cstheme="majorBidi"/>
          <w:sz w:val="26"/>
          <w:szCs w:val="26"/>
        </w:rPr>
        <w:t>(50.</w:t>
      </w:r>
      <w:r w:rsidRPr="00B879B3">
        <w:rPr>
          <w:rFonts w:asciiTheme="majorBidi" w:hAnsiTheme="majorBidi" w:cstheme="majorBidi"/>
          <w:sz w:val="26"/>
          <w:szCs w:val="26"/>
          <w:rtl/>
        </w:rPr>
        <w:t>8</w:t>
      </w:r>
      <w:r w:rsidRPr="00B879B3">
        <w:rPr>
          <w:rFonts w:asciiTheme="majorBidi" w:hAnsiTheme="majorBidi" w:cstheme="majorBidi"/>
          <w:sz w:val="26"/>
          <w:szCs w:val="26"/>
        </w:rPr>
        <w:t>% of them are males and 49.</w:t>
      </w:r>
      <w:r w:rsidRPr="00B879B3">
        <w:rPr>
          <w:rFonts w:asciiTheme="majorBidi" w:hAnsiTheme="majorBidi" w:cstheme="majorBidi"/>
          <w:sz w:val="26"/>
          <w:szCs w:val="26"/>
          <w:rtl/>
        </w:rPr>
        <w:t>2</w:t>
      </w:r>
      <w:r w:rsidRPr="00B879B3">
        <w:rPr>
          <w:rFonts w:asciiTheme="majorBidi" w:hAnsiTheme="majorBidi" w:cstheme="majorBidi"/>
          <w:sz w:val="26"/>
          <w:szCs w:val="26"/>
        </w:rPr>
        <w:t>% of them are females). By distributing them according to age groups, 52.</w:t>
      </w:r>
      <w:r w:rsidRPr="00B879B3">
        <w:rPr>
          <w:rFonts w:asciiTheme="majorBidi" w:hAnsiTheme="majorBidi" w:cstheme="majorBidi"/>
          <w:sz w:val="26"/>
          <w:szCs w:val="26"/>
          <w:rtl/>
        </w:rPr>
        <w:t>7</w:t>
      </w:r>
      <w:r w:rsidRPr="00B879B3">
        <w:rPr>
          <w:rFonts w:asciiTheme="majorBidi" w:hAnsiTheme="majorBidi" w:cstheme="majorBidi"/>
          <w:sz w:val="26"/>
          <w:szCs w:val="26"/>
        </w:rPr>
        <w:t xml:space="preserve">% of them are </w:t>
      </w:r>
      <w:r w:rsidR="00840658" w:rsidRPr="00B879B3">
        <w:rPr>
          <w:rFonts w:asciiTheme="majorBidi" w:hAnsiTheme="majorBidi" w:cstheme="majorBidi"/>
          <w:sz w:val="26"/>
          <w:szCs w:val="26"/>
        </w:rPr>
        <w:t xml:space="preserve">in the age group </w:t>
      </w:r>
      <w:r w:rsidRPr="00B879B3">
        <w:rPr>
          <w:rFonts w:asciiTheme="majorBidi" w:hAnsiTheme="majorBidi" w:cstheme="majorBidi"/>
          <w:sz w:val="26"/>
          <w:szCs w:val="26"/>
        </w:rPr>
        <w:t>(13-18) years, 30.</w:t>
      </w:r>
      <w:r w:rsidRPr="00B879B3">
        <w:rPr>
          <w:rFonts w:asciiTheme="majorBidi" w:hAnsiTheme="majorBidi" w:cstheme="majorBidi"/>
          <w:sz w:val="26"/>
          <w:szCs w:val="26"/>
          <w:rtl/>
        </w:rPr>
        <w:t>4</w:t>
      </w:r>
      <w:r w:rsidRPr="00B879B3">
        <w:rPr>
          <w:rFonts w:asciiTheme="majorBidi" w:hAnsiTheme="majorBidi" w:cstheme="majorBidi"/>
          <w:sz w:val="26"/>
          <w:szCs w:val="26"/>
        </w:rPr>
        <w:t xml:space="preserve">% are (6-12) years, and 16.9% are (0-5) years. </w:t>
      </w:r>
    </w:p>
    <w:p w14:paraId="3B34F71A" w14:textId="77777777" w:rsidR="00C8206F" w:rsidRDefault="00C8206F" w:rsidP="00C8206F">
      <w:pPr>
        <w:keepNext/>
        <w:keepLines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A8EAA27" w14:textId="4FDBB82A" w:rsidR="00C8206F" w:rsidRDefault="00C8206F" w:rsidP="00C8206F">
      <w:pPr>
        <w:keepNext/>
        <w:keepLines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879B3">
        <w:rPr>
          <w:rFonts w:asciiTheme="majorBidi" w:hAnsiTheme="majorBidi" w:cstheme="majorBidi"/>
          <w:b/>
          <w:bCs/>
          <w:sz w:val="26"/>
          <w:szCs w:val="26"/>
        </w:rPr>
        <w:t>Percentage Distribution of Infected children (18 years or less) with COVID-19 in Palestine by Age group and Sex, up to 30/03/2021</w:t>
      </w:r>
    </w:p>
    <w:p w14:paraId="5E226971" w14:textId="77777777" w:rsidR="00C8206F" w:rsidRDefault="00C8206F" w:rsidP="00C8206F">
      <w:pPr>
        <w:keepNext/>
        <w:keepLines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XSpec="center" w:tblpY="37"/>
        <w:bidiVisual/>
        <w:tblW w:w="0" w:type="auto"/>
        <w:tblLook w:val="04A0" w:firstRow="1" w:lastRow="0" w:firstColumn="1" w:lastColumn="0" w:noHBand="0" w:noVBand="1"/>
      </w:tblPr>
      <w:tblGrid>
        <w:gridCol w:w="5168"/>
      </w:tblGrid>
      <w:tr w:rsidR="00C8206F" w:rsidRPr="00B879B3" w14:paraId="1E988C1E" w14:textId="77777777" w:rsidTr="00C8206F">
        <w:tc>
          <w:tcPr>
            <w:tcW w:w="5168" w:type="dxa"/>
          </w:tcPr>
          <w:p w14:paraId="6472AE60" w14:textId="77777777" w:rsidR="00C8206F" w:rsidRPr="00B879B3" w:rsidRDefault="00C8206F" w:rsidP="00C8206F">
            <w:pPr>
              <w:keepNext/>
              <w:keepLines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879B3">
              <w:rPr>
                <w:rFonts w:asciiTheme="majorBidi" w:eastAsia="Times New Roman" w:hAnsiTheme="majorBidi" w:cstheme="majorBidi"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5D441C4F" wp14:editId="52F2876F">
                  <wp:extent cx="2841625" cy="1705610"/>
                  <wp:effectExtent l="0" t="0" r="0" b="889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5545A19D" w14:textId="77777777" w:rsidR="002E3EA5" w:rsidRPr="00B879B3" w:rsidRDefault="002E3EA5" w:rsidP="002E3EA5">
      <w:pPr>
        <w:tabs>
          <w:tab w:val="right" w:pos="1134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14:paraId="7147DC2F" w14:textId="33DF5C05" w:rsidR="00C8206F" w:rsidRDefault="00C8206F" w:rsidP="00C8206F">
      <w:pPr>
        <w:keepNext/>
        <w:keepLines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DA0402" w14:textId="77777777" w:rsidR="00C8206F" w:rsidRPr="00B879B3" w:rsidRDefault="00C8206F" w:rsidP="00C8206F">
      <w:pPr>
        <w:keepNext/>
        <w:keepLines/>
        <w:rPr>
          <w:rFonts w:asciiTheme="majorBidi" w:hAnsiTheme="majorBidi" w:cstheme="majorBidi"/>
          <w:b/>
          <w:bCs/>
          <w:sz w:val="26"/>
          <w:szCs w:val="26"/>
        </w:rPr>
      </w:pPr>
    </w:p>
    <w:p w14:paraId="4B499B7E" w14:textId="77777777" w:rsidR="000B57B9" w:rsidRDefault="000B57B9" w:rsidP="00236FEB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34AA7C7C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498DC614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6A7295C8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14F7015C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17C6D88F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5C671945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54BC6EEC" w14:textId="77777777" w:rsidR="000B57B9" w:rsidRDefault="000B57B9" w:rsidP="000B57B9">
      <w:pPr>
        <w:pStyle w:val="Normal1"/>
        <w:keepNext/>
        <w:keepLines/>
        <w:bidi w:val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rtl/>
        </w:rPr>
      </w:pPr>
    </w:p>
    <w:p w14:paraId="4FC5A2B0" w14:textId="77777777" w:rsidR="00E34A36" w:rsidRPr="00206482" w:rsidRDefault="00E34A36" w:rsidP="00A10A71">
      <w:pPr>
        <w:keepLines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  <w:lang w:bidi="ar-JO"/>
        </w:rPr>
        <w:sectPr w:rsidR="00E34A36" w:rsidRPr="00206482" w:rsidSect="00B879B3">
          <w:footerReference w:type="default" r:id="rId11"/>
          <w:type w:val="continuous"/>
          <w:pgSz w:w="11906" w:h="16838" w:code="9"/>
          <w:pgMar w:top="850" w:right="850" w:bottom="850" w:left="850" w:header="270" w:footer="466" w:gutter="0"/>
          <w:cols w:space="706"/>
          <w:rtlGutter/>
          <w:docGrid w:linePitch="360"/>
        </w:sectPr>
      </w:pPr>
    </w:p>
    <w:p w14:paraId="6BFF20D0" w14:textId="77777777" w:rsidR="00394EF2" w:rsidRPr="00E34A36" w:rsidRDefault="00394EF2" w:rsidP="00A10A71">
      <w:pPr>
        <w:keepLines/>
        <w:ind w:right="142"/>
        <w:jc w:val="both"/>
        <w:rPr>
          <w:rFonts w:ascii="Times New Roman" w:hAnsi="Times New Roman" w:cs="Times New Roman"/>
          <w:sz w:val="21"/>
          <w:szCs w:val="21"/>
          <w:rtl/>
          <w:lang w:bidi="ar-JO"/>
        </w:rPr>
      </w:pPr>
    </w:p>
    <w:sectPr w:rsidR="00394EF2" w:rsidRPr="00E34A36" w:rsidSect="00D1001A">
      <w:type w:val="continuous"/>
      <w:pgSz w:w="11906" w:h="16838" w:code="9"/>
      <w:pgMar w:top="1701" w:right="1134" w:bottom="851" w:left="1134" w:header="709" w:footer="709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840D6" w14:textId="77777777" w:rsidR="006C643F" w:rsidRDefault="006C643F" w:rsidP="00FE5188">
      <w:r>
        <w:separator/>
      </w:r>
    </w:p>
  </w:endnote>
  <w:endnote w:type="continuationSeparator" w:id="0">
    <w:p w14:paraId="24DEE3D7" w14:textId="77777777" w:rsidR="006C643F" w:rsidRDefault="006C643F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3A5B" w14:textId="66A12D05" w:rsidR="00012657" w:rsidRDefault="002E7718" w:rsidP="00FE51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06F">
      <w:rPr>
        <w:noProof/>
        <w:rtl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7CC4" w14:textId="77777777" w:rsidR="006C643F" w:rsidRDefault="006C643F" w:rsidP="00FE5188">
      <w:r>
        <w:separator/>
      </w:r>
    </w:p>
  </w:footnote>
  <w:footnote w:type="continuationSeparator" w:id="0">
    <w:p w14:paraId="6861518D" w14:textId="77777777" w:rsidR="006C643F" w:rsidRDefault="006C643F" w:rsidP="00FE5188">
      <w:r>
        <w:continuationSeparator/>
      </w:r>
    </w:p>
  </w:footnote>
  <w:footnote w:id="1">
    <w:p w14:paraId="326C804C" w14:textId="77777777" w:rsidR="00BB5CEF" w:rsidRPr="00ED3A8C" w:rsidRDefault="00BB5CEF" w:rsidP="00BB5CEF">
      <w:pPr>
        <w:pStyle w:val="FootnoteText"/>
        <w:bidi w:val="0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D3A8C">
        <w:rPr>
          <w:rFonts w:ascii="Times New Roman" w:hAnsi="Times New Roman" w:cs="Times New Roman"/>
          <w:sz w:val="16"/>
          <w:szCs w:val="16"/>
        </w:rPr>
        <w:t xml:space="preserve">From the scholastic year 2017/2018, the basic stage includes grades from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5A4B9C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3A8C">
        <w:rPr>
          <w:rFonts w:ascii="Times New Roman" w:hAnsi="Times New Roman" w:cs="Times New Roman"/>
          <w:sz w:val="16"/>
          <w:szCs w:val="16"/>
        </w:rPr>
        <w:t xml:space="preserve"> to 9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ED3A8C">
        <w:rPr>
          <w:rFonts w:ascii="Times New Roman" w:hAnsi="Times New Roman" w:cs="Times New Roman"/>
          <w:sz w:val="16"/>
          <w:szCs w:val="16"/>
        </w:rPr>
        <w:t xml:space="preserve"> while secondary stage includes grades 10</w:t>
      </w:r>
      <w:r w:rsidRPr="005A4B9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D3A8C">
        <w:rPr>
          <w:rFonts w:ascii="Times New Roman" w:hAnsi="Times New Roman" w:cs="Times New Roman"/>
          <w:sz w:val="16"/>
          <w:szCs w:val="16"/>
        </w:rPr>
        <w:t>,11</w:t>
      </w:r>
      <w:r w:rsidRPr="005A4B9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ED3A8C">
        <w:rPr>
          <w:rFonts w:ascii="Times New Roman" w:hAnsi="Times New Roman" w:cs="Times New Roman"/>
          <w:sz w:val="16"/>
          <w:szCs w:val="16"/>
        </w:rPr>
        <w:t xml:space="preserve"> and 12</w:t>
      </w:r>
      <w:r w:rsidRPr="005A4B9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ED3A8C">
        <w:rPr>
          <w:rFonts w:ascii="Times New Roman" w:hAnsi="Times New Roman" w:cs="Times New Roman"/>
          <w:sz w:val="16"/>
          <w:szCs w:val="16"/>
        </w:rPr>
        <w:t>, based on the new education law issued by the Ministry of Education that consider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ED3A8C">
        <w:rPr>
          <w:rFonts w:ascii="Times New Roman" w:hAnsi="Times New Roman" w:cs="Times New Roman"/>
          <w:sz w:val="16"/>
          <w:szCs w:val="16"/>
        </w:rPr>
        <w:t xml:space="preserve"> the tenth grade in secondary stage</w:t>
      </w:r>
      <w:r w:rsidRPr="00ED3A8C">
        <w:rPr>
          <w:rFonts w:ascii="Times New Roman" w:hAnsi="Times New Roman" w:cs="Times New Roman"/>
          <w:sz w:val="16"/>
          <w:szCs w:val="16"/>
          <w:rtl/>
        </w:rPr>
        <w:t>.</w:t>
      </w:r>
    </w:p>
  </w:footnote>
  <w:footnote w:id="2">
    <w:p w14:paraId="63ABDF89" w14:textId="669F3A75" w:rsidR="002E3EA5" w:rsidRDefault="002E3EA5" w:rsidP="00E5698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D6EE8">
        <w:rPr>
          <w:rStyle w:val="FootnoteReference"/>
        </w:rPr>
        <w:t>:</w:t>
      </w:r>
      <w:r w:rsidRPr="000432AD">
        <w:rPr>
          <w:rStyle w:val="FootnoteReference"/>
          <w:rFonts w:ascii="Times New Roman" w:hAnsi="Times New Roman" w:cs="Times New Roman"/>
          <w:sz w:val="16"/>
          <w:szCs w:val="16"/>
          <w:rtl/>
        </w:rPr>
        <w:t xml:space="preserve"> </w:t>
      </w:r>
      <w:r w:rsidRPr="000432AD">
        <w:rPr>
          <w:rFonts w:ascii="Times New Roman" w:hAnsi="Times New Roman" w:cs="Times New Roman"/>
          <w:sz w:val="16"/>
          <w:szCs w:val="16"/>
        </w:rPr>
        <w:t xml:space="preserve">Data </w:t>
      </w:r>
      <w:r>
        <w:rPr>
          <w:rFonts w:ascii="Times New Roman" w:hAnsi="Times New Roman" w:cs="Times New Roman"/>
          <w:sz w:val="16"/>
          <w:szCs w:val="16"/>
        </w:rPr>
        <w:t xml:space="preserve">excluded those parts of Jerusalem which were annexed by Israeli </w:t>
      </w:r>
      <w:r w:rsidR="00E56981">
        <w:rPr>
          <w:rFonts w:ascii="Times New Roman" w:hAnsi="Times New Roman" w:cs="Times New Roman"/>
          <w:sz w:val="16"/>
          <w:szCs w:val="16"/>
        </w:rPr>
        <w:t xml:space="preserve">occuoation </w:t>
      </w:r>
      <w:r>
        <w:rPr>
          <w:rFonts w:ascii="Times New Roman" w:hAnsi="Times New Roman" w:cs="Times New Roman"/>
          <w:sz w:val="16"/>
          <w:szCs w:val="16"/>
        </w:rPr>
        <w:t>in 1967.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34FC"/>
    <w:multiLevelType w:val="hybridMultilevel"/>
    <w:tmpl w:val="00F2A916"/>
    <w:lvl w:ilvl="0" w:tplc="A4E093AE">
      <w:start w:val="1"/>
      <w:numFmt w:val="bullet"/>
      <w:lvlText w:val="-"/>
      <w:lvlJc w:val="left"/>
      <w:pPr>
        <w:ind w:left="8640" w:hanging="82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20B3"/>
    <w:multiLevelType w:val="hybridMultilevel"/>
    <w:tmpl w:val="FFB437B6"/>
    <w:lvl w:ilvl="0" w:tplc="9BE62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055E2"/>
    <w:multiLevelType w:val="hybridMultilevel"/>
    <w:tmpl w:val="976803EE"/>
    <w:lvl w:ilvl="0" w:tplc="02A4B45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tzQ1NjA1sDQ3MzFU0lEKTi0uzszPAykwqgUAYrKiECwAAAA="/>
  </w:docVars>
  <w:rsids>
    <w:rsidRoot w:val="005E6289"/>
    <w:rsid w:val="00000D7A"/>
    <w:rsid w:val="000024F3"/>
    <w:rsid w:val="00003782"/>
    <w:rsid w:val="0000379A"/>
    <w:rsid w:val="00003853"/>
    <w:rsid w:val="00004A83"/>
    <w:rsid w:val="00005E3B"/>
    <w:rsid w:val="00006E02"/>
    <w:rsid w:val="00007F45"/>
    <w:rsid w:val="00007FAB"/>
    <w:rsid w:val="0001032B"/>
    <w:rsid w:val="0001058B"/>
    <w:rsid w:val="0001248A"/>
    <w:rsid w:val="00012657"/>
    <w:rsid w:val="00014E38"/>
    <w:rsid w:val="00015100"/>
    <w:rsid w:val="000152C2"/>
    <w:rsid w:val="0001586B"/>
    <w:rsid w:val="00016054"/>
    <w:rsid w:val="0001614F"/>
    <w:rsid w:val="000171EF"/>
    <w:rsid w:val="00023617"/>
    <w:rsid w:val="00024352"/>
    <w:rsid w:val="00024A7D"/>
    <w:rsid w:val="000279D0"/>
    <w:rsid w:val="00033376"/>
    <w:rsid w:val="00033D32"/>
    <w:rsid w:val="0003591D"/>
    <w:rsid w:val="00036A35"/>
    <w:rsid w:val="00037E16"/>
    <w:rsid w:val="000409AD"/>
    <w:rsid w:val="000410C8"/>
    <w:rsid w:val="00047E9C"/>
    <w:rsid w:val="000523FA"/>
    <w:rsid w:val="00054147"/>
    <w:rsid w:val="0005461B"/>
    <w:rsid w:val="000546DE"/>
    <w:rsid w:val="0005579F"/>
    <w:rsid w:val="0005613F"/>
    <w:rsid w:val="00057C71"/>
    <w:rsid w:val="00060FED"/>
    <w:rsid w:val="00061718"/>
    <w:rsid w:val="00061924"/>
    <w:rsid w:val="00063ACF"/>
    <w:rsid w:val="000644B9"/>
    <w:rsid w:val="000654A6"/>
    <w:rsid w:val="000667A6"/>
    <w:rsid w:val="00067836"/>
    <w:rsid w:val="0007013C"/>
    <w:rsid w:val="00070272"/>
    <w:rsid w:val="0007082F"/>
    <w:rsid w:val="00070BA0"/>
    <w:rsid w:val="00071F31"/>
    <w:rsid w:val="00072107"/>
    <w:rsid w:val="00073C25"/>
    <w:rsid w:val="00074B86"/>
    <w:rsid w:val="000758E6"/>
    <w:rsid w:val="00075C9C"/>
    <w:rsid w:val="00081045"/>
    <w:rsid w:val="00083FB6"/>
    <w:rsid w:val="00085068"/>
    <w:rsid w:val="000853C1"/>
    <w:rsid w:val="00086632"/>
    <w:rsid w:val="00086A34"/>
    <w:rsid w:val="00087514"/>
    <w:rsid w:val="000910ED"/>
    <w:rsid w:val="000916BF"/>
    <w:rsid w:val="00094E10"/>
    <w:rsid w:val="00095AC5"/>
    <w:rsid w:val="000A02C0"/>
    <w:rsid w:val="000A0B52"/>
    <w:rsid w:val="000A2510"/>
    <w:rsid w:val="000A2519"/>
    <w:rsid w:val="000A53F0"/>
    <w:rsid w:val="000B0B7B"/>
    <w:rsid w:val="000B18D8"/>
    <w:rsid w:val="000B35C9"/>
    <w:rsid w:val="000B3D98"/>
    <w:rsid w:val="000B3E4A"/>
    <w:rsid w:val="000B4149"/>
    <w:rsid w:val="000B4C59"/>
    <w:rsid w:val="000B57B9"/>
    <w:rsid w:val="000B66D7"/>
    <w:rsid w:val="000B7FCE"/>
    <w:rsid w:val="000C2F59"/>
    <w:rsid w:val="000C4688"/>
    <w:rsid w:val="000C4C36"/>
    <w:rsid w:val="000C4C71"/>
    <w:rsid w:val="000C65F4"/>
    <w:rsid w:val="000C7EFF"/>
    <w:rsid w:val="000D21AD"/>
    <w:rsid w:val="000D2ABD"/>
    <w:rsid w:val="000D5482"/>
    <w:rsid w:val="000D65FF"/>
    <w:rsid w:val="000E0F32"/>
    <w:rsid w:val="000E2010"/>
    <w:rsid w:val="000E2FA3"/>
    <w:rsid w:val="000E6573"/>
    <w:rsid w:val="000F0544"/>
    <w:rsid w:val="000F4585"/>
    <w:rsid w:val="000F5AC9"/>
    <w:rsid w:val="000F72A1"/>
    <w:rsid w:val="000F79AC"/>
    <w:rsid w:val="000F7A77"/>
    <w:rsid w:val="000F7D50"/>
    <w:rsid w:val="0010120D"/>
    <w:rsid w:val="00101FFC"/>
    <w:rsid w:val="00102667"/>
    <w:rsid w:val="00103828"/>
    <w:rsid w:val="0010556D"/>
    <w:rsid w:val="0010708C"/>
    <w:rsid w:val="0010764B"/>
    <w:rsid w:val="001111E1"/>
    <w:rsid w:val="001136D3"/>
    <w:rsid w:val="00113BE3"/>
    <w:rsid w:val="0011521E"/>
    <w:rsid w:val="001168BB"/>
    <w:rsid w:val="00116F66"/>
    <w:rsid w:val="0012168C"/>
    <w:rsid w:val="001231AD"/>
    <w:rsid w:val="001238FE"/>
    <w:rsid w:val="00123C1C"/>
    <w:rsid w:val="001264A2"/>
    <w:rsid w:val="00126663"/>
    <w:rsid w:val="00131246"/>
    <w:rsid w:val="00131649"/>
    <w:rsid w:val="00133079"/>
    <w:rsid w:val="00134DC7"/>
    <w:rsid w:val="00137193"/>
    <w:rsid w:val="00137F54"/>
    <w:rsid w:val="00140016"/>
    <w:rsid w:val="00141BBB"/>
    <w:rsid w:val="00143C5B"/>
    <w:rsid w:val="00144ACC"/>
    <w:rsid w:val="00145699"/>
    <w:rsid w:val="0014651A"/>
    <w:rsid w:val="00146F76"/>
    <w:rsid w:val="001476E5"/>
    <w:rsid w:val="00150F69"/>
    <w:rsid w:val="00151BB5"/>
    <w:rsid w:val="001554DD"/>
    <w:rsid w:val="00156951"/>
    <w:rsid w:val="001579ED"/>
    <w:rsid w:val="00160526"/>
    <w:rsid w:val="00160D39"/>
    <w:rsid w:val="001617FB"/>
    <w:rsid w:val="00161960"/>
    <w:rsid w:val="001646F3"/>
    <w:rsid w:val="00165DA6"/>
    <w:rsid w:val="00165E09"/>
    <w:rsid w:val="001665E8"/>
    <w:rsid w:val="00170063"/>
    <w:rsid w:val="001711DA"/>
    <w:rsid w:val="00173453"/>
    <w:rsid w:val="001745CD"/>
    <w:rsid w:val="00175D85"/>
    <w:rsid w:val="001830FA"/>
    <w:rsid w:val="00183830"/>
    <w:rsid w:val="0018474B"/>
    <w:rsid w:val="001857E1"/>
    <w:rsid w:val="00187110"/>
    <w:rsid w:val="00187242"/>
    <w:rsid w:val="0019204E"/>
    <w:rsid w:val="001978DC"/>
    <w:rsid w:val="00197B27"/>
    <w:rsid w:val="001A0963"/>
    <w:rsid w:val="001A4865"/>
    <w:rsid w:val="001A4D51"/>
    <w:rsid w:val="001A4DDF"/>
    <w:rsid w:val="001A4FE2"/>
    <w:rsid w:val="001A5387"/>
    <w:rsid w:val="001A593C"/>
    <w:rsid w:val="001B0F78"/>
    <w:rsid w:val="001B1336"/>
    <w:rsid w:val="001B2F84"/>
    <w:rsid w:val="001B2FFA"/>
    <w:rsid w:val="001B3812"/>
    <w:rsid w:val="001B61C2"/>
    <w:rsid w:val="001B66C6"/>
    <w:rsid w:val="001B784A"/>
    <w:rsid w:val="001C05C9"/>
    <w:rsid w:val="001C147D"/>
    <w:rsid w:val="001C2149"/>
    <w:rsid w:val="001C215E"/>
    <w:rsid w:val="001C2F95"/>
    <w:rsid w:val="001C40F3"/>
    <w:rsid w:val="001C6753"/>
    <w:rsid w:val="001C700E"/>
    <w:rsid w:val="001C730A"/>
    <w:rsid w:val="001C7BA0"/>
    <w:rsid w:val="001D0F2D"/>
    <w:rsid w:val="001D30C6"/>
    <w:rsid w:val="001D3E9C"/>
    <w:rsid w:val="001D41A3"/>
    <w:rsid w:val="001D5CB1"/>
    <w:rsid w:val="001E0C71"/>
    <w:rsid w:val="001E2D5A"/>
    <w:rsid w:val="001E317C"/>
    <w:rsid w:val="001E579B"/>
    <w:rsid w:val="001E5971"/>
    <w:rsid w:val="001E6A78"/>
    <w:rsid w:val="001F0371"/>
    <w:rsid w:val="001F162A"/>
    <w:rsid w:val="001F1FB6"/>
    <w:rsid w:val="001F2425"/>
    <w:rsid w:val="001F289C"/>
    <w:rsid w:val="001F2F78"/>
    <w:rsid w:val="001F2FD2"/>
    <w:rsid w:val="001F346B"/>
    <w:rsid w:val="001F3C73"/>
    <w:rsid w:val="001F41D2"/>
    <w:rsid w:val="001F57D1"/>
    <w:rsid w:val="001F71F1"/>
    <w:rsid w:val="001F7E54"/>
    <w:rsid w:val="002002DA"/>
    <w:rsid w:val="00201DED"/>
    <w:rsid w:val="00203821"/>
    <w:rsid w:val="00206482"/>
    <w:rsid w:val="00207CD9"/>
    <w:rsid w:val="002122C5"/>
    <w:rsid w:val="00214CBA"/>
    <w:rsid w:val="002151EA"/>
    <w:rsid w:val="00217C7C"/>
    <w:rsid w:val="00224B61"/>
    <w:rsid w:val="002252AE"/>
    <w:rsid w:val="00226231"/>
    <w:rsid w:val="00232F91"/>
    <w:rsid w:val="00233769"/>
    <w:rsid w:val="00233D1D"/>
    <w:rsid w:val="00236764"/>
    <w:rsid w:val="00236FEB"/>
    <w:rsid w:val="0023739E"/>
    <w:rsid w:val="00242A67"/>
    <w:rsid w:val="00244130"/>
    <w:rsid w:val="00244193"/>
    <w:rsid w:val="002467A2"/>
    <w:rsid w:val="00251652"/>
    <w:rsid w:val="00254F02"/>
    <w:rsid w:val="00255235"/>
    <w:rsid w:val="00255FCA"/>
    <w:rsid w:val="00255FF3"/>
    <w:rsid w:val="002572E8"/>
    <w:rsid w:val="002605BA"/>
    <w:rsid w:val="002608B6"/>
    <w:rsid w:val="00261AC5"/>
    <w:rsid w:val="002624A1"/>
    <w:rsid w:val="0026385C"/>
    <w:rsid w:val="0027019D"/>
    <w:rsid w:val="002709C2"/>
    <w:rsid w:val="002712CC"/>
    <w:rsid w:val="00271896"/>
    <w:rsid w:val="0027470E"/>
    <w:rsid w:val="00275610"/>
    <w:rsid w:val="00275B7F"/>
    <w:rsid w:val="00277E35"/>
    <w:rsid w:val="00280693"/>
    <w:rsid w:val="00280F43"/>
    <w:rsid w:val="00282E2A"/>
    <w:rsid w:val="00284209"/>
    <w:rsid w:val="0028725C"/>
    <w:rsid w:val="00290618"/>
    <w:rsid w:val="00294330"/>
    <w:rsid w:val="00295FD2"/>
    <w:rsid w:val="00296284"/>
    <w:rsid w:val="0029775C"/>
    <w:rsid w:val="00297D9C"/>
    <w:rsid w:val="002A2440"/>
    <w:rsid w:val="002A37C6"/>
    <w:rsid w:val="002A4D16"/>
    <w:rsid w:val="002A6C66"/>
    <w:rsid w:val="002A750C"/>
    <w:rsid w:val="002B172B"/>
    <w:rsid w:val="002B1F47"/>
    <w:rsid w:val="002B1FC3"/>
    <w:rsid w:val="002B2394"/>
    <w:rsid w:val="002B2CD9"/>
    <w:rsid w:val="002B3183"/>
    <w:rsid w:val="002B3B10"/>
    <w:rsid w:val="002B64B0"/>
    <w:rsid w:val="002B7627"/>
    <w:rsid w:val="002B7A61"/>
    <w:rsid w:val="002C0D24"/>
    <w:rsid w:val="002C1CEB"/>
    <w:rsid w:val="002C4AD2"/>
    <w:rsid w:val="002C4ADE"/>
    <w:rsid w:val="002C59E6"/>
    <w:rsid w:val="002C5CC1"/>
    <w:rsid w:val="002C7CC1"/>
    <w:rsid w:val="002D0A13"/>
    <w:rsid w:val="002D1B73"/>
    <w:rsid w:val="002D3D68"/>
    <w:rsid w:val="002D4725"/>
    <w:rsid w:val="002E0B35"/>
    <w:rsid w:val="002E248E"/>
    <w:rsid w:val="002E3318"/>
    <w:rsid w:val="002E3A4A"/>
    <w:rsid w:val="002E3DAE"/>
    <w:rsid w:val="002E3EA5"/>
    <w:rsid w:val="002E50D6"/>
    <w:rsid w:val="002E5C1C"/>
    <w:rsid w:val="002E7718"/>
    <w:rsid w:val="002F45AE"/>
    <w:rsid w:val="002F45C2"/>
    <w:rsid w:val="002F4BD1"/>
    <w:rsid w:val="002F5A94"/>
    <w:rsid w:val="002F7004"/>
    <w:rsid w:val="002F7954"/>
    <w:rsid w:val="00300875"/>
    <w:rsid w:val="0030255F"/>
    <w:rsid w:val="0030377D"/>
    <w:rsid w:val="00304E4D"/>
    <w:rsid w:val="00305A8D"/>
    <w:rsid w:val="00306961"/>
    <w:rsid w:val="00307F49"/>
    <w:rsid w:val="00310793"/>
    <w:rsid w:val="00310955"/>
    <w:rsid w:val="00314D1C"/>
    <w:rsid w:val="003152E9"/>
    <w:rsid w:val="003165FD"/>
    <w:rsid w:val="003235A9"/>
    <w:rsid w:val="00325A45"/>
    <w:rsid w:val="00330D26"/>
    <w:rsid w:val="003312D4"/>
    <w:rsid w:val="003329E9"/>
    <w:rsid w:val="00332B84"/>
    <w:rsid w:val="00333963"/>
    <w:rsid w:val="00333D96"/>
    <w:rsid w:val="00334F0F"/>
    <w:rsid w:val="0033588A"/>
    <w:rsid w:val="00337371"/>
    <w:rsid w:val="00337C4E"/>
    <w:rsid w:val="00340765"/>
    <w:rsid w:val="003407B4"/>
    <w:rsid w:val="00341113"/>
    <w:rsid w:val="003436D8"/>
    <w:rsid w:val="00344732"/>
    <w:rsid w:val="003453CC"/>
    <w:rsid w:val="0034558F"/>
    <w:rsid w:val="00345A5D"/>
    <w:rsid w:val="00345CA0"/>
    <w:rsid w:val="00347317"/>
    <w:rsid w:val="003474AA"/>
    <w:rsid w:val="00351509"/>
    <w:rsid w:val="00351C2E"/>
    <w:rsid w:val="0035458E"/>
    <w:rsid w:val="00356374"/>
    <w:rsid w:val="0035762F"/>
    <w:rsid w:val="00357906"/>
    <w:rsid w:val="003602D3"/>
    <w:rsid w:val="003604CA"/>
    <w:rsid w:val="00361ED6"/>
    <w:rsid w:val="003628F7"/>
    <w:rsid w:val="003631E9"/>
    <w:rsid w:val="00363511"/>
    <w:rsid w:val="00364ABC"/>
    <w:rsid w:val="003663F9"/>
    <w:rsid w:val="0036658F"/>
    <w:rsid w:val="00370DBC"/>
    <w:rsid w:val="00372316"/>
    <w:rsid w:val="00373C3C"/>
    <w:rsid w:val="00375890"/>
    <w:rsid w:val="00376B8C"/>
    <w:rsid w:val="0038067F"/>
    <w:rsid w:val="00380E97"/>
    <w:rsid w:val="00383849"/>
    <w:rsid w:val="00385E0F"/>
    <w:rsid w:val="00387DE6"/>
    <w:rsid w:val="00390BBB"/>
    <w:rsid w:val="00390EDD"/>
    <w:rsid w:val="003933C9"/>
    <w:rsid w:val="00394EF2"/>
    <w:rsid w:val="00396019"/>
    <w:rsid w:val="00397EBF"/>
    <w:rsid w:val="003A0DF3"/>
    <w:rsid w:val="003A212F"/>
    <w:rsid w:val="003A2291"/>
    <w:rsid w:val="003A2907"/>
    <w:rsid w:val="003A40EC"/>
    <w:rsid w:val="003A443A"/>
    <w:rsid w:val="003A4BC6"/>
    <w:rsid w:val="003A530B"/>
    <w:rsid w:val="003A661B"/>
    <w:rsid w:val="003B0733"/>
    <w:rsid w:val="003B24C3"/>
    <w:rsid w:val="003B2AFB"/>
    <w:rsid w:val="003B35C2"/>
    <w:rsid w:val="003B3E63"/>
    <w:rsid w:val="003B4350"/>
    <w:rsid w:val="003B6539"/>
    <w:rsid w:val="003B7CA6"/>
    <w:rsid w:val="003C0ACB"/>
    <w:rsid w:val="003C0C2C"/>
    <w:rsid w:val="003C1D69"/>
    <w:rsid w:val="003C1E6A"/>
    <w:rsid w:val="003C4E76"/>
    <w:rsid w:val="003C7C88"/>
    <w:rsid w:val="003C7D60"/>
    <w:rsid w:val="003D3285"/>
    <w:rsid w:val="003D3485"/>
    <w:rsid w:val="003D3678"/>
    <w:rsid w:val="003D4536"/>
    <w:rsid w:val="003D4D8F"/>
    <w:rsid w:val="003D5F81"/>
    <w:rsid w:val="003E022F"/>
    <w:rsid w:val="003E172C"/>
    <w:rsid w:val="003E22D0"/>
    <w:rsid w:val="003E24EC"/>
    <w:rsid w:val="003E48F1"/>
    <w:rsid w:val="003E594D"/>
    <w:rsid w:val="003F057D"/>
    <w:rsid w:val="003F173C"/>
    <w:rsid w:val="003F1824"/>
    <w:rsid w:val="003F1C10"/>
    <w:rsid w:val="003F2BDE"/>
    <w:rsid w:val="003F41E8"/>
    <w:rsid w:val="003F428B"/>
    <w:rsid w:val="003F5EB9"/>
    <w:rsid w:val="003F7352"/>
    <w:rsid w:val="00400329"/>
    <w:rsid w:val="004020D8"/>
    <w:rsid w:val="00402A89"/>
    <w:rsid w:val="00402D7E"/>
    <w:rsid w:val="004038C5"/>
    <w:rsid w:val="00403D6A"/>
    <w:rsid w:val="00405A9F"/>
    <w:rsid w:val="00406C5D"/>
    <w:rsid w:val="00407518"/>
    <w:rsid w:val="0040796D"/>
    <w:rsid w:val="004079F7"/>
    <w:rsid w:val="00407DC3"/>
    <w:rsid w:val="00407E16"/>
    <w:rsid w:val="00410687"/>
    <w:rsid w:val="00410689"/>
    <w:rsid w:val="00413A78"/>
    <w:rsid w:val="004150FD"/>
    <w:rsid w:val="004161A9"/>
    <w:rsid w:val="004168F3"/>
    <w:rsid w:val="00416A89"/>
    <w:rsid w:val="0041760A"/>
    <w:rsid w:val="00420044"/>
    <w:rsid w:val="00420C8D"/>
    <w:rsid w:val="00421AA3"/>
    <w:rsid w:val="00425A84"/>
    <w:rsid w:val="00431CB7"/>
    <w:rsid w:val="00434514"/>
    <w:rsid w:val="00434F83"/>
    <w:rsid w:val="00436062"/>
    <w:rsid w:val="00440039"/>
    <w:rsid w:val="00440775"/>
    <w:rsid w:val="00441A70"/>
    <w:rsid w:val="00442966"/>
    <w:rsid w:val="004430ED"/>
    <w:rsid w:val="004457A2"/>
    <w:rsid w:val="00447499"/>
    <w:rsid w:val="004514A3"/>
    <w:rsid w:val="00451B3C"/>
    <w:rsid w:val="00451E26"/>
    <w:rsid w:val="00452C1C"/>
    <w:rsid w:val="00453647"/>
    <w:rsid w:val="004543CB"/>
    <w:rsid w:val="004554A9"/>
    <w:rsid w:val="00457530"/>
    <w:rsid w:val="0046013F"/>
    <w:rsid w:val="00460A4E"/>
    <w:rsid w:val="00461969"/>
    <w:rsid w:val="0046290F"/>
    <w:rsid w:val="00462F04"/>
    <w:rsid w:val="00463F56"/>
    <w:rsid w:val="00472443"/>
    <w:rsid w:val="00475582"/>
    <w:rsid w:val="00480236"/>
    <w:rsid w:val="004822B5"/>
    <w:rsid w:val="0048288D"/>
    <w:rsid w:val="00483108"/>
    <w:rsid w:val="00484628"/>
    <w:rsid w:val="00485824"/>
    <w:rsid w:val="004939C6"/>
    <w:rsid w:val="0049512C"/>
    <w:rsid w:val="00496A92"/>
    <w:rsid w:val="0049720F"/>
    <w:rsid w:val="004A16C0"/>
    <w:rsid w:val="004A1E21"/>
    <w:rsid w:val="004A294B"/>
    <w:rsid w:val="004A2EB2"/>
    <w:rsid w:val="004A51B6"/>
    <w:rsid w:val="004A5470"/>
    <w:rsid w:val="004A7F1E"/>
    <w:rsid w:val="004B1042"/>
    <w:rsid w:val="004B29E2"/>
    <w:rsid w:val="004B74A9"/>
    <w:rsid w:val="004B74ED"/>
    <w:rsid w:val="004C0555"/>
    <w:rsid w:val="004C344D"/>
    <w:rsid w:val="004C35E6"/>
    <w:rsid w:val="004C5D34"/>
    <w:rsid w:val="004C7014"/>
    <w:rsid w:val="004C7B45"/>
    <w:rsid w:val="004D1288"/>
    <w:rsid w:val="004D14DD"/>
    <w:rsid w:val="004D2A4F"/>
    <w:rsid w:val="004D2CED"/>
    <w:rsid w:val="004D5DAA"/>
    <w:rsid w:val="004E2AE8"/>
    <w:rsid w:val="004E32FD"/>
    <w:rsid w:val="004E398B"/>
    <w:rsid w:val="004E4D97"/>
    <w:rsid w:val="004E7035"/>
    <w:rsid w:val="004E77A1"/>
    <w:rsid w:val="004F074B"/>
    <w:rsid w:val="004F1262"/>
    <w:rsid w:val="004F1B52"/>
    <w:rsid w:val="004F49E9"/>
    <w:rsid w:val="00500A38"/>
    <w:rsid w:val="005044CC"/>
    <w:rsid w:val="00504550"/>
    <w:rsid w:val="00504756"/>
    <w:rsid w:val="005070EA"/>
    <w:rsid w:val="005074B9"/>
    <w:rsid w:val="00510461"/>
    <w:rsid w:val="00511355"/>
    <w:rsid w:val="005120AF"/>
    <w:rsid w:val="00513BC0"/>
    <w:rsid w:val="0051452A"/>
    <w:rsid w:val="00514D71"/>
    <w:rsid w:val="00521B02"/>
    <w:rsid w:val="00521CA2"/>
    <w:rsid w:val="00521E1E"/>
    <w:rsid w:val="00522473"/>
    <w:rsid w:val="00522605"/>
    <w:rsid w:val="00522749"/>
    <w:rsid w:val="00523840"/>
    <w:rsid w:val="00525369"/>
    <w:rsid w:val="00526658"/>
    <w:rsid w:val="00530515"/>
    <w:rsid w:val="00530E5D"/>
    <w:rsid w:val="00532984"/>
    <w:rsid w:val="00533096"/>
    <w:rsid w:val="005375F1"/>
    <w:rsid w:val="00543273"/>
    <w:rsid w:val="005437CF"/>
    <w:rsid w:val="005443F2"/>
    <w:rsid w:val="00544ED9"/>
    <w:rsid w:val="0054562A"/>
    <w:rsid w:val="00545784"/>
    <w:rsid w:val="005468EF"/>
    <w:rsid w:val="00546A8F"/>
    <w:rsid w:val="00551B37"/>
    <w:rsid w:val="00552215"/>
    <w:rsid w:val="00552812"/>
    <w:rsid w:val="00554191"/>
    <w:rsid w:val="00554B36"/>
    <w:rsid w:val="00556A3D"/>
    <w:rsid w:val="00556B73"/>
    <w:rsid w:val="00560017"/>
    <w:rsid w:val="005636E5"/>
    <w:rsid w:val="005648D6"/>
    <w:rsid w:val="005659D9"/>
    <w:rsid w:val="00571BF3"/>
    <w:rsid w:val="005739F3"/>
    <w:rsid w:val="0057514E"/>
    <w:rsid w:val="0057621B"/>
    <w:rsid w:val="005821B0"/>
    <w:rsid w:val="0058259F"/>
    <w:rsid w:val="00582ACA"/>
    <w:rsid w:val="00584765"/>
    <w:rsid w:val="00587EF9"/>
    <w:rsid w:val="00590108"/>
    <w:rsid w:val="0059063A"/>
    <w:rsid w:val="0059107D"/>
    <w:rsid w:val="00591DA2"/>
    <w:rsid w:val="00592B6C"/>
    <w:rsid w:val="0059583E"/>
    <w:rsid w:val="00595C0D"/>
    <w:rsid w:val="0059670D"/>
    <w:rsid w:val="005A087C"/>
    <w:rsid w:val="005A1EF2"/>
    <w:rsid w:val="005A257B"/>
    <w:rsid w:val="005A33FA"/>
    <w:rsid w:val="005A3D90"/>
    <w:rsid w:val="005A4B9C"/>
    <w:rsid w:val="005A6805"/>
    <w:rsid w:val="005B1029"/>
    <w:rsid w:val="005B1C2C"/>
    <w:rsid w:val="005B1CCD"/>
    <w:rsid w:val="005B2DB1"/>
    <w:rsid w:val="005B3337"/>
    <w:rsid w:val="005B3E99"/>
    <w:rsid w:val="005B52C9"/>
    <w:rsid w:val="005B56E5"/>
    <w:rsid w:val="005B6872"/>
    <w:rsid w:val="005B6FD1"/>
    <w:rsid w:val="005C0004"/>
    <w:rsid w:val="005C09E3"/>
    <w:rsid w:val="005C1347"/>
    <w:rsid w:val="005C14C3"/>
    <w:rsid w:val="005C3515"/>
    <w:rsid w:val="005C4A81"/>
    <w:rsid w:val="005C529B"/>
    <w:rsid w:val="005D3E57"/>
    <w:rsid w:val="005D6CAE"/>
    <w:rsid w:val="005D6F95"/>
    <w:rsid w:val="005D79F1"/>
    <w:rsid w:val="005E042A"/>
    <w:rsid w:val="005E2B9A"/>
    <w:rsid w:val="005E3AFD"/>
    <w:rsid w:val="005E4D31"/>
    <w:rsid w:val="005E5045"/>
    <w:rsid w:val="005E5B2F"/>
    <w:rsid w:val="005E6289"/>
    <w:rsid w:val="005F0250"/>
    <w:rsid w:val="005F306D"/>
    <w:rsid w:val="005F533E"/>
    <w:rsid w:val="005F5963"/>
    <w:rsid w:val="005F5B89"/>
    <w:rsid w:val="00605F58"/>
    <w:rsid w:val="006063AB"/>
    <w:rsid w:val="006123D3"/>
    <w:rsid w:val="0061488B"/>
    <w:rsid w:val="006155B6"/>
    <w:rsid w:val="00615ECD"/>
    <w:rsid w:val="00621CB6"/>
    <w:rsid w:val="00621F9B"/>
    <w:rsid w:val="00622153"/>
    <w:rsid w:val="006224BD"/>
    <w:rsid w:val="00623618"/>
    <w:rsid w:val="00623E96"/>
    <w:rsid w:val="00626A65"/>
    <w:rsid w:val="006304D0"/>
    <w:rsid w:val="00632C4E"/>
    <w:rsid w:val="00633DAE"/>
    <w:rsid w:val="00634598"/>
    <w:rsid w:val="00634E53"/>
    <w:rsid w:val="00636D9F"/>
    <w:rsid w:val="006374BB"/>
    <w:rsid w:val="00640CE8"/>
    <w:rsid w:val="00641B1F"/>
    <w:rsid w:val="00641B92"/>
    <w:rsid w:val="00643C51"/>
    <w:rsid w:val="00645C9B"/>
    <w:rsid w:val="00647AC1"/>
    <w:rsid w:val="00647D82"/>
    <w:rsid w:val="00651B0B"/>
    <w:rsid w:val="00652D77"/>
    <w:rsid w:val="00653625"/>
    <w:rsid w:val="00654079"/>
    <w:rsid w:val="00654169"/>
    <w:rsid w:val="0065456A"/>
    <w:rsid w:val="00661669"/>
    <w:rsid w:val="00661767"/>
    <w:rsid w:val="006631E1"/>
    <w:rsid w:val="006636E8"/>
    <w:rsid w:val="00663B44"/>
    <w:rsid w:val="0066746C"/>
    <w:rsid w:val="00667512"/>
    <w:rsid w:val="0067066A"/>
    <w:rsid w:val="0067099D"/>
    <w:rsid w:val="00671463"/>
    <w:rsid w:val="00672DBA"/>
    <w:rsid w:val="00673679"/>
    <w:rsid w:val="00675A7B"/>
    <w:rsid w:val="00677CBD"/>
    <w:rsid w:val="0068014C"/>
    <w:rsid w:val="00680C2B"/>
    <w:rsid w:val="006839B3"/>
    <w:rsid w:val="006843D5"/>
    <w:rsid w:val="00690253"/>
    <w:rsid w:val="00690586"/>
    <w:rsid w:val="00690727"/>
    <w:rsid w:val="00690987"/>
    <w:rsid w:val="0069118C"/>
    <w:rsid w:val="00691D48"/>
    <w:rsid w:val="006923D1"/>
    <w:rsid w:val="00693928"/>
    <w:rsid w:val="00695C7F"/>
    <w:rsid w:val="00696D7C"/>
    <w:rsid w:val="00697338"/>
    <w:rsid w:val="00697E4A"/>
    <w:rsid w:val="006A0A66"/>
    <w:rsid w:val="006A0F3A"/>
    <w:rsid w:val="006A1A17"/>
    <w:rsid w:val="006A2369"/>
    <w:rsid w:val="006A2D25"/>
    <w:rsid w:val="006A4834"/>
    <w:rsid w:val="006A5928"/>
    <w:rsid w:val="006A5DA6"/>
    <w:rsid w:val="006A6730"/>
    <w:rsid w:val="006A77C1"/>
    <w:rsid w:val="006B0025"/>
    <w:rsid w:val="006B0DA7"/>
    <w:rsid w:val="006B0F0E"/>
    <w:rsid w:val="006B2210"/>
    <w:rsid w:val="006B3F2C"/>
    <w:rsid w:val="006B42A7"/>
    <w:rsid w:val="006B62F7"/>
    <w:rsid w:val="006C080D"/>
    <w:rsid w:val="006C3972"/>
    <w:rsid w:val="006C3BA3"/>
    <w:rsid w:val="006C4E6A"/>
    <w:rsid w:val="006C4F76"/>
    <w:rsid w:val="006C6073"/>
    <w:rsid w:val="006C643F"/>
    <w:rsid w:val="006C786C"/>
    <w:rsid w:val="006C7A53"/>
    <w:rsid w:val="006D1BF8"/>
    <w:rsid w:val="006D2B30"/>
    <w:rsid w:val="006D2C21"/>
    <w:rsid w:val="006D2D66"/>
    <w:rsid w:val="006D2DFA"/>
    <w:rsid w:val="006D574B"/>
    <w:rsid w:val="006D59FE"/>
    <w:rsid w:val="006E0692"/>
    <w:rsid w:val="006E076B"/>
    <w:rsid w:val="006E2A85"/>
    <w:rsid w:val="006E6A20"/>
    <w:rsid w:val="006F14B5"/>
    <w:rsid w:val="006F25A8"/>
    <w:rsid w:val="006F3BE9"/>
    <w:rsid w:val="006F3D59"/>
    <w:rsid w:val="006F4A43"/>
    <w:rsid w:val="006F54F4"/>
    <w:rsid w:val="006F6095"/>
    <w:rsid w:val="006F6DE7"/>
    <w:rsid w:val="006F74CE"/>
    <w:rsid w:val="006F7775"/>
    <w:rsid w:val="00700261"/>
    <w:rsid w:val="00700974"/>
    <w:rsid w:val="00704212"/>
    <w:rsid w:val="00704508"/>
    <w:rsid w:val="00704A22"/>
    <w:rsid w:val="00704CF9"/>
    <w:rsid w:val="007059FF"/>
    <w:rsid w:val="00706626"/>
    <w:rsid w:val="00706741"/>
    <w:rsid w:val="00707164"/>
    <w:rsid w:val="007103E8"/>
    <w:rsid w:val="00713C2C"/>
    <w:rsid w:val="00714805"/>
    <w:rsid w:val="00714EC4"/>
    <w:rsid w:val="00721AFC"/>
    <w:rsid w:val="00722381"/>
    <w:rsid w:val="00722406"/>
    <w:rsid w:val="00723C5C"/>
    <w:rsid w:val="007255DD"/>
    <w:rsid w:val="00725698"/>
    <w:rsid w:val="00725D46"/>
    <w:rsid w:val="00731195"/>
    <w:rsid w:val="00731F86"/>
    <w:rsid w:val="0073301E"/>
    <w:rsid w:val="00736233"/>
    <w:rsid w:val="0073623C"/>
    <w:rsid w:val="00736D8D"/>
    <w:rsid w:val="00737F91"/>
    <w:rsid w:val="00740CEB"/>
    <w:rsid w:val="007413A3"/>
    <w:rsid w:val="00742056"/>
    <w:rsid w:val="0074258A"/>
    <w:rsid w:val="00742F3E"/>
    <w:rsid w:val="00743C41"/>
    <w:rsid w:val="00744265"/>
    <w:rsid w:val="007444B3"/>
    <w:rsid w:val="007444C4"/>
    <w:rsid w:val="00744F42"/>
    <w:rsid w:val="00745696"/>
    <w:rsid w:val="00745F90"/>
    <w:rsid w:val="0074645D"/>
    <w:rsid w:val="0074683E"/>
    <w:rsid w:val="00746DCD"/>
    <w:rsid w:val="00747BB4"/>
    <w:rsid w:val="00752BB0"/>
    <w:rsid w:val="00754A9A"/>
    <w:rsid w:val="00754E0F"/>
    <w:rsid w:val="007564B3"/>
    <w:rsid w:val="00760514"/>
    <w:rsid w:val="00760790"/>
    <w:rsid w:val="00760BDA"/>
    <w:rsid w:val="0076167B"/>
    <w:rsid w:val="0076233C"/>
    <w:rsid w:val="00762B25"/>
    <w:rsid w:val="00762B6C"/>
    <w:rsid w:val="007633E3"/>
    <w:rsid w:val="00765AF7"/>
    <w:rsid w:val="00766D98"/>
    <w:rsid w:val="007677E6"/>
    <w:rsid w:val="00772D89"/>
    <w:rsid w:val="00773279"/>
    <w:rsid w:val="0077380E"/>
    <w:rsid w:val="00773BE3"/>
    <w:rsid w:val="00774599"/>
    <w:rsid w:val="00774D45"/>
    <w:rsid w:val="00775F54"/>
    <w:rsid w:val="0078489F"/>
    <w:rsid w:val="007854BB"/>
    <w:rsid w:val="0079269A"/>
    <w:rsid w:val="007928A1"/>
    <w:rsid w:val="00792FDC"/>
    <w:rsid w:val="00794AE0"/>
    <w:rsid w:val="00795642"/>
    <w:rsid w:val="00796546"/>
    <w:rsid w:val="00797CC3"/>
    <w:rsid w:val="007A00CE"/>
    <w:rsid w:val="007A01DF"/>
    <w:rsid w:val="007A295C"/>
    <w:rsid w:val="007A3C0A"/>
    <w:rsid w:val="007A539F"/>
    <w:rsid w:val="007A53D7"/>
    <w:rsid w:val="007A5A36"/>
    <w:rsid w:val="007A6F75"/>
    <w:rsid w:val="007B146C"/>
    <w:rsid w:val="007B1BCC"/>
    <w:rsid w:val="007B43CC"/>
    <w:rsid w:val="007B77C3"/>
    <w:rsid w:val="007C0D22"/>
    <w:rsid w:val="007C11B7"/>
    <w:rsid w:val="007C248E"/>
    <w:rsid w:val="007C2F1E"/>
    <w:rsid w:val="007C60BF"/>
    <w:rsid w:val="007C6264"/>
    <w:rsid w:val="007C6457"/>
    <w:rsid w:val="007D13E9"/>
    <w:rsid w:val="007D299B"/>
    <w:rsid w:val="007D368D"/>
    <w:rsid w:val="007D51AE"/>
    <w:rsid w:val="007D540D"/>
    <w:rsid w:val="007D6480"/>
    <w:rsid w:val="007D659E"/>
    <w:rsid w:val="007E3516"/>
    <w:rsid w:val="007E4C8E"/>
    <w:rsid w:val="007E530E"/>
    <w:rsid w:val="007E703A"/>
    <w:rsid w:val="007E7B70"/>
    <w:rsid w:val="007F0BA1"/>
    <w:rsid w:val="007F25D0"/>
    <w:rsid w:val="007F33DC"/>
    <w:rsid w:val="007F388D"/>
    <w:rsid w:val="007F4194"/>
    <w:rsid w:val="007F5BE0"/>
    <w:rsid w:val="007F7FB9"/>
    <w:rsid w:val="00801110"/>
    <w:rsid w:val="00802FBC"/>
    <w:rsid w:val="00803B4C"/>
    <w:rsid w:val="00805586"/>
    <w:rsid w:val="00807E67"/>
    <w:rsid w:val="00811490"/>
    <w:rsid w:val="0081294C"/>
    <w:rsid w:val="00812A12"/>
    <w:rsid w:val="00812C93"/>
    <w:rsid w:val="008134D5"/>
    <w:rsid w:val="0081530C"/>
    <w:rsid w:val="008156A3"/>
    <w:rsid w:val="00817096"/>
    <w:rsid w:val="00817B4B"/>
    <w:rsid w:val="00822BBF"/>
    <w:rsid w:val="008254C2"/>
    <w:rsid w:val="00825D03"/>
    <w:rsid w:val="00826B10"/>
    <w:rsid w:val="0083009F"/>
    <w:rsid w:val="00832A5E"/>
    <w:rsid w:val="008356C9"/>
    <w:rsid w:val="0083610A"/>
    <w:rsid w:val="00836E23"/>
    <w:rsid w:val="008401CE"/>
    <w:rsid w:val="00840658"/>
    <w:rsid w:val="00841F9E"/>
    <w:rsid w:val="0084394A"/>
    <w:rsid w:val="00843AEF"/>
    <w:rsid w:val="00844003"/>
    <w:rsid w:val="008442E2"/>
    <w:rsid w:val="008466E1"/>
    <w:rsid w:val="008466FA"/>
    <w:rsid w:val="00846D65"/>
    <w:rsid w:val="0085139F"/>
    <w:rsid w:val="00851940"/>
    <w:rsid w:val="00851F51"/>
    <w:rsid w:val="008522AF"/>
    <w:rsid w:val="0085266E"/>
    <w:rsid w:val="00852810"/>
    <w:rsid w:val="00853B56"/>
    <w:rsid w:val="008555A9"/>
    <w:rsid w:val="00856AAE"/>
    <w:rsid w:val="00862208"/>
    <w:rsid w:val="00863EA1"/>
    <w:rsid w:val="00864AA0"/>
    <w:rsid w:val="008668CD"/>
    <w:rsid w:val="00866905"/>
    <w:rsid w:val="008669FE"/>
    <w:rsid w:val="00866D3D"/>
    <w:rsid w:val="00867105"/>
    <w:rsid w:val="00867EC3"/>
    <w:rsid w:val="008703E4"/>
    <w:rsid w:val="00870C7B"/>
    <w:rsid w:val="00870F70"/>
    <w:rsid w:val="008713CA"/>
    <w:rsid w:val="008728F5"/>
    <w:rsid w:val="0087319B"/>
    <w:rsid w:val="008735D8"/>
    <w:rsid w:val="00874406"/>
    <w:rsid w:val="00874A04"/>
    <w:rsid w:val="0087566D"/>
    <w:rsid w:val="0088126F"/>
    <w:rsid w:val="0088332E"/>
    <w:rsid w:val="00884933"/>
    <w:rsid w:val="00887851"/>
    <w:rsid w:val="00890FB5"/>
    <w:rsid w:val="00892556"/>
    <w:rsid w:val="008926D0"/>
    <w:rsid w:val="00893A8B"/>
    <w:rsid w:val="00893CD0"/>
    <w:rsid w:val="0089507D"/>
    <w:rsid w:val="008952F9"/>
    <w:rsid w:val="00895496"/>
    <w:rsid w:val="008958F1"/>
    <w:rsid w:val="008A2355"/>
    <w:rsid w:val="008A3651"/>
    <w:rsid w:val="008A39CF"/>
    <w:rsid w:val="008A4AF8"/>
    <w:rsid w:val="008A5C71"/>
    <w:rsid w:val="008A646D"/>
    <w:rsid w:val="008A650D"/>
    <w:rsid w:val="008A6EF7"/>
    <w:rsid w:val="008B024A"/>
    <w:rsid w:val="008B1716"/>
    <w:rsid w:val="008B1D1D"/>
    <w:rsid w:val="008B7659"/>
    <w:rsid w:val="008C41D9"/>
    <w:rsid w:val="008C71F6"/>
    <w:rsid w:val="008C794E"/>
    <w:rsid w:val="008D3E19"/>
    <w:rsid w:val="008D3FEE"/>
    <w:rsid w:val="008D4467"/>
    <w:rsid w:val="008D4DF7"/>
    <w:rsid w:val="008D577D"/>
    <w:rsid w:val="008E168A"/>
    <w:rsid w:val="008E35F6"/>
    <w:rsid w:val="008E37F5"/>
    <w:rsid w:val="008E4EC1"/>
    <w:rsid w:val="008E5253"/>
    <w:rsid w:val="008E6A48"/>
    <w:rsid w:val="008E6DE8"/>
    <w:rsid w:val="008F22D2"/>
    <w:rsid w:val="008F2474"/>
    <w:rsid w:val="008F64C1"/>
    <w:rsid w:val="008F6E0F"/>
    <w:rsid w:val="008F7549"/>
    <w:rsid w:val="008F7CA0"/>
    <w:rsid w:val="00900187"/>
    <w:rsid w:val="00902AF0"/>
    <w:rsid w:val="00903107"/>
    <w:rsid w:val="0090313B"/>
    <w:rsid w:val="00903884"/>
    <w:rsid w:val="00905019"/>
    <w:rsid w:val="00905C22"/>
    <w:rsid w:val="00907AE3"/>
    <w:rsid w:val="00907BE8"/>
    <w:rsid w:val="009109BE"/>
    <w:rsid w:val="0091191A"/>
    <w:rsid w:val="0091500A"/>
    <w:rsid w:val="00917400"/>
    <w:rsid w:val="00917B41"/>
    <w:rsid w:val="00920E8D"/>
    <w:rsid w:val="00921946"/>
    <w:rsid w:val="0092383A"/>
    <w:rsid w:val="009241D7"/>
    <w:rsid w:val="00927761"/>
    <w:rsid w:val="00930013"/>
    <w:rsid w:val="0093018B"/>
    <w:rsid w:val="00930567"/>
    <w:rsid w:val="00930C05"/>
    <w:rsid w:val="009328AF"/>
    <w:rsid w:val="009337DD"/>
    <w:rsid w:val="00934325"/>
    <w:rsid w:val="009360D6"/>
    <w:rsid w:val="009362BB"/>
    <w:rsid w:val="00937D4C"/>
    <w:rsid w:val="00940881"/>
    <w:rsid w:val="009411BA"/>
    <w:rsid w:val="0094130B"/>
    <w:rsid w:val="00941B9D"/>
    <w:rsid w:val="00941E31"/>
    <w:rsid w:val="00942423"/>
    <w:rsid w:val="00945A52"/>
    <w:rsid w:val="00945DDA"/>
    <w:rsid w:val="00946FB9"/>
    <w:rsid w:val="00951572"/>
    <w:rsid w:val="00951E15"/>
    <w:rsid w:val="00963FB1"/>
    <w:rsid w:val="00965553"/>
    <w:rsid w:val="009666CE"/>
    <w:rsid w:val="009669C2"/>
    <w:rsid w:val="00966AEC"/>
    <w:rsid w:val="00966FC8"/>
    <w:rsid w:val="00967A48"/>
    <w:rsid w:val="00970C34"/>
    <w:rsid w:val="00971FF5"/>
    <w:rsid w:val="009731ED"/>
    <w:rsid w:val="009750B7"/>
    <w:rsid w:val="00975A92"/>
    <w:rsid w:val="00976ADA"/>
    <w:rsid w:val="00982075"/>
    <w:rsid w:val="00982586"/>
    <w:rsid w:val="00983B4D"/>
    <w:rsid w:val="009847D4"/>
    <w:rsid w:val="00984888"/>
    <w:rsid w:val="00986691"/>
    <w:rsid w:val="009905B9"/>
    <w:rsid w:val="0099252B"/>
    <w:rsid w:val="00993D35"/>
    <w:rsid w:val="00993EEA"/>
    <w:rsid w:val="0099553F"/>
    <w:rsid w:val="0099593D"/>
    <w:rsid w:val="0099710C"/>
    <w:rsid w:val="009A3AA5"/>
    <w:rsid w:val="009A55B1"/>
    <w:rsid w:val="009A5F45"/>
    <w:rsid w:val="009A64E9"/>
    <w:rsid w:val="009B0C1D"/>
    <w:rsid w:val="009B1157"/>
    <w:rsid w:val="009B2088"/>
    <w:rsid w:val="009B54EA"/>
    <w:rsid w:val="009B5811"/>
    <w:rsid w:val="009B673C"/>
    <w:rsid w:val="009C03E5"/>
    <w:rsid w:val="009C2252"/>
    <w:rsid w:val="009C3F46"/>
    <w:rsid w:val="009C4D5B"/>
    <w:rsid w:val="009C71C2"/>
    <w:rsid w:val="009D0C28"/>
    <w:rsid w:val="009D15DC"/>
    <w:rsid w:val="009D21C0"/>
    <w:rsid w:val="009D5264"/>
    <w:rsid w:val="009E177D"/>
    <w:rsid w:val="009E207B"/>
    <w:rsid w:val="009E2B5A"/>
    <w:rsid w:val="009E2CDA"/>
    <w:rsid w:val="009E4EAC"/>
    <w:rsid w:val="009E57CF"/>
    <w:rsid w:val="009F059F"/>
    <w:rsid w:val="009F154E"/>
    <w:rsid w:val="009F1635"/>
    <w:rsid w:val="009F334C"/>
    <w:rsid w:val="009F3784"/>
    <w:rsid w:val="009F4AFD"/>
    <w:rsid w:val="009F6C78"/>
    <w:rsid w:val="00A000E6"/>
    <w:rsid w:val="00A016A0"/>
    <w:rsid w:val="00A02276"/>
    <w:rsid w:val="00A02FE7"/>
    <w:rsid w:val="00A038C7"/>
    <w:rsid w:val="00A047DB"/>
    <w:rsid w:val="00A0567C"/>
    <w:rsid w:val="00A07461"/>
    <w:rsid w:val="00A07CE5"/>
    <w:rsid w:val="00A10A71"/>
    <w:rsid w:val="00A11287"/>
    <w:rsid w:val="00A119D4"/>
    <w:rsid w:val="00A12CF7"/>
    <w:rsid w:val="00A1481B"/>
    <w:rsid w:val="00A14A00"/>
    <w:rsid w:val="00A14E51"/>
    <w:rsid w:val="00A14FF5"/>
    <w:rsid w:val="00A15122"/>
    <w:rsid w:val="00A16E3E"/>
    <w:rsid w:val="00A173C0"/>
    <w:rsid w:val="00A17BCE"/>
    <w:rsid w:val="00A20023"/>
    <w:rsid w:val="00A20C42"/>
    <w:rsid w:val="00A224C8"/>
    <w:rsid w:val="00A234BA"/>
    <w:rsid w:val="00A237B0"/>
    <w:rsid w:val="00A239FB"/>
    <w:rsid w:val="00A30ACE"/>
    <w:rsid w:val="00A3320F"/>
    <w:rsid w:val="00A33386"/>
    <w:rsid w:val="00A333DC"/>
    <w:rsid w:val="00A3537F"/>
    <w:rsid w:val="00A35D9C"/>
    <w:rsid w:val="00A35DCB"/>
    <w:rsid w:val="00A363E7"/>
    <w:rsid w:val="00A36A1A"/>
    <w:rsid w:val="00A371D5"/>
    <w:rsid w:val="00A40533"/>
    <w:rsid w:val="00A405F0"/>
    <w:rsid w:val="00A420CA"/>
    <w:rsid w:val="00A428CE"/>
    <w:rsid w:val="00A43752"/>
    <w:rsid w:val="00A463C5"/>
    <w:rsid w:val="00A5075E"/>
    <w:rsid w:val="00A5201B"/>
    <w:rsid w:val="00A5319D"/>
    <w:rsid w:val="00A53AA3"/>
    <w:rsid w:val="00A56869"/>
    <w:rsid w:val="00A70D6D"/>
    <w:rsid w:val="00A71C69"/>
    <w:rsid w:val="00A75393"/>
    <w:rsid w:val="00A76F24"/>
    <w:rsid w:val="00A8627F"/>
    <w:rsid w:val="00A9098B"/>
    <w:rsid w:val="00A911AE"/>
    <w:rsid w:val="00A921C4"/>
    <w:rsid w:val="00A931F6"/>
    <w:rsid w:val="00A95899"/>
    <w:rsid w:val="00A961E3"/>
    <w:rsid w:val="00A974A1"/>
    <w:rsid w:val="00AA2D4C"/>
    <w:rsid w:val="00AA4FAC"/>
    <w:rsid w:val="00AA6FC7"/>
    <w:rsid w:val="00AB01C5"/>
    <w:rsid w:val="00AB02FC"/>
    <w:rsid w:val="00AB0DFA"/>
    <w:rsid w:val="00AB1206"/>
    <w:rsid w:val="00AB13F6"/>
    <w:rsid w:val="00AB260B"/>
    <w:rsid w:val="00AB322A"/>
    <w:rsid w:val="00AB3AB7"/>
    <w:rsid w:val="00AB47D2"/>
    <w:rsid w:val="00AB4C7E"/>
    <w:rsid w:val="00AB7C67"/>
    <w:rsid w:val="00AC05AD"/>
    <w:rsid w:val="00AC0EB2"/>
    <w:rsid w:val="00AC12A0"/>
    <w:rsid w:val="00AC6689"/>
    <w:rsid w:val="00AC69F4"/>
    <w:rsid w:val="00AC7EA3"/>
    <w:rsid w:val="00AD09A3"/>
    <w:rsid w:val="00AD15DB"/>
    <w:rsid w:val="00AD213B"/>
    <w:rsid w:val="00AD5BCE"/>
    <w:rsid w:val="00AD6C36"/>
    <w:rsid w:val="00AD7CB5"/>
    <w:rsid w:val="00AE0DAF"/>
    <w:rsid w:val="00AE0FF9"/>
    <w:rsid w:val="00AE1A71"/>
    <w:rsid w:val="00AE1EF0"/>
    <w:rsid w:val="00AE20ED"/>
    <w:rsid w:val="00AE3F2D"/>
    <w:rsid w:val="00AE4317"/>
    <w:rsid w:val="00AE4F3D"/>
    <w:rsid w:val="00AE56E4"/>
    <w:rsid w:val="00AE58CF"/>
    <w:rsid w:val="00AE5C58"/>
    <w:rsid w:val="00AE74C2"/>
    <w:rsid w:val="00AF0783"/>
    <w:rsid w:val="00AF2C68"/>
    <w:rsid w:val="00AF420E"/>
    <w:rsid w:val="00AF536A"/>
    <w:rsid w:val="00B003B7"/>
    <w:rsid w:val="00B00837"/>
    <w:rsid w:val="00B01727"/>
    <w:rsid w:val="00B0282B"/>
    <w:rsid w:val="00B04078"/>
    <w:rsid w:val="00B04657"/>
    <w:rsid w:val="00B05A09"/>
    <w:rsid w:val="00B07939"/>
    <w:rsid w:val="00B10930"/>
    <w:rsid w:val="00B116D5"/>
    <w:rsid w:val="00B12211"/>
    <w:rsid w:val="00B12896"/>
    <w:rsid w:val="00B12FBE"/>
    <w:rsid w:val="00B130F5"/>
    <w:rsid w:val="00B16402"/>
    <w:rsid w:val="00B17D27"/>
    <w:rsid w:val="00B20093"/>
    <w:rsid w:val="00B21D91"/>
    <w:rsid w:val="00B24349"/>
    <w:rsid w:val="00B2570A"/>
    <w:rsid w:val="00B263C0"/>
    <w:rsid w:val="00B2799D"/>
    <w:rsid w:val="00B30B2C"/>
    <w:rsid w:val="00B31841"/>
    <w:rsid w:val="00B3200C"/>
    <w:rsid w:val="00B3755D"/>
    <w:rsid w:val="00B37A89"/>
    <w:rsid w:val="00B40277"/>
    <w:rsid w:val="00B437CC"/>
    <w:rsid w:val="00B439E1"/>
    <w:rsid w:val="00B43E41"/>
    <w:rsid w:val="00B43E68"/>
    <w:rsid w:val="00B45443"/>
    <w:rsid w:val="00B4705D"/>
    <w:rsid w:val="00B4781A"/>
    <w:rsid w:val="00B534ED"/>
    <w:rsid w:val="00B53634"/>
    <w:rsid w:val="00B54C1B"/>
    <w:rsid w:val="00B5530F"/>
    <w:rsid w:val="00B55406"/>
    <w:rsid w:val="00B61DE9"/>
    <w:rsid w:val="00B61E75"/>
    <w:rsid w:val="00B62405"/>
    <w:rsid w:val="00B63EBD"/>
    <w:rsid w:val="00B67561"/>
    <w:rsid w:val="00B678D7"/>
    <w:rsid w:val="00B73250"/>
    <w:rsid w:val="00B73BC9"/>
    <w:rsid w:val="00B73D58"/>
    <w:rsid w:val="00B82A42"/>
    <w:rsid w:val="00B8415B"/>
    <w:rsid w:val="00B84DC5"/>
    <w:rsid w:val="00B84F38"/>
    <w:rsid w:val="00B85268"/>
    <w:rsid w:val="00B8552E"/>
    <w:rsid w:val="00B85ADB"/>
    <w:rsid w:val="00B879B3"/>
    <w:rsid w:val="00B93C99"/>
    <w:rsid w:val="00B94752"/>
    <w:rsid w:val="00B95611"/>
    <w:rsid w:val="00B96120"/>
    <w:rsid w:val="00B962A1"/>
    <w:rsid w:val="00B9716E"/>
    <w:rsid w:val="00B976D4"/>
    <w:rsid w:val="00BA0713"/>
    <w:rsid w:val="00BA0F76"/>
    <w:rsid w:val="00BA44EB"/>
    <w:rsid w:val="00BA4A5C"/>
    <w:rsid w:val="00BA5BB2"/>
    <w:rsid w:val="00BA64D1"/>
    <w:rsid w:val="00BA7F1E"/>
    <w:rsid w:val="00BB0302"/>
    <w:rsid w:val="00BB3074"/>
    <w:rsid w:val="00BB533A"/>
    <w:rsid w:val="00BB5CEF"/>
    <w:rsid w:val="00BB7173"/>
    <w:rsid w:val="00BC05E1"/>
    <w:rsid w:val="00BC0F16"/>
    <w:rsid w:val="00BC2574"/>
    <w:rsid w:val="00BC3D10"/>
    <w:rsid w:val="00BC7AB0"/>
    <w:rsid w:val="00BD0368"/>
    <w:rsid w:val="00BD1172"/>
    <w:rsid w:val="00BD1365"/>
    <w:rsid w:val="00BD1414"/>
    <w:rsid w:val="00BD1CCD"/>
    <w:rsid w:val="00BD3585"/>
    <w:rsid w:val="00BD4205"/>
    <w:rsid w:val="00BD4FE2"/>
    <w:rsid w:val="00BD7B57"/>
    <w:rsid w:val="00BE337E"/>
    <w:rsid w:val="00BE4ACC"/>
    <w:rsid w:val="00BE4C16"/>
    <w:rsid w:val="00BE509F"/>
    <w:rsid w:val="00BE5868"/>
    <w:rsid w:val="00BE7BD2"/>
    <w:rsid w:val="00BE7F0C"/>
    <w:rsid w:val="00BF0075"/>
    <w:rsid w:val="00BF1F49"/>
    <w:rsid w:val="00BF35C6"/>
    <w:rsid w:val="00BF53EB"/>
    <w:rsid w:val="00BF5C5D"/>
    <w:rsid w:val="00BF7BC7"/>
    <w:rsid w:val="00C000B1"/>
    <w:rsid w:val="00C03571"/>
    <w:rsid w:val="00C04462"/>
    <w:rsid w:val="00C0598B"/>
    <w:rsid w:val="00C06D0D"/>
    <w:rsid w:val="00C07A18"/>
    <w:rsid w:val="00C1038C"/>
    <w:rsid w:val="00C11100"/>
    <w:rsid w:val="00C11A47"/>
    <w:rsid w:val="00C11DE8"/>
    <w:rsid w:val="00C12D27"/>
    <w:rsid w:val="00C133AC"/>
    <w:rsid w:val="00C1446C"/>
    <w:rsid w:val="00C15697"/>
    <w:rsid w:val="00C15B86"/>
    <w:rsid w:val="00C16E9B"/>
    <w:rsid w:val="00C16FB1"/>
    <w:rsid w:val="00C17E3E"/>
    <w:rsid w:val="00C24028"/>
    <w:rsid w:val="00C24371"/>
    <w:rsid w:val="00C25E3D"/>
    <w:rsid w:val="00C26605"/>
    <w:rsid w:val="00C302AC"/>
    <w:rsid w:val="00C31A17"/>
    <w:rsid w:val="00C329AA"/>
    <w:rsid w:val="00C3327F"/>
    <w:rsid w:val="00C3651A"/>
    <w:rsid w:val="00C373A4"/>
    <w:rsid w:val="00C418C8"/>
    <w:rsid w:val="00C42710"/>
    <w:rsid w:val="00C43E97"/>
    <w:rsid w:val="00C448CC"/>
    <w:rsid w:val="00C4591F"/>
    <w:rsid w:val="00C45A39"/>
    <w:rsid w:val="00C4760E"/>
    <w:rsid w:val="00C47886"/>
    <w:rsid w:val="00C508C4"/>
    <w:rsid w:val="00C56B4B"/>
    <w:rsid w:val="00C56D65"/>
    <w:rsid w:val="00C62A93"/>
    <w:rsid w:val="00C62FF3"/>
    <w:rsid w:val="00C64897"/>
    <w:rsid w:val="00C652E9"/>
    <w:rsid w:val="00C65D3E"/>
    <w:rsid w:val="00C6669E"/>
    <w:rsid w:val="00C66F89"/>
    <w:rsid w:val="00C676EF"/>
    <w:rsid w:val="00C67E35"/>
    <w:rsid w:val="00C74420"/>
    <w:rsid w:val="00C77DD3"/>
    <w:rsid w:val="00C81AA1"/>
    <w:rsid w:val="00C8206F"/>
    <w:rsid w:val="00C83977"/>
    <w:rsid w:val="00C851FB"/>
    <w:rsid w:val="00C869FF"/>
    <w:rsid w:val="00C915FE"/>
    <w:rsid w:val="00C92DDB"/>
    <w:rsid w:val="00C9363E"/>
    <w:rsid w:val="00C93ED1"/>
    <w:rsid w:val="00C95ED3"/>
    <w:rsid w:val="00C962F6"/>
    <w:rsid w:val="00C965E0"/>
    <w:rsid w:val="00CA02E0"/>
    <w:rsid w:val="00CA3E14"/>
    <w:rsid w:val="00CA4C78"/>
    <w:rsid w:val="00CA5146"/>
    <w:rsid w:val="00CA6DFF"/>
    <w:rsid w:val="00CB03C5"/>
    <w:rsid w:val="00CB0D0F"/>
    <w:rsid w:val="00CB1168"/>
    <w:rsid w:val="00CB1C5C"/>
    <w:rsid w:val="00CB3992"/>
    <w:rsid w:val="00CB40AD"/>
    <w:rsid w:val="00CB5188"/>
    <w:rsid w:val="00CB7D39"/>
    <w:rsid w:val="00CC2DF4"/>
    <w:rsid w:val="00CC483B"/>
    <w:rsid w:val="00CC5D50"/>
    <w:rsid w:val="00CD0A31"/>
    <w:rsid w:val="00CD27D5"/>
    <w:rsid w:val="00CD30BC"/>
    <w:rsid w:val="00CD3D96"/>
    <w:rsid w:val="00CD4C98"/>
    <w:rsid w:val="00CE24BB"/>
    <w:rsid w:val="00CE2F69"/>
    <w:rsid w:val="00CE74E7"/>
    <w:rsid w:val="00CF0E37"/>
    <w:rsid w:val="00CF190C"/>
    <w:rsid w:val="00CF35FF"/>
    <w:rsid w:val="00CF5690"/>
    <w:rsid w:val="00D01A7A"/>
    <w:rsid w:val="00D036DB"/>
    <w:rsid w:val="00D0546C"/>
    <w:rsid w:val="00D0559D"/>
    <w:rsid w:val="00D07F46"/>
    <w:rsid w:val="00D1001A"/>
    <w:rsid w:val="00D11C23"/>
    <w:rsid w:val="00D12D4E"/>
    <w:rsid w:val="00D12F2A"/>
    <w:rsid w:val="00D14880"/>
    <w:rsid w:val="00D1754A"/>
    <w:rsid w:val="00D177D7"/>
    <w:rsid w:val="00D20511"/>
    <w:rsid w:val="00D21863"/>
    <w:rsid w:val="00D21BA1"/>
    <w:rsid w:val="00D2430E"/>
    <w:rsid w:val="00D24554"/>
    <w:rsid w:val="00D24D67"/>
    <w:rsid w:val="00D26492"/>
    <w:rsid w:val="00D269D7"/>
    <w:rsid w:val="00D27488"/>
    <w:rsid w:val="00D275CD"/>
    <w:rsid w:val="00D30120"/>
    <w:rsid w:val="00D31B19"/>
    <w:rsid w:val="00D31DB3"/>
    <w:rsid w:val="00D33E51"/>
    <w:rsid w:val="00D35FCC"/>
    <w:rsid w:val="00D37138"/>
    <w:rsid w:val="00D4176F"/>
    <w:rsid w:val="00D42F48"/>
    <w:rsid w:val="00D43870"/>
    <w:rsid w:val="00D44268"/>
    <w:rsid w:val="00D46F50"/>
    <w:rsid w:val="00D476A3"/>
    <w:rsid w:val="00D47EBF"/>
    <w:rsid w:val="00D50BC4"/>
    <w:rsid w:val="00D522F2"/>
    <w:rsid w:val="00D53BF3"/>
    <w:rsid w:val="00D53DC9"/>
    <w:rsid w:val="00D55F33"/>
    <w:rsid w:val="00D57CB4"/>
    <w:rsid w:val="00D6006E"/>
    <w:rsid w:val="00D604FB"/>
    <w:rsid w:val="00D60F45"/>
    <w:rsid w:val="00D61985"/>
    <w:rsid w:val="00D631C4"/>
    <w:rsid w:val="00D644A1"/>
    <w:rsid w:val="00D6504C"/>
    <w:rsid w:val="00D66E04"/>
    <w:rsid w:val="00D67EE7"/>
    <w:rsid w:val="00D713B4"/>
    <w:rsid w:val="00D72702"/>
    <w:rsid w:val="00D72AEA"/>
    <w:rsid w:val="00D73419"/>
    <w:rsid w:val="00D7369F"/>
    <w:rsid w:val="00D77C78"/>
    <w:rsid w:val="00D80948"/>
    <w:rsid w:val="00D80965"/>
    <w:rsid w:val="00D81CA5"/>
    <w:rsid w:val="00D82CFF"/>
    <w:rsid w:val="00D8513F"/>
    <w:rsid w:val="00D85E17"/>
    <w:rsid w:val="00D873B0"/>
    <w:rsid w:val="00D8791E"/>
    <w:rsid w:val="00D87C72"/>
    <w:rsid w:val="00D9041D"/>
    <w:rsid w:val="00D91E6F"/>
    <w:rsid w:val="00D9342A"/>
    <w:rsid w:val="00D94A42"/>
    <w:rsid w:val="00DA02BA"/>
    <w:rsid w:val="00DA11CE"/>
    <w:rsid w:val="00DA22A2"/>
    <w:rsid w:val="00DA3DE2"/>
    <w:rsid w:val="00DA4D02"/>
    <w:rsid w:val="00DB0629"/>
    <w:rsid w:val="00DB5B57"/>
    <w:rsid w:val="00DB684E"/>
    <w:rsid w:val="00DB740F"/>
    <w:rsid w:val="00DC0B63"/>
    <w:rsid w:val="00DC23C5"/>
    <w:rsid w:val="00DC40D3"/>
    <w:rsid w:val="00DC4B59"/>
    <w:rsid w:val="00DC6FE2"/>
    <w:rsid w:val="00DC72E2"/>
    <w:rsid w:val="00DC7507"/>
    <w:rsid w:val="00DD0053"/>
    <w:rsid w:val="00DD0243"/>
    <w:rsid w:val="00DD1F74"/>
    <w:rsid w:val="00DD23EB"/>
    <w:rsid w:val="00DD2B53"/>
    <w:rsid w:val="00DD2F53"/>
    <w:rsid w:val="00DD3214"/>
    <w:rsid w:val="00DD65BA"/>
    <w:rsid w:val="00DE04F4"/>
    <w:rsid w:val="00DE19FB"/>
    <w:rsid w:val="00DE4C1F"/>
    <w:rsid w:val="00DE5725"/>
    <w:rsid w:val="00DE575B"/>
    <w:rsid w:val="00DE650D"/>
    <w:rsid w:val="00DE73E8"/>
    <w:rsid w:val="00DF0326"/>
    <w:rsid w:val="00DF0D4A"/>
    <w:rsid w:val="00DF0D6C"/>
    <w:rsid w:val="00DF426F"/>
    <w:rsid w:val="00DF494F"/>
    <w:rsid w:val="00DF52E1"/>
    <w:rsid w:val="00E00E36"/>
    <w:rsid w:val="00E01F9C"/>
    <w:rsid w:val="00E03F0E"/>
    <w:rsid w:val="00E042BE"/>
    <w:rsid w:val="00E04849"/>
    <w:rsid w:val="00E054F9"/>
    <w:rsid w:val="00E055E8"/>
    <w:rsid w:val="00E05621"/>
    <w:rsid w:val="00E076FF"/>
    <w:rsid w:val="00E100EE"/>
    <w:rsid w:val="00E11985"/>
    <w:rsid w:val="00E12AE0"/>
    <w:rsid w:val="00E12E72"/>
    <w:rsid w:val="00E13FAE"/>
    <w:rsid w:val="00E143BB"/>
    <w:rsid w:val="00E145C3"/>
    <w:rsid w:val="00E15164"/>
    <w:rsid w:val="00E15C70"/>
    <w:rsid w:val="00E20407"/>
    <w:rsid w:val="00E23336"/>
    <w:rsid w:val="00E25817"/>
    <w:rsid w:val="00E25CA3"/>
    <w:rsid w:val="00E260D0"/>
    <w:rsid w:val="00E26DAC"/>
    <w:rsid w:val="00E27147"/>
    <w:rsid w:val="00E2773F"/>
    <w:rsid w:val="00E27B73"/>
    <w:rsid w:val="00E323A9"/>
    <w:rsid w:val="00E33893"/>
    <w:rsid w:val="00E339F8"/>
    <w:rsid w:val="00E34A36"/>
    <w:rsid w:val="00E35349"/>
    <w:rsid w:val="00E3667D"/>
    <w:rsid w:val="00E368BB"/>
    <w:rsid w:val="00E36996"/>
    <w:rsid w:val="00E37E4C"/>
    <w:rsid w:val="00E37FA1"/>
    <w:rsid w:val="00E40100"/>
    <w:rsid w:val="00E413E5"/>
    <w:rsid w:val="00E41DD5"/>
    <w:rsid w:val="00E42503"/>
    <w:rsid w:val="00E43716"/>
    <w:rsid w:val="00E4598B"/>
    <w:rsid w:val="00E464F7"/>
    <w:rsid w:val="00E46A61"/>
    <w:rsid w:val="00E471A5"/>
    <w:rsid w:val="00E521F6"/>
    <w:rsid w:val="00E52952"/>
    <w:rsid w:val="00E55A03"/>
    <w:rsid w:val="00E56981"/>
    <w:rsid w:val="00E56E18"/>
    <w:rsid w:val="00E56F93"/>
    <w:rsid w:val="00E572BD"/>
    <w:rsid w:val="00E60B28"/>
    <w:rsid w:val="00E62697"/>
    <w:rsid w:val="00E62865"/>
    <w:rsid w:val="00E62AD2"/>
    <w:rsid w:val="00E65605"/>
    <w:rsid w:val="00E665A4"/>
    <w:rsid w:val="00E703AE"/>
    <w:rsid w:val="00E71AE5"/>
    <w:rsid w:val="00E7282A"/>
    <w:rsid w:val="00E7383D"/>
    <w:rsid w:val="00E74350"/>
    <w:rsid w:val="00E77E27"/>
    <w:rsid w:val="00E8023A"/>
    <w:rsid w:val="00E8028E"/>
    <w:rsid w:val="00E802D4"/>
    <w:rsid w:val="00E8080A"/>
    <w:rsid w:val="00E80E69"/>
    <w:rsid w:val="00E81618"/>
    <w:rsid w:val="00E81D90"/>
    <w:rsid w:val="00E84ACA"/>
    <w:rsid w:val="00E94B3B"/>
    <w:rsid w:val="00E952BB"/>
    <w:rsid w:val="00E9566B"/>
    <w:rsid w:val="00E97374"/>
    <w:rsid w:val="00E97A9B"/>
    <w:rsid w:val="00EA2516"/>
    <w:rsid w:val="00EA2CCD"/>
    <w:rsid w:val="00EA360E"/>
    <w:rsid w:val="00EA3B44"/>
    <w:rsid w:val="00EA5437"/>
    <w:rsid w:val="00EA55BF"/>
    <w:rsid w:val="00EA5ECA"/>
    <w:rsid w:val="00EA5F13"/>
    <w:rsid w:val="00EA6775"/>
    <w:rsid w:val="00EA71D0"/>
    <w:rsid w:val="00EB0809"/>
    <w:rsid w:val="00EB119D"/>
    <w:rsid w:val="00EB1B72"/>
    <w:rsid w:val="00EB3366"/>
    <w:rsid w:val="00EB388F"/>
    <w:rsid w:val="00EB4206"/>
    <w:rsid w:val="00EB60B3"/>
    <w:rsid w:val="00EB7F36"/>
    <w:rsid w:val="00EC316C"/>
    <w:rsid w:val="00EC3699"/>
    <w:rsid w:val="00EC435E"/>
    <w:rsid w:val="00EC483D"/>
    <w:rsid w:val="00EC61C1"/>
    <w:rsid w:val="00EC7B87"/>
    <w:rsid w:val="00ED0214"/>
    <w:rsid w:val="00ED2963"/>
    <w:rsid w:val="00ED3A8C"/>
    <w:rsid w:val="00ED43F4"/>
    <w:rsid w:val="00EE026E"/>
    <w:rsid w:val="00EE16D3"/>
    <w:rsid w:val="00EE2870"/>
    <w:rsid w:val="00EE3F3A"/>
    <w:rsid w:val="00EE400C"/>
    <w:rsid w:val="00EE5927"/>
    <w:rsid w:val="00EF27BB"/>
    <w:rsid w:val="00EF347D"/>
    <w:rsid w:val="00EF356D"/>
    <w:rsid w:val="00EF3AD1"/>
    <w:rsid w:val="00EF6132"/>
    <w:rsid w:val="00EF701E"/>
    <w:rsid w:val="00F022EE"/>
    <w:rsid w:val="00F0398A"/>
    <w:rsid w:val="00F0475E"/>
    <w:rsid w:val="00F05273"/>
    <w:rsid w:val="00F061CD"/>
    <w:rsid w:val="00F06EE9"/>
    <w:rsid w:val="00F06FE0"/>
    <w:rsid w:val="00F07D56"/>
    <w:rsid w:val="00F100BC"/>
    <w:rsid w:val="00F10EA6"/>
    <w:rsid w:val="00F11138"/>
    <w:rsid w:val="00F122DF"/>
    <w:rsid w:val="00F12814"/>
    <w:rsid w:val="00F13C0C"/>
    <w:rsid w:val="00F158D9"/>
    <w:rsid w:val="00F175D4"/>
    <w:rsid w:val="00F17A44"/>
    <w:rsid w:val="00F20688"/>
    <w:rsid w:val="00F20FD5"/>
    <w:rsid w:val="00F23522"/>
    <w:rsid w:val="00F23AF9"/>
    <w:rsid w:val="00F255B5"/>
    <w:rsid w:val="00F316A7"/>
    <w:rsid w:val="00F32181"/>
    <w:rsid w:val="00F36732"/>
    <w:rsid w:val="00F37081"/>
    <w:rsid w:val="00F370E7"/>
    <w:rsid w:val="00F37A6F"/>
    <w:rsid w:val="00F4271E"/>
    <w:rsid w:val="00F43F16"/>
    <w:rsid w:val="00F44E1D"/>
    <w:rsid w:val="00F45952"/>
    <w:rsid w:val="00F45BAB"/>
    <w:rsid w:val="00F45E45"/>
    <w:rsid w:val="00F45F67"/>
    <w:rsid w:val="00F507B8"/>
    <w:rsid w:val="00F52A84"/>
    <w:rsid w:val="00F54689"/>
    <w:rsid w:val="00F54C41"/>
    <w:rsid w:val="00F554B4"/>
    <w:rsid w:val="00F5597F"/>
    <w:rsid w:val="00F55F9C"/>
    <w:rsid w:val="00F576B3"/>
    <w:rsid w:val="00F578DE"/>
    <w:rsid w:val="00F611A9"/>
    <w:rsid w:val="00F6246E"/>
    <w:rsid w:val="00F67741"/>
    <w:rsid w:val="00F67D2C"/>
    <w:rsid w:val="00F7036E"/>
    <w:rsid w:val="00F7073F"/>
    <w:rsid w:val="00F71250"/>
    <w:rsid w:val="00F7269F"/>
    <w:rsid w:val="00F72F06"/>
    <w:rsid w:val="00F730BC"/>
    <w:rsid w:val="00F755C0"/>
    <w:rsid w:val="00F762E3"/>
    <w:rsid w:val="00F819C1"/>
    <w:rsid w:val="00F82F2C"/>
    <w:rsid w:val="00F83F7D"/>
    <w:rsid w:val="00F8657F"/>
    <w:rsid w:val="00F8783F"/>
    <w:rsid w:val="00F90358"/>
    <w:rsid w:val="00F912C9"/>
    <w:rsid w:val="00F9211E"/>
    <w:rsid w:val="00F923DF"/>
    <w:rsid w:val="00F93709"/>
    <w:rsid w:val="00F94859"/>
    <w:rsid w:val="00FA26D1"/>
    <w:rsid w:val="00FA303D"/>
    <w:rsid w:val="00FA320C"/>
    <w:rsid w:val="00FA5761"/>
    <w:rsid w:val="00FA6129"/>
    <w:rsid w:val="00FA71AF"/>
    <w:rsid w:val="00FA7DE7"/>
    <w:rsid w:val="00FB0058"/>
    <w:rsid w:val="00FB2CD9"/>
    <w:rsid w:val="00FB7258"/>
    <w:rsid w:val="00FC2905"/>
    <w:rsid w:val="00FC2C3E"/>
    <w:rsid w:val="00FC331D"/>
    <w:rsid w:val="00FC34C3"/>
    <w:rsid w:val="00FC3FFE"/>
    <w:rsid w:val="00FC63FC"/>
    <w:rsid w:val="00FC7A62"/>
    <w:rsid w:val="00FD119E"/>
    <w:rsid w:val="00FD37BD"/>
    <w:rsid w:val="00FD59EE"/>
    <w:rsid w:val="00FE0149"/>
    <w:rsid w:val="00FE108F"/>
    <w:rsid w:val="00FE2E51"/>
    <w:rsid w:val="00FE3A49"/>
    <w:rsid w:val="00FE3A9E"/>
    <w:rsid w:val="00FE4877"/>
    <w:rsid w:val="00FE5188"/>
    <w:rsid w:val="00FE6389"/>
    <w:rsid w:val="00FE69DA"/>
    <w:rsid w:val="00FE74FC"/>
    <w:rsid w:val="00FE792B"/>
    <w:rsid w:val="00FF0CFC"/>
    <w:rsid w:val="00FF275B"/>
    <w:rsid w:val="00FF369A"/>
    <w:rsid w:val="00FF3E61"/>
    <w:rsid w:val="00FF47EF"/>
    <w:rsid w:val="00FF4F2B"/>
    <w:rsid w:val="00FF5B09"/>
    <w:rsid w:val="00FF5B50"/>
    <w:rsid w:val="00FF661D"/>
    <w:rsid w:val="00FF6AE9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ED4C"/>
  <w15:docId w15:val="{0B776466-C388-4F95-B977-8086B24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F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7741"/>
  </w:style>
  <w:style w:type="character" w:styleId="FootnoteReference">
    <w:name w:val="footnote reference"/>
    <w:basedOn w:val="DefaultParagraphFont"/>
    <w:semiHidden/>
    <w:unhideWhenUsed/>
    <w:rsid w:val="00F677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uiPriority w:val="99"/>
    <w:semiHidden/>
    <w:unhideWhenUsed/>
    <w:rsid w:val="00EA55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basedOn w:val="DefaultParagraphFont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1">
    <w:name w:val="Normal1"/>
    <w:rsid w:val="003A661B"/>
    <w:pPr>
      <w:bidi/>
    </w:pPr>
    <w:rPr>
      <w:rFonts w:cs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0B3"/>
    <w:rPr>
      <w:rFonts w:ascii="Courier New" w:eastAsia="Times New Roman" w:hAnsi="Courier New" w:cs="Courier Ne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ps">
    <w:name w:val="hps"/>
    <w:basedOn w:val="DefaultParagraphFont"/>
    <w:rsid w:val="004822B5"/>
  </w:style>
  <w:style w:type="table" w:styleId="GridTable5Dark-Accent2">
    <w:name w:val="Grid Table 5 Dark Accent 2"/>
    <w:basedOn w:val="TableNormal"/>
    <w:uiPriority w:val="50"/>
    <w:rsid w:val="000038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843A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2-Accent2">
    <w:name w:val="Grid Table 2 Accent 2"/>
    <w:basedOn w:val="TableNormal"/>
    <w:uiPriority w:val="47"/>
    <w:rsid w:val="0027561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0F79A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0F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344">
                                          <w:marLeft w:val="0"/>
                                          <w:marRight w:val="0"/>
                                          <w:marTop w:val="0"/>
                                          <w:marBottom w:val="3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94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137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428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75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5934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119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2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31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5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5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621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28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784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806">
              <w:marLeft w:val="259"/>
              <w:marRight w:val="259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5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DC7D8"/>
                                                        <w:left w:val="single" w:sz="2" w:space="0" w:color="BDC7D8"/>
                                                        <w:bottom w:val="single" w:sz="4" w:space="0" w:color="BDC7D8"/>
                                                        <w:right w:val="single" w:sz="2" w:space="0" w:color="BDC7D8"/>
                                                      </w:divBdr>
                                                      <w:divsChild>
                                                        <w:div w:id="13013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2046">
                                          <w:marLeft w:val="0"/>
                                          <w:marRight w:val="-2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981052">
                                                      <w:marLeft w:val="1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6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979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4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83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4252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67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4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0539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937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720365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99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968166">
                                          <w:marLeft w:val="0"/>
                                          <w:marRight w:val="0"/>
                                          <w:marTop w:val="156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6216">
                                          <w:marLeft w:val="0"/>
                                          <w:marRight w:val="0"/>
                                          <w:marTop w:val="0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15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586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463264372132319E-2"/>
          <c:y val="7.46598683361301E-2"/>
          <c:w val="0.90435632952736345"/>
          <c:h val="0.6001758629728806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 w="12699">
              <a:noFill/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84.2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E0-4952-868D-9F8B4695586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84.2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E0-4952-868D-9F8B469558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Sheet1!$B$1:$H$2</c:f>
              <c:multiLvlStrCache>
                <c:ptCount val="7"/>
                <c:lvl>
                  <c:pt idx="0">
                    <c:v>West Bank</c:v>
                  </c:pt>
                  <c:pt idx="1">
                    <c:v>Gaza Strip </c:v>
                  </c:pt>
                  <c:pt idx="2">
                    <c:v>Male</c:v>
                  </c:pt>
                  <c:pt idx="3">
                    <c:v>Female</c:v>
                  </c:pt>
                  <c:pt idx="4">
                    <c:v>Urban</c:v>
                  </c:pt>
                  <c:pt idx="5">
                    <c:v>Rural</c:v>
                  </c:pt>
                  <c:pt idx="6">
                    <c:v>Camps</c:v>
                  </c:pt>
                </c:lvl>
                <c:lvl>
                  <c:pt idx="0">
                    <c:v>Region</c:v>
                  </c:pt>
                  <c:pt idx="2">
                    <c:v>Sex </c:v>
                  </c:pt>
                  <c:pt idx="4">
                    <c:v>Locality Type</c:v>
                  </c:pt>
                </c:lvl>
              </c:multiLvlStrCache>
            </c:multiLvlStrRef>
          </c:cat>
          <c:val>
            <c:numRef>
              <c:f>Sheet1!$B$3:$H$3</c:f>
              <c:numCache>
                <c:formatCode>####.0</c:formatCode>
                <c:ptCount val="7"/>
                <c:pt idx="0">
                  <c:v>84.2</c:v>
                </c:pt>
                <c:pt idx="1">
                  <c:v>83.4</c:v>
                </c:pt>
                <c:pt idx="2">
                  <c:v>81.7</c:v>
                </c:pt>
                <c:pt idx="3">
                  <c:v>86.2</c:v>
                </c:pt>
                <c:pt idx="4">
                  <c:v>84.2</c:v>
                </c:pt>
                <c:pt idx="5">
                  <c:v>82.8</c:v>
                </c:pt>
                <c:pt idx="6">
                  <c:v>82.1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E0-4952-868D-9F8B46955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67008"/>
        <c:axId val="39281792"/>
      </c:barChart>
      <c:catAx>
        <c:axId val="3906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 pitchFamily="34" charset="0"/>
                <a:ea typeface="Simplified Arabic"/>
                <a:cs typeface="Arial" pitchFamily="34" charset="0"/>
              </a:defRPr>
            </a:pPr>
            <a:endParaRPr lang="en-US"/>
          </a:p>
        </c:txPr>
        <c:crossAx val="39281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281792"/>
        <c:scaling>
          <c:orientation val="minMax"/>
          <c:max val="90"/>
        </c:scaling>
        <c:delete val="1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crossAx val="390670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0">
      <a:noFill/>
      <a:prstDash val="solid"/>
    </a:ln>
    <a:effectLst>
      <a:outerShdw sx="1000" sy="1000" algn="ctr" rotWithShape="0">
        <a:sysClr val="windowText" lastClr="000000"/>
      </a:outerShdw>
    </a:effectLst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043497038746237E-2"/>
          <c:y val="0.12998199605214639"/>
          <c:w val="0.9489996520876739"/>
          <c:h val="0.3248975076462550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 w="12699">
              <a:noFill/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36-455A-8CCA-92AD440A1B1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79.5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36-455A-8CCA-92AD440A1B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Sheet1!$B$1:$E$2</c:f>
              <c:multiLvlStrCache>
                <c:ptCount val="4"/>
                <c:lvl>
                  <c:pt idx="0">
                    <c:v>3 years</c:v>
                  </c:pt>
                  <c:pt idx="1">
                    <c:v>4 years</c:v>
                  </c:pt>
                  <c:pt idx="2">
                    <c:v>Enrolled </c:v>
                  </c:pt>
                  <c:pt idx="3">
                    <c:v>Not Enrolled</c:v>
                  </c:pt>
                </c:lvl>
                <c:lvl>
                  <c:pt idx="0">
                    <c:v>Age in years</c:v>
                  </c:pt>
                  <c:pt idx="2">
                    <c:v>Enrolled in preschool education (kindergarten)</c:v>
                  </c:pt>
                </c:lvl>
              </c:multiLvlStrCache>
            </c:multiLvlStrRef>
          </c:cat>
          <c:val>
            <c:numRef>
              <c:f>Sheet1!$B$3:$E$3</c:f>
              <c:numCache>
                <c:formatCode>####.0</c:formatCode>
                <c:ptCount val="4"/>
                <c:pt idx="0">
                  <c:v>77.8</c:v>
                </c:pt>
                <c:pt idx="1">
                  <c:v>90.9</c:v>
                </c:pt>
                <c:pt idx="2">
                  <c:v>92.1</c:v>
                </c:pt>
                <c:pt idx="3">
                  <c:v>79.5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36-455A-8CCA-92AD440A1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78048"/>
        <c:axId val="38579584"/>
      </c:barChart>
      <c:catAx>
        <c:axId val="385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Simplified Arabic"/>
                <a:cs typeface="Arial" pitchFamily="34" charset="0"/>
              </a:defRPr>
            </a:pPr>
            <a:endParaRPr lang="en-US"/>
          </a:p>
        </c:txPr>
        <c:crossAx val="38579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579584"/>
        <c:scaling>
          <c:orientation val="minMax"/>
          <c:max val="100"/>
          <c:min val="0"/>
        </c:scaling>
        <c:delete val="1"/>
        <c:axPos val="l"/>
        <c:majorGridlines>
          <c:spPr>
            <a:ln>
              <a:noFill/>
            </a:ln>
          </c:spPr>
        </c:majorGridlines>
        <c:numFmt formatCode="#,##0" sourceLinked="0"/>
        <c:majorTickMark val="out"/>
        <c:minorTickMark val="none"/>
        <c:tickLblPos val="nextTo"/>
        <c:crossAx val="38578048"/>
        <c:crosses val="autoZero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  <a:prstDash val="solid"/>
    </a:ln>
    <a:effectLst>
      <a:outerShdw sx="1000" sy="1000" algn="ctr" rotWithShape="0">
        <a:sysClr val="windowText" lastClr="000000"/>
      </a:outerShdw>
    </a:effectLst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991632573343475E-2"/>
          <c:y val="5.074899889189205E-2"/>
          <c:w val="0.93800369398269656"/>
          <c:h val="0.70876929661528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FF66FF"/>
              </a:solidFill>
              <a:ln>
                <a:solidFill>
                  <a:srgbClr val="FF66FF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7C-4A55-AE6A-E7BC077A7FD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16.9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7C-4A55-AE6A-E7BC077A7F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5-0 </c:v>
                </c:pt>
                <c:pt idx="1">
                  <c:v>12-6 </c:v>
                </c:pt>
                <c:pt idx="2">
                  <c:v>18-13</c:v>
                </c:pt>
              </c:strCache>
            </c:strRef>
          </c:cat>
          <c:val>
            <c:numRef>
              <c:f>Sheet1!$B$2:$B$4</c:f>
              <c:numCache>
                <c:formatCode>#,##0.0</c:formatCode>
                <c:ptCount val="3"/>
                <c:pt idx="0">
                  <c:v>16.799679535705302</c:v>
                </c:pt>
                <c:pt idx="1">
                  <c:v>30.3547867776937</c:v>
                </c:pt>
                <c:pt idx="2">
                  <c:v>52.7455336866011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7C-4A55-AE6A-E7BC077A7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993690640"/>
        <c:axId val="993697168"/>
      </c:barChart>
      <c:catAx>
        <c:axId val="993690640"/>
        <c:scaling>
          <c:orientation val="maxMin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 i="0" u="none" strike="noStrike" baseline="0">
                    <a:solidFill>
                      <a:schemeClr val="tx1"/>
                    </a:solidFill>
                    <a:effectLst/>
                  </a:rPr>
                  <a:t>Age Group</a:t>
                </a:r>
                <a:endParaRPr lang="en-US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42472324292796743"/>
              <c:y val="0.890741879921259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93697168"/>
        <c:crosses val="autoZero"/>
        <c:auto val="1"/>
        <c:lblAlgn val="ctr"/>
        <c:lblOffset val="100"/>
        <c:noMultiLvlLbl val="0"/>
      </c:catAx>
      <c:valAx>
        <c:axId val="993697168"/>
        <c:scaling>
          <c:orientation val="minMax"/>
        </c:scaling>
        <c:delete val="1"/>
        <c:axPos val="r"/>
        <c:numFmt formatCode="#,##0.0" sourceLinked="1"/>
        <c:majorTickMark val="none"/>
        <c:minorTickMark val="none"/>
        <c:tickLblPos val="nextTo"/>
        <c:crossAx val="993690640"/>
        <c:crosses val="autoZero"/>
        <c:crossBetween val="between"/>
      </c:valAx>
      <c:spPr>
        <a:pattFill prst="ltDnDiag">
          <a:fgClr>
            <a:srgbClr val="000000">
              <a:alpha val="0"/>
            </a:srgbClr>
          </a:fgClr>
          <a:bgClr>
            <a:srgbClr val="FFFFFF"/>
          </a:bgClr>
        </a:pattFill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0.7243</cdr:x>
      <cdr:y>0.8545</cdr:y>
    </cdr:from>
    <cdr:to>
      <cdr:x>0.84078</cdr:x>
      <cdr:y>0.94533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91103" y="2832409"/>
          <a:ext cx="657922" cy="3010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algn="ctr"/>
          <a:endParaRPr lang="ar-SA" sz="11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0.7243</cdr:x>
      <cdr:y>0.8545</cdr:y>
    </cdr:from>
    <cdr:to>
      <cdr:x>0.84078</cdr:x>
      <cdr:y>0.94533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91103" y="2832409"/>
          <a:ext cx="657922" cy="3010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algn="ctr"/>
          <a:endParaRPr lang="ar-SA" sz="11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1F469-3B62-40FA-9419-A2EF0541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loays</dc:creator>
  <cp:lastModifiedBy>Hadeel Badran</cp:lastModifiedBy>
  <cp:revision>2</cp:revision>
  <cp:lastPrinted>2021-04-05T07:51:00Z</cp:lastPrinted>
  <dcterms:created xsi:type="dcterms:W3CDTF">2021-04-05T07:56:00Z</dcterms:created>
  <dcterms:modified xsi:type="dcterms:W3CDTF">2021-04-05T07:56:00Z</dcterms:modified>
</cp:coreProperties>
</file>