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68" w:rsidRDefault="00254168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14FD" w:rsidRDefault="009D14FD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14FD" w:rsidRDefault="009D14FD" w:rsidP="009D14FD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D14FD" w:rsidRDefault="009D14FD" w:rsidP="009D14FD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D14FD" w:rsidRPr="009D14FD" w:rsidRDefault="009D14FD" w:rsidP="009D14FD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9D14FD" w:rsidRDefault="009D14FD" w:rsidP="009D14FD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D14FD" w:rsidRPr="009D14FD" w:rsidRDefault="009D14FD" w:rsidP="009D14FD">
      <w:pPr>
        <w:pStyle w:val="Heading1"/>
        <w:bidi w:val="0"/>
        <w:spacing w:before="0"/>
        <w:jc w:val="center"/>
        <w:rPr>
          <w:rFonts w:ascii="Times New Roman" w:eastAsia="Times New Roman" w:hAnsi="Times New Roman"/>
          <w:sz w:val="32"/>
          <w:szCs w:val="32"/>
        </w:rPr>
      </w:pPr>
      <w:r w:rsidRPr="009D14FD">
        <w:rPr>
          <w:rFonts w:ascii="Times New Roman" w:eastAsia="Times New Roman" w:hAnsi="Times New Roman"/>
          <w:color w:val="000000"/>
          <w:sz w:val="32"/>
          <w:szCs w:val="32"/>
        </w:rPr>
        <w:t>Palestinian Central Bureau of Statistics (PCBS)</w:t>
      </w:r>
    </w:p>
    <w:p w:rsidR="009D14FD" w:rsidRPr="009D14FD" w:rsidRDefault="009D14FD" w:rsidP="009D14FD">
      <w:pPr>
        <w:spacing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</w:p>
    <w:p w:rsidR="009D14FD" w:rsidRPr="009D14FD" w:rsidRDefault="009D14FD" w:rsidP="009D14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9D14FD">
        <w:rPr>
          <w:rFonts w:ascii="Times New Roman" w:hAnsi="Times New Roman" w:cs="Times New Roman"/>
          <w:b/>
          <w:bCs/>
          <w:sz w:val="28"/>
          <w:szCs w:val="28"/>
        </w:rPr>
        <w:t xml:space="preserve">Increase </w:t>
      </w:r>
      <w:r w:rsidRPr="009D14FD">
        <w:rPr>
          <w:rFonts w:ascii="Times New Roman" w:hAnsi="Times New Roman"/>
          <w:b/>
          <w:bCs/>
          <w:sz w:val="28"/>
          <w:szCs w:val="28"/>
        </w:rPr>
        <w:t xml:space="preserve">in the Industrial Production Index (IPI) in Palestine </w:t>
      </w:r>
    </w:p>
    <w:p w:rsidR="009D14FD" w:rsidRPr="009D14FD" w:rsidRDefault="009D14FD" w:rsidP="009D14FD">
      <w:pPr>
        <w:spacing w:line="240" w:lineRule="auto"/>
        <w:jc w:val="center"/>
        <w:rPr>
          <w:b/>
          <w:bCs/>
          <w:sz w:val="28"/>
          <w:szCs w:val="28"/>
        </w:rPr>
      </w:pPr>
      <w:r w:rsidRPr="009D14FD">
        <w:rPr>
          <w:rFonts w:ascii="Times New Roman" w:hAnsi="Times New Roman"/>
          <w:b/>
          <w:bCs/>
          <w:sz w:val="28"/>
          <w:szCs w:val="28"/>
        </w:rPr>
        <w:t>During</w:t>
      </w:r>
      <w:r w:rsidRPr="009D14FD">
        <w:rPr>
          <w:rFonts w:ascii="Times New Roman" w:hAnsi="Times New Roman" w:cs="Times New Roman"/>
          <w:b/>
          <w:bCs/>
          <w:sz w:val="28"/>
          <w:szCs w:val="28"/>
        </w:rPr>
        <w:t xml:space="preserve"> October</w:t>
      </w:r>
      <w:r w:rsidRPr="009D14FD">
        <w:rPr>
          <w:rFonts w:ascii="Times New Roman" w:hAnsi="Times New Roman"/>
          <w:b/>
          <w:bCs/>
          <w:sz w:val="28"/>
          <w:szCs w:val="28"/>
        </w:rPr>
        <w:t>, 10/2017</w:t>
      </w:r>
    </w:p>
    <w:p w:rsidR="009D14FD" w:rsidRPr="00254168" w:rsidRDefault="009D14FD" w:rsidP="009D14FD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3F29" w:rsidRDefault="00783F29" w:rsidP="00783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F29" w:rsidRPr="00783F29" w:rsidRDefault="008D44F5" w:rsidP="00783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The overall IPI in Palestine reached </w:t>
      </w:r>
      <w:r w:rsidR="00C34951">
        <w:rPr>
          <w:rFonts w:ascii="Times New Roman" w:hAnsi="Times New Roman" w:cs="Times New Roman"/>
          <w:sz w:val="24"/>
          <w:szCs w:val="24"/>
        </w:rPr>
        <w:t>110.33</w:t>
      </w:r>
      <w:r w:rsidR="003A0C36" w:rsidRPr="00254168">
        <w:rPr>
          <w:rFonts w:ascii="Times New Roman" w:hAnsi="Times New Roman" w:cs="Times New Roman"/>
          <w:sz w:val="24"/>
          <w:szCs w:val="24"/>
        </w:rPr>
        <w:t xml:space="preserve"> during </w:t>
      </w:r>
      <w:r w:rsidR="00EA67DD">
        <w:rPr>
          <w:rFonts w:ascii="Times New Roman" w:hAnsi="Times New Roman" w:cs="Times New Roman"/>
          <w:sz w:val="24"/>
          <w:szCs w:val="24"/>
        </w:rPr>
        <w:t>October</w:t>
      </w:r>
      <w:r w:rsidRPr="00254168">
        <w:rPr>
          <w:rFonts w:ascii="Times New Roman" w:hAnsi="Times New Roman" w:cs="Times New Roman"/>
          <w:sz w:val="24"/>
          <w:szCs w:val="24"/>
        </w:rPr>
        <w:t xml:space="preserve"> 2017 with a</w:t>
      </w:r>
      <w:r w:rsidR="00EA67DD">
        <w:rPr>
          <w:rFonts w:ascii="Times New Roman" w:hAnsi="Times New Roman" w:cs="Times New Roman"/>
          <w:sz w:val="24"/>
          <w:szCs w:val="24"/>
        </w:rPr>
        <w:t>n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EA67DD">
        <w:rPr>
          <w:rFonts w:ascii="Times New Roman" w:hAnsi="Times New Roman" w:cs="Times New Roman"/>
          <w:sz w:val="24"/>
          <w:szCs w:val="24"/>
        </w:rPr>
        <w:t>increase</w:t>
      </w:r>
      <w:r w:rsidRPr="00254168">
        <w:rPr>
          <w:rFonts w:ascii="Times New Roman" w:hAnsi="Times New Roman" w:cs="Times New Roman"/>
          <w:sz w:val="24"/>
          <w:szCs w:val="24"/>
        </w:rPr>
        <w:t xml:space="preserve"> of </w:t>
      </w:r>
      <w:r w:rsidR="00C34951">
        <w:rPr>
          <w:rFonts w:ascii="Times New Roman" w:hAnsi="Times New Roman" w:cs="Times New Roman"/>
          <w:sz w:val="24"/>
          <w:szCs w:val="24"/>
        </w:rPr>
        <w:t>1.28</w:t>
      </w:r>
      <w:r w:rsidRPr="00254168">
        <w:rPr>
          <w:rFonts w:ascii="Times New Roman" w:hAnsi="Times New Roman" w:cs="Times New Roman"/>
          <w:sz w:val="24"/>
          <w:szCs w:val="24"/>
        </w:rPr>
        <w:t>% compared to the previous month (Base Month December 2015 = 100).</w:t>
      </w:r>
    </w:p>
    <w:p w:rsidR="00783F29" w:rsidRPr="00783F29" w:rsidRDefault="00783F29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F29" w:rsidRPr="009D14FD" w:rsidRDefault="00783F29" w:rsidP="0025416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rtl/>
        </w:rPr>
      </w:pPr>
    </w:p>
    <w:p w:rsidR="008D44F5" w:rsidRPr="00254168" w:rsidRDefault="00034B7B" w:rsidP="00C349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IPI for </w:t>
      </w:r>
      <w:r w:rsidR="00022D17">
        <w:rPr>
          <w:rFonts w:ascii="Times New Roman" w:hAnsi="Times New Roman" w:cs="Times New Roman"/>
          <w:sz w:val="24"/>
          <w:szCs w:val="24"/>
        </w:rPr>
        <w:t>October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2017 </w:t>
      </w:r>
      <w:r w:rsidR="00022D17">
        <w:rPr>
          <w:rFonts w:ascii="Times New Roman" w:hAnsi="Times New Roman" w:cs="Times New Roman"/>
          <w:sz w:val="24"/>
          <w:szCs w:val="24"/>
        </w:rPr>
        <w:t>increased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022D17">
        <w:rPr>
          <w:rFonts w:ascii="Times New Roman" w:hAnsi="Times New Roman" w:cs="Times New Roman"/>
          <w:sz w:val="24"/>
          <w:szCs w:val="24"/>
        </w:rPr>
        <w:t>increase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in </w:t>
      </w:r>
      <w:r w:rsidR="00C34951" w:rsidRPr="00254168">
        <w:rPr>
          <w:rFonts w:ascii="Times New Roman" w:hAnsi="Times New Roman" w:cs="Times New Roman"/>
          <w:sz w:val="24"/>
          <w:szCs w:val="24"/>
        </w:rPr>
        <w:t>the</w:t>
      </w:r>
      <w:r w:rsidR="00C34951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C34951" w:rsidRPr="00254168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C34951">
        <w:rPr>
          <w:rFonts w:ascii="Times New Roman" w:hAnsi="Times New Roman" w:cs="Times New Roman"/>
          <w:sz w:val="24"/>
          <w:szCs w:val="24"/>
        </w:rPr>
        <w:t>3.67</w:t>
      </w:r>
      <w:r w:rsidR="00C34951" w:rsidRPr="00254168">
        <w:rPr>
          <w:rFonts w:ascii="Times New Roman" w:hAnsi="Times New Roman" w:cs="Times New Roman"/>
          <w:sz w:val="24"/>
          <w:szCs w:val="24"/>
        </w:rPr>
        <w:t>% which had a share of 83.19% of the total industry</w:t>
      </w:r>
      <w:r w:rsidR="00C34951">
        <w:rPr>
          <w:rFonts w:ascii="Times New Roman" w:hAnsi="Times New Roman" w:cs="Times New Roman"/>
          <w:sz w:val="24"/>
          <w:szCs w:val="24"/>
        </w:rPr>
        <w:t>,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C34951">
        <w:rPr>
          <w:rFonts w:ascii="Times New Roman" w:hAnsi="Times New Roman" w:cs="Times New Roman"/>
          <w:sz w:val="24"/>
          <w:szCs w:val="24"/>
        </w:rPr>
        <w:t xml:space="preserve">while 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the </w:t>
      </w:r>
      <w:r w:rsidR="00C34951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Electricity, Gas, Steam and Air Conditioning Supply </w:t>
      </w:r>
      <w:r w:rsidR="00C34951" w:rsidRPr="00C34951">
        <w:rPr>
          <w:rFonts w:ascii="Times New Roman" w:hAnsi="Times New Roman" w:cs="Times New Roman"/>
          <w:sz w:val="24"/>
          <w:szCs w:val="24"/>
        </w:rPr>
        <w:t>decreased</w:t>
      </w:r>
      <w:r w:rsidR="00C34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C34951">
        <w:rPr>
          <w:rFonts w:ascii="Times New Roman" w:hAnsi="Times New Roman" w:cs="Times New Roman"/>
          <w:sz w:val="24"/>
          <w:szCs w:val="24"/>
        </w:rPr>
        <w:t>15.82</w:t>
      </w:r>
      <w:r w:rsidR="00C34951" w:rsidRPr="00254168">
        <w:rPr>
          <w:rFonts w:ascii="Times New Roman" w:hAnsi="Times New Roman" w:cs="Times New Roman"/>
          <w:sz w:val="24"/>
          <w:szCs w:val="24"/>
        </w:rPr>
        <w:t xml:space="preserve">% which had a share of 11.98% of the total industry, </w:t>
      </w:r>
      <w:r w:rsidR="00022D17" w:rsidRPr="00254168">
        <w:rPr>
          <w:rFonts w:ascii="Times New Roman" w:hAnsi="Times New Roman" w:cs="Times New Roman"/>
          <w:sz w:val="24"/>
          <w:szCs w:val="24"/>
        </w:rPr>
        <w:t>the</w:t>
      </w:r>
      <w:r w:rsidR="00022D17">
        <w:rPr>
          <w:rFonts w:ascii="Times New Roman" w:hAnsi="Times New Roman" w:cs="Times New Roman"/>
          <w:sz w:val="24"/>
          <w:szCs w:val="24"/>
        </w:rPr>
        <w:t xml:space="preserve"> </w:t>
      </w:r>
      <w:r w:rsidR="00022D17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Water Supply, Sewerage, Waste Management and Remediation </w:t>
      </w:r>
      <w:r w:rsidR="00022D17">
        <w:rPr>
          <w:rFonts w:ascii="Times New Roman" w:hAnsi="Times New Roman" w:cs="Times New Roman"/>
          <w:sz w:val="24"/>
          <w:szCs w:val="24"/>
        </w:rPr>
        <w:t xml:space="preserve"> </w:t>
      </w:r>
      <w:r w:rsidR="00022D17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C34951">
        <w:rPr>
          <w:rFonts w:ascii="Times New Roman" w:hAnsi="Times New Roman" w:cs="Times New Roman"/>
          <w:sz w:val="24"/>
          <w:szCs w:val="24"/>
        </w:rPr>
        <w:t>6.42</w:t>
      </w:r>
      <w:r w:rsidR="00022D17" w:rsidRPr="00254168">
        <w:rPr>
          <w:rFonts w:ascii="Times New Roman" w:hAnsi="Times New Roman" w:cs="Times New Roman"/>
          <w:sz w:val="24"/>
          <w:szCs w:val="24"/>
        </w:rPr>
        <w:t>% which had a share of 0.78% of the total industry</w:t>
      </w:r>
      <w:r w:rsidR="00022D17">
        <w:rPr>
          <w:rFonts w:ascii="Times New Roman" w:hAnsi="Times New Roman" w:cs="Times New Roman"/>
          <w:sz w:val="24"/>
          <w:szCs w:val="24"/>
        </w:rPr>
        <w:t xml:space="preserve">, </w:t>
      </w:r>
      <w:r w:rsidR="00C34951">
        <w:rPr>
          <w:rFonts w:ascii="Times New Roman" w:hAnsi="Times New Roman" w:cs="Times New Roman"/>
          <w:sz w:val="24"/>
          <w:szCs w:val="24"/>
        </w:rPr>
        <w:t>and</w:t>
      </w:r>
      <w:r w:rsidR="008D1B37">
        <w:rPr>
          <w:rFonts w:ascii="Times New Roman" w:hAnsi="Times New Roman" w:cs="Times New Roman"/>
          <w:sz w:val="24"/>
          <w:szCs w:val="24"/>
        </w:rPr>
        <w:t xml:space="preserve"> </w:t>
      </w:r>
      <w:r w:rsidR="003A4265">
        <w:rPr>
          <w:rFonts w:ascii="Times New Roman" w:hAnsi="Times New Roman" w:cs="Times New Roman"/>
          <w:sz w:val="24"/>
          <w:szCs w:val="24"/>
        </w:rPr>
        <w:t>the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F00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>of Mining and Quarrying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022D17">
        <w:rPr>
          <w:rFonts w:ascii="Times New Roman" w:hAnsi="Times New Roman" w:cs="Times New Roman"/>
          <w:sz w:val="24"/>
          <w:szCs w:val="24"/>
        </w:rPr>
        <w:t xml:space="preserve"> 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C34951">
        <w:rPr>
          <w:rFonts w:ascii="Times New Roman" w:hAnsi="Times New Roman" w:cs="Times New Roman"/>
          <w:sz w:val="24"/>
          <w:szCs w:val="24"/>
        </w:rPr>
        <w:t>2.39</w:t>
      </w:r>
      <w:r w:rsidR="00E746FD" w:rsidRPr="00254168">
        <w:rPr>
          <w:rFonts w:ascii="Times New Roman" w:hAnsi="Times New Roman" w:cs="Times New Roman"/>
          <w:sz w:val="24"/>
          <w:szCs w:val="24"/>
        </w:rPr>
        <w:t>% which had a share of 4.06% of the total industry</w:t>
      </w:r>
      <w:bookmarkStart w:id="0" w:name="_GoBack"/>
      <w:bookmarkEnd w:id="0"/>
      <w:r w:rsidR="008D44F5" w:rsidRPr="00254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4F5" w:rsidRPr="00783F29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F29" w:rsidRDefault="00783F29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D14FD" w:rsidRPr="009D14FD" w:rsidRDefault="008D44F5" w:rsidP="009D14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9D14FD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table below shows monthly percent changes in IPI for the period</w:t>
      </w:r>
    </w:p>
    <w:p w:rsidR="008D44F5" w:rsidRPr="009D14FD" w:rsidRDefault="008D44F5" w:rsidP="009D14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9D14FD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January – </w:t>
      </w:r>
      <w:r w:rsidR="00795473" w:rsidRPr="009D14FD">
        <w:rPr>
          <w:rFonts w:ascii="Times New Roman" w:hAnsi="Times New Roman" w:cs="Times New Roman"/>
          <w:b/>
          <w:bCs/>
          <w:snapToGrid w:val="0"/>
          <w:sz w:val="25"/>
          <w:szCs w:val="25"/>
        </w:rPr>
        <w:t>October</w:t>
      </w:r>
      <w:r w:rsidRPr="009D14FD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2017:</w:t>
      </w:r>
    </w:p>
    <w:p w:rsidR="00CF24E8" w:rsidRPr="00254168" w:rsidRDefault="00CF24E8" w:rsidP="002541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4536" w:type="dxa"/>
        <w:jc w:val="center"/>
        <w:tblInd w:w="108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3118"/>
      </w:tblGrid>
      <w:tr w:rsidR="008D44F5" w:rsidRPr="00254168" w:rsidTr="00783F29">
        <w:trPr>
          <w:trHeight w:val="384"/>
          <w:tblHeader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3118" w:type="dxa"/>
          </w:tcPr>
          <w:p w:rsidR="008D44F5" w:rsidRPr="00254168" w:rsidRDefault="00254168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Monthly </w:t>
            </w:r>
            <w:r w:rsidR="008D44F5"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Percent Change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%</w:t>
            </w:r>
          </w:p>
        </w:tc>
      </w:tr>
      <w:tr w:rsidR="008D44F5" w:rsidRPr="00254168" w:rsidTr="00783F29">
        <w:trPr>
          <w:trHeight w:val="389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+ 4.80</w:t>
            </w:r>
          </w:p>
        </w:tc>
      </w:tr>
      <w:tr w:rsidR="008D44F5" w:rsidRPr="00254168" w:rsidTr="00783F29">
        <w:trPr>
          <w:trHeight w:val="410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6.11</w:t>
            </w:r>
          </w:p>
        </w:tc>
      </w:tr>
      <w:tr w:rsidR="008D44F5" w:rsidRPr="00254168" w:rsidTr="00783F29">
        <w:trPr>
          <w:trHeight w:val="388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+ 8.08</w:t>
            </w:r>
          </w:p>
        </w:tc>
      </w:tr>
      <w:tr w:rsidR="008D44F5" w:rsidRPr="00254168" w:rsidTr="00783F29">
        <w:trPr>
          <w:trHeight w:val="394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6.36</w:t>
            </w:r>
          </w:p>
        </w:tc>
      </w:tr>
      <w:tr w:rsidR="008D44F5" w:rsidRPr="00254168" w:rsidTr="00783F29">
        <w:trPr>
          <w:trHeight w:val="400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0.49</w:t>
            </w:r>
          </w:p>
        </w:tc>
      </w:tr>
      <w:tr w:rsidR="008D44F5" w:rsidRPr="00254168" w:rsidTr="00783F29">
        <w:trPr>
          <w:trHeight w:val="392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11.23</w:t>
            </w:r>
          </w:p>
        </w:tc>
      </w:tr>
      <w:tr w:rsidR="00783AF7" w:rsidRPr="00254168" w:rsidTr="00783F29">
        <w:trPr>
          <w:trHeight w:val="398"/>
          <w:jc w:val="center"/>
        </w:trPr>
        <w:tc>
          <w:tcPr>
            <w:tcW w:w="1418" w:type="dxa"/>
            <w:vAlign w:val="center"/>
          </w:tcPr>
          <w:p w:rsidR="00783AF7" w:rsidRPr="00254168" w:rsidRDefault="00783AF7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3118" w:type="dxa"/>
            <w:vAlign w:val="center"/>
          </w:tcPr>
          <w:p w:rsidR="00783AF7" w:rsidRPr="00254168" w:rsidRDefault="00254168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+ 15.25</w:t>
            </w:r>
          </w:p>
        </w:tc>
      </w:tr>
      <w:tr w:rsidR="00050C7D" w:rsidRPr="00254168" w:rsidTr="00783F29">
        <w:trPr>
          <w:trHeight w:val="390"/>
          <w:jc w:val="center"/>
        </w:trPr>
        <w:tc>
          <w:tcPr>
            <w:tcW w:w="1418" w:type="dxa"/>
            <w:vAlign w:val="center"/>
          </w:tcPr>
          <w:p w:rsidR="00050C7D" w:rsidRPr="00254168" w:rsidRDefault="00050C7D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3118" w:type="dxa"/>
            <w:vAlign w:val="center"/>
          </w:tcPr>
          <w:p w:rsidR="00050C7D" w:rsidRPr="00254168" w:rsidRDefault="00050C7D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+ 16.97</w:t>
            </w:r>
          </w:p>
        </w:tc>
      </w:tr>
      <w:tr w:rsidR="009F3353" w:rsidRPr="00254168" w:rsidTr="00783F29">
        <w:trPr>
          <w:trHeight w:val="396"/>
          <w:jc w:val="center"/>
        </w:trPr>
        <w:tc>
          <w:tcPr>
            <w:tcW w:w="1418" w:type="dxa"/>
            <w:vAlign w:val="center"/>
          </w:tcPr>
          <w:p w:rsidR="009F3353" w:rsidRDefault="009F3353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3118" w:type="dxa"/>
            <w:vAlign w:val="center"/>
          </w:tcPr>
          <w:p w:rsidR="009F3353" w:rsidRPr="00254168" w:rsidRDefault="009F3353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12.44</w:t>
            </w:r>
          </w:p>
        </w:tc>
      </w:tr>
      <w:tr w:rsidR="00795473" w:rsidRPr="00254168" w:rsidTr="00783F29">
        <w:trPr>
          <w:trHeight w:val="388"/>
          <w:jc w:val="center"/>
        </w:trPr>
        <w:tc>
          <w:tcPr>
            <w:tcW w:w="1418" w:type="dxa"/>
            <w:vAlign w:val="center"/>
          </w:tcPr>
          <w:p w:rsidR="00795473" w:rsidRDefault="00795473" w:rsidP="00783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October</w:t>
            </w:r>
          </w:p>
        </w:tc>
        <w:tc>
          <w:tcPr>
            <w:tcW w:w="3118" w:type="dxa"/>
            <w:vAlign w:val="center"/>
          </w:tcPr>
          <w:p w:rsidR="00795473" w:rsidRPr="00254168" w:rsidRDefault="00795473" w:rsidP="00783F29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+ </w:t>
            </w:r>
            <w:r w:rsidR="005263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1.28</w:t>
            </w:r>
          </w:p>
        </w:tc>
      </w:tr>
    </w:tbl>
    <w:p w:rsidR="00254168" w:rsidRPr="009D14FD" w:rsidRDefault="00254168" w:rsidP="00783F29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pBdr>
          <w:top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83F29" w:rsidRDefault="00783F29" w:rsidP="00783F29">
      <w:pPr>
        <w:spacing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9D14FD" w:rsidRPr="009D14FD" w:rsidRDefault="008D44F5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D14FD">
        <w:rPr>
          <w:rFonts w:ascii="Times New Roman" w:hAnsi="Times New Roman" w:cs="Times New Roman"/>
          <w:b/>
          <w:bCs/>
          <w:sz w:val="25"/>
          <w:szCs w:val="25"/>
        </w:rPr>
        <w:t>The trend line of the Industrial Production Index in Palestine, for the period:</w:t>
      </w:r>
      <w:r w:rsidR="00987D39" w:rsidRPr="009D14F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9D14FD" w:rsidRPr="009D14FD" w:rsidRDefault="007B19C1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D14FD">
        <w:rPr>
          <w:rFonts w:ascii="Times New Roman" w:hAnsi="Times New Roman" w:cs="Times New Roman"/>
          <w:b/>
          <w:bCs/>
          <w:sz w:val="25"/>
          <w:szCs w:val="25"/>
        </w:rPr>
        <w:t>October</w:t>
      </w:r>
      <w:r w:rsidR="008D44F5" w:rsidRPr="009D14FD">
        <w:rPr>
          <w:rFonts w:ascii="Times New Roman" w:hAnsi="Times New Roman" w:cs="Times New Roman"/>
          <w:b/>
          <w:bCs/>
          <w:sz w:val="25"/>
          <w:szCs w:val="25"/>
        </w:rPr>
        <w:t xml:space="preserve"> 2016 -</w:t>
      </w:r>
      <w:r w:rsidR="00783AF7" w:rsidRPr="009D14F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9D14FD">
        <w:rPr>
          <w:rFonts w:ascii="Times New Roman" w:hAnsi="Times New Roman" w:cs="Times New Roman"/>
          <w:b/>
          <w:bCs/>
          <w:sz w:val="25"/>
          <w:szCs w:val="25"/>
        </w:rPr>
        <w:t>October</w:t>
      </w:r>
      <w:r w:rsidR="008D44F5" w:rsidRPr="009D14FD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8D44F5" w:rsidRPr="009D14FD" w:rsidRDefault="008D44F5" w:rsidP="009D14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D14FD">
        <w:rPr>
          <w:rFonts w:ascii="Times New Roman" w:hAnsi="Times New Roman" w:cs="Times New Roman"/>
          <w:b/>
          <w:bCs/>
          <w:sz w:val="25"/>
          <w:szCs w:val="25"/>
        </w:rPr>
        <w:t>(Base Month December 2015=100)</w:t>
      </w: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611"/>
      </w:tblGrid>
      <w:tr w:rsidR="00254168" w:rsidTr="00056B6B">
        <w:trPr>
          <w:jc w:val="center"/>
        </w:trPr>
        <w:tc>
          <w:tcPr>
            <w:tcW w:w="4260" w:type="dxa"/>
          </w:tcPr>
          <w:p w:rsidR="00254168" w:rsidRDefault="00254168" w:rsidP="0025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790825" cy="2447925"/>
                  <wp:effectExtent l="0" t="0" r="0" b="0"/>
                  <wp:docPr id="3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8D44F5" w:rsidRDefault="008D44F5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3F29" w:rsidRDefault="00783F29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54168" w:rsidRDefault="00254168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4F5" w:rsidRDefault="008D44F5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Relative share for the main industrial activities represents the percentage distribution of value added for the industrial activities in 2013.</w:t>
      </w:r>
    </w:p>
    <w:p w:rsidR="00254168" w:rsidRPr="00254168" w:rsidRDefault="00254168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Data collection of Industrial Production Index survey was funded by the European Union.</w:t>
      </w: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2E5" w:rsidRPr="00254168" w:rsidRDefault="00B872E5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254168" w:rsidSect="009D14FD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D6" w:rsidRDefault="009851D6" w:rsidP="0089530C">
      <w:r>
        <w:separator/>
      </w:r>
    </w:p>
  </w:endnote>
  <w:endnote w:type="continuationSeparator" w:id="0">
    <w:p w:rsidR="009851D6" w:rsidRDefault="009851D6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9C0C28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9C0C28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C21E40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9C0C28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F29">
      <w:rPr>
        <w:rStyle w:val="PageNumber"/>
        <w:noProof/>
      </w:rPr>
      <w:t>1</w:t>
    </w:r>
    <w:r>
      <w:rPr>
        <w:rStyle w:val="PageNumber"/>
      </w:rPr>
      <w:fldChar w:fldCharType="end"/>
    </w:r>
  </w:p>
  <w:p w:rsidR="00C21E40" w:rsidRDefault="009C0C28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21E40" w:rsidRDefault="00C21E40" w:rsidP="00EA67DD">
                <w:r>
                  <w:t>Date: 05/</w:t>
                </w:r>
                <w:r w:rsidR="00EA67DD">
                  <w:t>12</w:t>
                </w:r>
                <w:r>
                  <w:t>/2017</w:t>
                </w:r>
              </w:p>
            </w:txbxContent>
          </v:textbox>
        </v:shape>
      </w:pict>
    </w:r>
    <w:r w:rsidR="00C21E4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D6" w:rsidRDefault="009851D6" w:rsidP="0089530C">
      <w:r>
        <w:separator/>
      </w:r>
    </w:p>
  </w:footnote>
  <w:footnote w:type="continuationSeparator" w:id="0">
    <w:p w:rsidR="009851D6" w:rsidRDefault="009851D6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C21E40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0C28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5FCB"/>
    <w:rsid w:val="00022D17"/>
    <w:rsid w:val="00034B7B"/>
    <w:rsid w:val="00050C7D"/>
    <w:rsid w:val="00056B6B"/>
    <w:rsid w:val="00093963"/>
    <w:rsid w:val="000976D5"/>
    <w:rsid w:val="000B0CE1"/>
    <w:rsid w:val="000F2B27"/>
    <w:rsid w:val="00127F00"/>
    <w:rsid w:val="0018441C"/>
    <w:rsid w:val="001856B3"/>
    <w:rsid w:val="00195F2D"/>
    <w:rsid w:val="001B292F"/>
    <w:rsid w:val="001C7843"/>
    <w:rsid w:val="001D36DE"/>
    <w:rsid w:val="001E2A3E"/>
    <w:rsid w:val="0020755C"/>
    <w:rsid w:val="00240A97"/>
    <w:rsid w:val="00254168"/>
    <w:rsid w:val="00265C70"/>
    <w:rsid w:val="00275645"/>
    <w:rsid w:val="002B502D"/>
    <w:rsid w:val="002D5C92"/>
    <w:rsid w:val="002E3540"/>
    <w:rsid w:val="002F0D66"/>
    <w:rsid w:val="003169B5"/>
    <w:rsid w:val="00316DE5"/>
    <w:rsid w:val="003261C5"/>
    <w:rsid w:val="00334BB2"/>
    <w:rsid w:val="0036755C"/>
    <w:rsid w:val="00383F0B"/>
    <w:rsid w:val="003A0C36"/>
    <w:rsid w:val="003A4265"/>
    <w:rsid w:val="003C749E"/>
    <w:rsid w:val="003D78BD"/>
    <w:rsid w:val="00496ACB"/>
    <w:rsid w:val="004B6A6D"/>
    <w:rsid w:val="0050039F"/>
    <w:rsid w:val="00516C24"/>
    <w:rsid w:val="0052638D"/>
    <w:rsid w:val="00527A0F"/>
    <w:rsid w:val="005A3AC6"/>
    <w:rsid w:val="005D6762"/>
    <w:rsid w:val="005E2B5D"/>
    <w:rsid w:val="006025BE"/>
    <w:rsid w:val="006212C1"/>
    <w:rsid w:val="006447DC"/>
    <w:rsid w:val="00666F5E"/>
    <w:rsid w:val="006957CF"/>
    <w:rsid w:val="006A0A70"/>
    <w:rsid w:val="00702F6A"/>
    <w:rsid w:val="00716385"/>
    <w:rsid w:val="00723FD2"/>
    <w:rsid w:val="007534F9"/>
    <w:rsid w:val="00783AF7"/>
    <w:rsid w:val="00783F29"/>
    <w:rsid w:val="00795473"/>
    <w:rsid w:val="007B19C1"/>
    <w:rsid w:val="007D73EA"/>
    <w:rsid w:val="00816FF4"/>
    <w:rsid w:val="0085671B"/>
    <w:rsid w:val="008852F5"/>
    <w:rsid w:val="0089530C"/>
    <w:rsid w:val="008B5BDF"/>
    <w:rsid w:val="008D05F4"/>
    <w:rsid w:val="008D1B37"/>
    <w:rsid w:val="008D44F5"/>
    <w:rsid w:val="008E4DE2"/>
    <w:rsid w:val="00966D26"/>
    <w:rsid w:val="009851D6"/>
    <w:rsid w:val="00987D39"/>
    <w:rsid w:val="00990374"/>
    <w:rsid w:val="009B2B6C"/>
    <w:rsid w:val="009B7263"/>
    <w:rsid w:val="009C0C28"/>
    <w:rsid w:val="009C3123"/>
    <w:rsid w:val="009D14FD"/>
    <w:rsid w:val="009F090A"/>
    <w:rsid w:val="009F2E29"/>
    <w:rsid w:val="009F3353"/>
    <w:rsid w:val="00A76524"/>
    <w:rsid w:val="00AC1324"/>
    <w:rsid w:val="00AC54F7"/>
    <w:rsid w:val="00AC7248"/>
    <w:rsid w:val="00AE3A1E"/>
    <w:rsid w:val="00AE67D3"/>
    <w:rsid w:val="00AF28BB"/>
    <w:rsid w:val="00AF4FBE"/>
    <w:rsid w:val="00AF60D4"/>
    <w:rsid w:val="00B2076E"/>
    <w:rsid w:val="00B25F02"/>
    <w:rsid w:val="00B872E5"/>
    <w:rsid w:val="00BB2A5D"/>
    <w:rsid w:val="00BD1EE7"/>
    <w:rsid w:val="00C07884"/>
    <w:rsid w:val="00C14BC7"/>
    <w:rsid w:val="00C21E40"/>
    <w:rsid w:val="00C34951"/>
    <w:rsid w:val="00C50E44"/>
    <w:rsid w:val="00CA0566"/>
    <w:rsid w:val="00CC79C0"/>
    <w:rsid w:val="00CF24E8"/>
    <w:rsid w:val="00CF3357"/>
    <w:rsid w:val="00CF67B2"/>
    <w:rsid w:val="00D1484C"/>
    <w:rsid w:val="00D209ED"/>
    <w:rsid w:val="00D428A9"/>
    <w:rsid w:val="00D83B3A"/>
    <w:rsid w:val="00DF27B1"/>
    <w:rsid w:val="00DF7513"/>
    <w:rsid w:val="00E13FE4"/>
    <w:rsid w:val="00E167FF"/>
    <w:rsid w:val="00E316C4"/>
    <w:rsid w:val="00E5571A"/>
    <w:rsid w:val="00E60B42"/>
    <w:rsid w:val="00E746FD"/>
    <w:rsid w:val="00E76D45"/>
    <w:rsid w:val="00E9198C"/>
    <w:rsid w:val="00E94B00"/>
    <w:rsid w:val="00EA67DD"/>
    <w:rsid w:val="00F83E8F"/>
    <w:rsid w:val="00FA2CE0"/>
    <w:rsid w:val="00FB10F4"/>
    <w:rsid w:val="00FC33A0"/>
    <w:rsid w:val="00FD3517"/>
    <w:rsid w:val="00FE6CA0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9D14F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before="480" w:line="240" w:lineRule="auto"/>
      <w:outlineLvl w:val="0"/>
    </w:pPr>
    <w:rPr>
      <w:rFonts w:ascii="Cambria" w:eastAsiaTheme="minorHAnsi" w:hAnsi="Cambria" w:cs="Times New Roman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FD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106"/>
          <c:h val="0.657170258561993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7358159177471233E-2"/>
                  <c:y val="-3.421274587867539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5256250863378957E-6"/>
                  <c:y val="7.8449182616217888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Oct.2016</c:v>
                </c:pt>
                <c:pt idx="1">
                  <c:v>Nov.2016</c:v>
                </c:pt>
                <c:pt idx="2">
                  <c:v>Dec.2016</c:v>
                </c:pt>
                <c:pt idx="3">
                  <c:v>Jan.2017</c:v>
                </c:pt>
                <c:pt idx="4">
                  <c:v>Feb.2017</c:v>
                </c:pt>
                <c:pt idx="5">
                  <c:v>Mar.2017</c:v>
                </c:pt>
                <c:pt idx="6">
                  <c:v>Apr.2017</c:v>
                </c:pt>
                <c:pt idx="7">
                  <c:v>May.2017</c:v>
                </c:pt>
                <c:pt idx="8">
                  <c:v>Jun.2017</c:v>
                </c:pt>
                <c:pt idx="9">
                  <c:v>Jul.2017</c:v>
                </c:pt>
                <c:pt idx="10">
                  <c:v>Aug.2017</c:v>
                </c:pt>
                <c:pt idx="11">
                  <c:v>Sep.2017</c:v>
                </c:pt>
                <c:pt idx="12">
                  <c:v>Oct.2017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105.48681836750755</c:v>
                </c:pt>
                <c:pt idx="1">
                  <c:v>104.29</c:v>
                </c:pt>
                <c:pt idx="2">
                  <c:v>104.92</c:v>
                </c:pt>
                <c:pt idx="3">
                  <c:v>109.95</c:v>
                </c:pt>
                <c:pt idx="4">
                  <c:v>103.23</c:v>
                </c:pt>
                <c:pt idx="5">
                  <c:v>111.58</c:v>
                </c:pt>
                <c:pt idx="6">
                  <c:v>104.48</c:v>
                </c:pt>
                <c:pt idx="7">
                  <c:v>103.97</c:v>
                </c:pt>
                <c:pt idx="8">
                  <c:v>92.3</c:v>
                </c:pt>
                <c:pt idx="9">
                  <c:v>106.36999999999999</c:v>
                </c:pt>
                <c:pt idx="10">
                  <c:v>124.42</c:v>
                </c:pt>
                <c:pt idx="11">
                  <c:v>108.94000000000005</c:v>
                </c:pt>
                <c:pt idx="12">
                  <c:v>110.33</c:v>
                </c:pt>
              </c:numCache>
            </c:numRef>
          </c:val>
        </c:ser>
        <c:marker val="1"/>
        <c:axId val="126903808"/>
        <c:axId val="126905728"/>
      </c:lineChart>
      <c:catAx>
        <c:axId val="126903808"/>
        <c:scaling>
          <c:orientation val="minMax"/>
        </c:scaling>
        <c:axPos val="b"/>
        <c:numFmt formatCode="0.00" sourceLinked="1"/>
        <c:tickLblPos val="nextTo"/>
        <c:crossAx val="126905728"/>
        <c:crossesAt val="85"/>
        <c:auto val="1"/>
        <c:lblAlgn val="ctr"/>
        <c:lblOffset val="100"/>
      </c:catAx>
      <c:valAx>
        <c:axId val="126905728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26903808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A4F3-C758-46CE-AE9D-C8A01008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2017-12-03T08:38:00Z</cp:lastPrinted>
  <dcterms:created xsi:type="dcterms:W3CDTF">2017-12-04T11:33:00Z</dcterms:created>
  <dcterms:modified xsi:type="dcterms:W3CDTF">2017-12-04T11:33:00Z</dcterms:modified>
</cp:coreProperties>
</file>