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C6" w:rsidRDefault="002320C6" w:rsidP="002320C6">
      <w:pPr>
        <w:pStyle w:val="Title"/>
        <w:bidi w:val="0"/>
        <w:rPr>
          <w:sz w:val="28"/>
          <w:szCs w:val="28"/>
        </w:rPr>
      </w:pPr>
    </w:p>
    <w:p w:rsidR="002320C6" w:rsidRDefault="002320C6" w:rsidP="002320C6">
      <w:pPr>
        <w:pStyle w:val="Header"/>
        <w:jc w:val="center"/>
        <w:rPr>
          <w:b/>
          <w:bCs/>
          <w:sz w:val="28"/>
          <w:szCs w:val="28"/>
        </w:rPr>
      </w:pPr>
      <w:r>
        <w:rPr>
          <w:b/>
          <w:bCs/>
          <w:sz w:val="28"/>
          <w:szCs w:val="28"/>
        </w:rPr>
        <w:t>Palestinian Central Bureau of Statistics (PCBS)</w:t>
      </w:r>
    </w:p>
    <w:p w:rsidR="002320C6" w:rsidRDefault="002320C6" w:rsidP="002320C6">
      <w:pPr>
        <w:pStyle w:val="Title"/>
        <w:bidi w:val="0"/>
        <w:rPr>
          <w:sz w:val="28"/>
          <w:szCs w:val="28"/>
        </w:rPr>
      </w:pPr>
      <w:r>
        <w:rPr>
          <w:sz w:val="28"/>
          <w:szCs w:val="28"/>
        </w:rPr>
        <w:t xml:space="preserve"> </w:t>
      </w:r>
    </w:p>
    <w:p w:rsidR="002320C6" w:rsidRPr="008F7696" w:rsidRDefault="002320C6" w:rsidP="002320C6">
      <w:pPr>
        <w:pStyle w:val="Title"/>
        <w:bidi w:val="0"/>
        <w:rPr>
          <w:sz w:val="28"/>
          <w:szCs w:val="28"/>
        </w:rPr>
      </w:pPr>
      <w:r w:rsidRPr="008F7696">
        <w:rPr>
          <w:sz w:val="28"/>
          <w:szCs w:val="28"/>
        </w:rPr>
        <w:t>Press Release by Palestinian Central Bureau of Statistics (PCBS) and the Environment Quality Authority on World Environment Day (WED)</w:t>
      </w:r>
    </w:p>
    <w:p w:rsidR="002320C6" w:rsidRPr="000C7FE2" w:rsidRDefault="002320C6" w:rsidP="002320C6">
      <w:pPr>
        <w:pStyle w:val="Title"/>
        <w:bidi w:val="0"/>
        <w:jc w:val="left"/>
        <w:rPr>
          <w:rFonts w:cs="Times New Roman"/>
          <w:sz w:val="26"/>
          <w:szCs w:val="26"/>
        </w:rPr>
      </w:pPr>
    </w:p>
    <w:p w:rsidR="002320C6" w:rsidRPr="001458F4" w:rsidRDefault="002320C6" w:rsidP="002320C6">
      <w:pPr>
        <w:pStyle w:val="NormalWeb"/>
        <w:shd w:val="clear" w:color="auto" w:fill="FFFFFF"/>
        <w:spacing w:before="0" w:beforeAutospacing="0" w:after="0" w:afterAutospacing="0"/>
        <w:jc w:val="both"/>
        <w:rPr>
          <w:sz w:val="12"/>
          <w:szCs w:val="12"/>
          <w:lang w:eastAsia="ar-SA"/>
        </w:rPr>
      </w:pPr>
    </w:p>
    <w:p w:rsidR="002320C6" w:rsidRDefault="002320C6" w:rsidP="002320C6">
      <w:pPr>
        <w:pStyle w:val="NormalWeb"/>
        <w:shd w:val="clear" w:color="auto" w:fill="FFFFFF"/>
        <w:spacing w:before="0" w:beforeAutospacing="0" w:after="0" w:afterAutospacing="0"/>
        <w:jc w:val="both"/>
        <w:rPr>
          <w:lang w:eastAsia="ar-SA"/>
        </w:rPr>
      </w:pPr>
      <w:r w:rsidRPr="00E45F8B">
        <w:rPr>
          <w:lang w:eastAsia="ar-SA"/>
        </w:rPr>
        <w:t xml:space="preserve">World Environment Day (WED) is the United Nations’ principal </w:t>
      </w:r>
      <w:r>
        <w:rPr>
          <w:lang w:eastAsia="ar-SA"/>
        </w:rPr>
        <w:t>mechanism</w:t>
      </w:r>
      <w:r w:rsidRPr="00E45F8B">
        <w:rPr>
          <w:lang w:eastAsia="ar-SA"/>
        </w:rPr>
        <w:t xml:space="preserve"> for encouraging worldwide awareness and action for the environment. Over the years it has grown to be a broad, global platform for public outreach that is widely celebrated by stakeholders in more than 100 countries. It also serves as the </w:t>
      </w:r>
      <w:r>
        <w:rPr>
          <w:lang w:eastAsia="ar-SA"/>
        </w:rPr>
        <w:t>"</w:t>
      </w:r>
      <w:r w:rsidRPr="00E45F8B">
        <w:rPr>
          <w:lang w:eastAsia="ar-SA"/>
        </w:rPr>
        <w:t>people’s day</w:t>
      </w:r>
      <w:r>
        <w:rPr>
          <w:lang w:eastAsia="ar-SA"/>
        </w:rPr>
        <w:t>"</w:t>
      </w:r>
      <w:r w:rsidRPr="00E45F8B">
        <w:rPr>
          <w:lang w:eastAsia="ar-SA"/>
        </w:rPr>
        <w:t xml:space="preserve"> for doing something positive for the environment, galvanizing individual actions into a collective power that generates an exponential positive impact on the planet.</w:t>
      </w:r>
    </w:p>
    <w:p w:rsidR="002320C6" w:rsidRPr="008F7696" w:rsidRDefault="002320C6" w:rsidP="002320C6">
      <w:pPr>
        <w:pStyle w:val="NormalWeb"/>
        <w:shd w:val="clear" w:color="auto" w:fill="FFFFFF"/>
        <w:spacing w:before="0" w:beforeAutospacing="0" w:after="0" w:afterAutospacing="0"/>
        <w:jc w:val="both"/>
        <w:rPr>
          <w:sz w:val="16"/>
          <w:szCs w:val="16"/>
          <w:lang w:eastAsia="ar-SA"/>
        </w:rPr>
      </w:pPr>
    </w:p>
    <w:p w:rsidR="002320C6" w:rsidRPr="00266254" w:rsidRDefault="002320C6" w:rsidP="002320C6">
      <w:pPr>
        <w:pStyle w:val="NormalWeb"/>
        <w:shd w:val="clear" w:color="auto" w:fill="FFFFFF"/>
        <w:spacing w:before="0" w:beforeAutospacing="0" w:after="0" w:afterAutospacing="0"/>
        <w:jc w:val="both"/>
        <w:rPr>
          <w:lang w:eastAsia="ar-SA"/>
        </w:rPr>
      </w:pPr>
      <w:r>
        <w:rPr>
          <w:lang w:eastAsia="ar-SA"/>
        </w:rPr>
        <w:t>"</w:t>
      </w:r>
      <w:r w:rsidRPr="00266254">
        <w:rPr>
          <w:lang w:eastAsia="ar-SA"/>
        </w:rPr>
        <w:t>Beat Plastic Pollution</w:t>
      </w:r>
      <w:r>
        <w:rPr>
          <w:lang w:eastAsia="ar-SA"/>
        </w:rPr>
        <w:t>"</w:t>
      </w:r>
      <w:r w:rsidRPr="00266254">
        <w:rPr>
          <w:lang w:eastAsia="ar-SA"/>
        </w:rPr>
        <w:t xml:space="preserve">, the theme for World Environment Day 2018, is a call </w:t>
      </w:r>
      <w:r>
        <w:rPr>
          <w:lang w:eastAsia="ar-SA"/>
        </w:rPr>
        <w:t>for</w:t>
      </w:r>
      <w:r w:rsidRPr="00266254">
        <w:rPr>
          <w:lang w:eastAsia="ar-SA"/>
        </w:rPr>
        <w:t xml:space="preserve"> action </w:t>
      </w:r>
      <w:r>
        <w:rPr>
          <w:lang w:eastAsia="ar-SA"/>
        </w:rPr>
        <w:t>to</w:t>
      </w:r>
      <w:r w:rsidRPr="00266254">
        <w:rPr>
          <w:lang w:eastAsia="ar-SA"/>
        </w:rPr>
        <w:t xml:space="preserve"> all of us to come together </w:t>
      </w:r>
      <w:r>
        <w:rPr>
          <w:lang w:eastAsia="ar-SA"/>
        </w:rPr>
        <w:t>and</w:t>
      </w:r>
      <w:r w:rsidRPr="00266254">
        <w:rPr>
          <w:lang w:eastAsia="ar-SA"/>
        </w:rPr>
        <w:t xml:space="preserve"> combat one of the great</w:t>
      </w:r>
      <w:r>
        <w:rPr>
          <w:lang w:eastAsia="ar-SA"/>
        </w:rPr>
        <w:t>est</w:t>
      </w:r>
      <w:r w:rsidRPr="00266254">
        <w:rPr>
          <w:lang w:eastAsia="ar-SA"/>
        </w:rPr>
        <w:t xml:space="preserve"> environmental challenges of our time. </w:t>
      </w:r>
      <w:r>
        <w:rPr>
          <w:lang w:eastAsia="ar-SA"/>
        </w:rPr>
        <w:t xml:space="preserve"> T</w:t>
      </w:r>
      <w:r w:rsidRPr="00266254">
        <w:rPr>
          <w:lang w:eastAsia="ar-SA"/>
        </w:rPr>
        <w:t>he theme of World Environment Day 2018 invites us all to consider how we can make changes in our everyday lives to reduce the heavy burden of plastic pollution on our natural places, our wildlife and our own health.</w:t>
      </w:r>
    </w:p>
    <w:p w:rsidR="002320C6" w:rsidRPr="008F7696" w:rsidRDefault="002320C6" w:rsidP="002320C6">
      <w:pPr>
        <w:pStyle w:val="NormalWeb"/>
        <w:shd w:val="clear" w:color="auto" w:fill="FFFFFF"/>
        <w:spacing w:before="0" w:beforeAutospacing="0" w:after="0" w:afterAutospacing="0"/>
        <w:jc w:val="both"/>
        <w:rPr>
          <w:sz w:val="16"/>
          <w:szCs w:val="16"/>
          <w:lang w:eastAsia="ar-SA"/>
        </w:rPr>
      </w:pPr>
    </w:p>
    <w:p w:rsidR="002320C6" w:rsidRPr="00543962" w:rsidRDefault="002320C6" w:rsidP="002320C6">
      <w:pPr>
        <w:pStyle w:val="Title"/>
        <w:bidi w:val="0"/>
        <w:jc w:val="lowKashida"/>
        <w:rPr>
          <w:rFonts w:cs="Times New Roman"/>
          <w:b w:val="0"/>
          <w:bCs w:val="0"/>
        </w:rPr>
      </w:pPr>
      <w:r w:rsidRPr="00543962">
        <w:rPr>
          <w:rFonts w:cs="Times New Roman"/>
          <w:b w:val="0"/>
          <w:bCs w:val="0"/>
        </w:rPr>
        <w:t xml:space="preserve">The most prominent environmental features and facts are shown below: </w:t>
      </w:r>
      <w:r w:rsidRPr="00543962">
        <w:rPr>
          <w:rFonts w:cs="Times New Roman" w:hint="cs"/>
          <w:b w:val="0"/>
          <w:bCs w:val="0"/>
          <w:rtl/>
        </w:rPr>
        <w:t xml:space="preserve"> </w:t>
      </w:r>
    </w:p>
    <w:p w:rsidR="002320C6" w:rsidRPr="002320C6" w:rsidRDefault="002320C6" w:rsidP="002320C6">
      <w:pPr>
        <w:pStyle w:val="NormalWeb"/>
        <w:shd w:val="clear" w:color="auto" w:fill="FFFFFF"/>
        <w:spacing w:before="0" w:beforeAutospacing="0" w:after="0" w:afterAutospacing="0"/>
        <w:jc w:val="both"/>
        <w:rPr>
          <w:b/>
          <w:bCs/>
          <w:sz w:val="16"/>
          <w:szCs w:val="16"/>
          <w:lang w:eastAsia="ar-SA"/>
        </w:rPr>
      </w:pPr>
    </w:p>
    <w:p w:rsidR="002320C6" w:rsidRPr="002320C6" w:rsidRDefault="002320C6" w:rsidP="002320C6">
      <w:pPr>
        <w:pStyle w:val="NormalWeb"/>
        <w:shd w:val="clear" w:color="auto" w:fill="FFFFFF"/>
        <w:spacing w:before="0" w:beforeAutospacing="0" w:after="0" w:afterAutospacing="0"/>
        <w:jc w:val="both"/>
        <w:rPr>
          <w:b/>
          <w:bCs/>
          <w:sz w:val="25"/>
          <w:szCs w:val="25"/>
          <w:lang w:eastAsia="ar-SA"/>
        </w:rPr>
      </w:pPr>
      <w:r w:rsidRPr="002320C6">
        <w:rPr>
          <w:b/>
          <w:bCs/>
          <w:sz w:val="25"/>
          <w:szCs w:val="25"/>
          <w:lang w:eastAsia="ar-SA"/>
        </w:rPr>
        <w:t>Quantity of Solid Waste Generated in Palestine</w:t>
      </w:r>
    </w:p>
    <w:p w:rsidR="002320C6" w:rsidRDefault="002320C6" w:rsidP="002320C6">
      <w:pPr>
        <w:pStyle w:val="NormalWeb"/>
        <w:shd w:val="clear" w:color="auto" w:fill="FFFFFF"/>
        <w:spacing w:before="0" w:beforeAutospacing="0" w:after="0" w:afterAutospacing="0"/>
        <w:jc w:val="both"/>
        <w:rPr>
          <w:lang w:eastAsia="ar-SA"/>
        </w:rPr>
      </w:pPr>
      <w:r w:rsidRPr="007705E9">
        <w:rPr>
          <w:lang w:eastAsia="ar-SA"/>
        </w:rPr>
        <w:t xml:space="preserve">The average household </w:t>
      </w:r>
      <w:r>
        <w:rPr>
          <w:lang w:eastAsia="ar-SA"/>
        </w:rPr>
        <w:t xml:space="preserve">daily </w:t>
      </w:r>
      <w:r w:rsidRPr="007705E9">
        <w:rPr>
          <w:lang w:eastAsia="ar-SA"/>
        </w:rPr>
        <w:t>waste</w:t>
      </w:r>
      <w:r>
        <w:rPr>
          <w:lang w:eastAsia="ar-SA"/>
        </w:rPr>
        <w:t xml:space="preserve"> generation</w:t>
      </w:r>
      <w:r w:rsidRPr="007705E9">
        <w:rPr>
          <w:lang w:eastAsia="ar-SA"/>
        </w:rPr>
        <w:t xml:space="preserve"> in Palestine in 2015 was estimated </w:t>
      </w:r>
      <w:r>
        <w:rPr>
          <w:lang w:eastAsia="ar-SA"/>
        </w:rPr>
        <w:t>at</w:t>
      </w:r>
      <w:r w:rsidRPr="007705E9">
        <w:rPr>
          <w:lang w:eastAsia="ar-SA"/>
        </w:rPr>
        <w:t xml:space="preserve"> 2.9 kg </w:t>
      </w:r>
      <w:r>
        <w:rPr>
          <w:lang w:eastAsia="ar-SA"/>
        </w:rPr>
        <w:t>(</w:t>
      </w:r>
      <w:r w:rsidRPr="007705E9">
        <w:rPr>
          <w:lang w:eastAsia="ar-SA"/>
        </w:rPr>
        <w:t>around 3.2 kg in the West Bank and 2.4 kg in Gaza Strip</w:t>
      </w:r>
      <w:r>
        <w:rPr>
          <w:lang w:eastAsia="ar-SA"/>
        </w:rPr>
        <w:t>)</w:t>
      </w:r>
      <w:r w:rsidRPr="007705E9">
        <w:rPr>
          <w:lang w:eastAsia="ar-SA"/>
        </w:rPr>
        <w:t xml:space="preserve">. The </w:t>
      </w:r>
      <w:r>
        <w:rPr>
          <w:lang w:eastAsia="ar-SA"/>
        </w:rPr>
        <w:t xml:space="preserve">overall </w:t>
      </w:r>
      <w:r w:rsidRPr="007705E9">
        <w:rPr>
          <w:lang w:eastAsia="ar-SA"/>
        </w:rPr>
        <w:t xml:space="preserve">quantity of </w:t>
      </w:r>
      <w:r>
        <w:rPr>
          <w:lang w:eastAsia="ar-SA"/>
        </w:rPr>
        <w:t xml:space="preserve">household </w:t>
      </w:r>
      <w:r w:rsidRPr="007705E9">
        <w:rPr>
          <w:lang w:eastAsia="ar-SA"/>
        </w:rPr>
        <w:t xml:space="preserve">solid waste </w:t>
      </w:r>
      <w:r>
        <w:rPr>
          <w:lang w:eastAsia="ar-SA"/>
        </w:rPr>
        <w:t>generation on a daily basis</w:t>
      </w:r>
      <w:r w:rsidRPr="007705E9">
        <w:rPr>
          <w:lang w:eastAsia="ar-SA"/>
        </w:rPr>
        <w:t xml:space="preserve"> was about </w:t>
      </w:r>
      <w:r w:rsidRPr="00DE2EAC">
        <w:rPr>
          <w:lang w:eastAsia="ar-SA"/>
        </w:rPr>
        <w:t>2,551.0</w:t>
      </w:r>
      <w:r w:rsidRPr="007705E9">
        <w:rPr>
          <w:lang w:eastAsia="ar-SA"/>
        </w:rPr>
        <w:t xml:space="preserve"> tons</w:t>
      </w:r>
      <w:r w:rsidRPr="007705E9" w:rsidDel="001D5C68">
        <w:rPr>
          <w:lang w:eastAsia="ar-SA"/>
        </w:rPr>
        <w:t xml:space="preserve"> </w:t>
      </w:r>
      <w:r w:rsidRPr="007705E9">
        <w:rPr>
          <w:lang w:eastAsia="ar-SA"/>
        </w:rPr>
        <w:t>in 2015</w:t>
      </w:r>
      <w:r>
        <w:rPr>
          <w:lang w:eastAsia="ar-SA"/>
        </w:rPr>
        <w:t xml:space="preserve"> (1,835.0 tons in the West Bank and 716.0 tons in Gaza Strip)</w:t>
      </w:r>
      <w:r w:rsidRPr="007705E9">
        <w:rPr>
          <w:lang w:eastAsia="ar-SA"/>
        </w:rPr>
        <w:t>.</w:t>
      </w:r>
    </w:p>
    <w:p w:rsidR="002320C6" w:rsidRPr="008F7696" w:rsidRDefault="002320C6" w:rsidP="002320C6">
      <w:pPr>
        <w:pStyle w:val="Title"/>
        <w:bidi w:val="0"/>
        <w:jc w:val="lowKashida"/>
        <w:rPr>
          <w:sz w:val="16"/>
          <w:szCs w:val="16"/>
        </w:rPr>
      </w:pPr>
    </w:p>
    <w:p w:rsidR="002320C6" w:rsidRPr="002320C6" w:rsidRDefault="002320C6" w:rsidP="002320C6">
      <w:pPr>
        <w:pStyle w:val="Title"/>
        <w:bidi w:val="0"/>
        <w:jc w:val="lowKashida"/>
        <w:rPr>
          <w:sz w:val="25"/>
          <w:szCs w:val="25"/>
        </w:rPr>
      </w:pPr>
      <w:r w:rsidRPr="002320C6">
        <w:rPr>
          <w:sz w:val="25"/>
          <w:szCs w:val="25"/>
        </w:rPr>
        <w:t>More than 96% of housing units in Palestine dispose household waste by throwing it in the Nearest Container</w:t>
      </w:r>
    </w:p>
    <w:p w:rsidR="002320C6" w:rsidRPr="002F305A" w:rsidRDefault="002320C6" w:rsidP="002320C6">
      <w:pPr>
        <w:pStyle w:val="Title"/>
        <w:bidi w:val="0"/>
        <w:jc w:val="lowKashida"/>
        <w:rPr>
          <w:b w:val="0"/>
          <w:bCs w:val="0"/>
        </w:rPr>
      </w:pPr>
      <w:r w:rsidRPr="002F305A">
        <w:rPr>
          <w:b w:val="0"/>
          <w:bCs w:val="0"/>
        </w:rPr>
        <w:t>Data of Census 2017 showed that 96.2% of occupied housing</w:t>
      </w:r>
      <w:r>
        <w:rPr>
          <w:b w:val="0"/>
          <w:bCs w:val="0"/>
        </w:rPr>
        <w:t xml:space="preserve"> units</w:t>
      </w:r>
      <w:r w:rsidRPr="002F305A">
        <w:rPr>
          <w:b w:val="0"/>
          <w:bCs w:val="0"/>
        </w:rPr>
        <w:t xml:space="preserve"> in Palestine dispose household waste by throwing it in the </w:t>
      </w:r>
      <w:r>
        <w:rPr>
          <w:b w:val="0"/>
          <w:bCs w:val="0"/>
        </w:rPr>
        <w:t>n</w:t>
      </w:r>
      <w:r w:rsidRPr="002F305A">
        <w:rPr>
          <w:b w:val="0"/>
          <w:bCs w:val="0"/>
        </w:rPr>
        <w:t xml:space="preserve">earest </w:t>
      </w:r>
      <w:r>
        <w:rPr>
          <w:b w:val="0"/>
          <w:bCs w:val="0"/>
        </w:rPr>
        <w:t>c</w:t>
      </w:r>
      <w:r w:rsidRPr="002F305A">
        <w:rPr>
          <w:b w:val="0"/>
          <w:bCs w:val="0"/>
        </w:rPr>
        <w:t xml:space="preserve">ontainer (94.7% in </w:t>
      </w:r>
      <w:r>
        <w:rPr>
          <w:b w:val="0"/>
          <w:bCs w:val="0"/>
        </w:rPr>
        <w:t xml:space="preserve">the </w:t>
      </w:r>
      <w:r w:rsidRPr="002F305A">
        <w:rPr>
          <w:b w:val="0"/>
          <w:bCs w:val="0"/>
        </w:rPr>
        <w:t xml:space="preserve">West </w:t>
      </w:r>
      <w:r>
        <w:rPr>
          <w:b w:val="0"/>
          <w:bCs w:val="0"/>
        </w:rPr>
        <w:t>B</w:t>
      </w:r>
      <w:r w:rsidRPr="002F305A">
        <w:rPr>
          <w:b w:val="0"/>
          <w:bCs w:val="0"/>
        </w:rPr>
        <w:t>ank and 98.7% in Gaza Strip).</w:t>
      </w:r>
    </w:p>
    <w:p w:rsidR="002320C6" w:rsidRPr="002320C6" w:rsidRDefault="002320C6" w:rsidP="002320C6">
      <w:pPr>
        <w:pStyle w:val="Title"/>
        <w:tabs>
          <w:tab w:val="center" w:pos="4536"/>
        </w:tabs>
        <w:bidi w:val="0"/>
        <w:rPr>
          <w:b w:val="0"/>
          <w:bCs w:val="0"/>
          <w:sz w:val="16"/>
          <w:szCs w:val="16"/>
        </w:rPr>
      </w:pPr>
    </w:p>
    <w:p w:rsidR="002320C6" w:rsidRPr="002320C6" w:rsidRDefault="002320C6" w:rsidP="002320C6">
      <w:pPr>
        <w:pStyle w:val="Title"/>
        <w:tabs>
          <w:tab w:val="center" w:pos="4536"/>
        </w:tabs>
        <w:bidi w:val="0"/>
        <w:rPr>
          <w:rFonts w:asciiTheme="majorBidi" w:hAnsiTheme="majorBidi" w:cstheme="majorBidi"/>
          <w:sz w:val="25"/>
          <w:szCs w:val="25"/>
        </w:rPr>
      </w:pPr>
      <w:r w:rsidRPr="002320C6">
        <w:rPr>
          <w:rFonts w:asciiTheme="majorBidi" w:hAnsiTheme="majorBidi" w:cstheme="majorBidi"/>
          <w:sz w:val="25"/>
          <w:szCs w:val="25"/>
        </w:rPr>
        <w:t xml:space="preserve">Occupied Housing Units in Palestine* that </w:t>
      </w:r>
    </w:p>
    <w:p w:rsidR="002320C6" w:rsidRPr="002320C6" w:rsidRDefault="002320C6" w:rsidP="002320C6">
      <w:pPr>
        <w:pStyle w:val="Title"/>
        <w:tabs>
          <w:tab w:val="center" w:pos="4536"/>
        </w:tabs>
        <w:bidi w:val="0"/>
        <w:rPr>
          <w:rFonts w:asciiTheme="majorBidi" w:hAnsiTheme="majorBidi" w:cstheme="majorBidi"/>
          <w:sz w:val="25"/>
          <w:szCs w:val="25"/>
        </w:rPr>
      </w:pPr>
      <w:r w:rsidRPr="002320C6">
        <w:rPr>
          <w:rFonts w:asciiTheme="majorBidi" w:hAnsiTheme="majorBidi" w:cstheme="majorBidi"/>
          <w:sz w:val="25"/>
          <w:szCs w:val="25"/>
        </w:rPr>
        <w:t>Dispose Household Waste in the Nearest Container by Region, 2017</w:t>
      </w:r>
    </w:p>
    <w:p w:rsidR="002320C6" w:rsidRPr="008F7696" w:rsidRDefault="002320C6" w:rsidP="002320C6">
      <w:pPr>
        <w:pStyle w:val="Title"/>
        <w:tabs>
          <w:tab w:val="center" w:pos="4536"/>
        </w:tabs>
        <w:bidi w:val="0"/>
        <w:rPr>
          <w:rFonts w:asciiTheme="majorBidi" w:hAnsiTheme="majorBidi" w:cstheme="majorBidi"/>
        </w:rPr>
      </w:pPr>
    </w:p>
    <w:p w:rsidR="002320C6" w:rsidRDefault="002320C6" w:rsidP="002320C6">
      <w:pPr>
        <w:pBdr>
          <w:top w:val="single" w:sz="4" w:space="1" w:color="auto"/>
          <w:left w:val="single" w:sz="4" w:space="0" w:color="auto"/>
          <w:bottom w:val="single" w:sz="4" w:space="1" w:color="auto"/>
          <w:right w:val="single" w:sz="4" w:space="4" w:color="auto"/>
        </w:pBdr>
        <w:ind w:left="-1" w:right="57" w:firstLine="1"/>
        <w:jc w:val="center"/>
        <w:rPr>
          <w:rFonts w:cs="Simplified Arabic"/>
          <w:b/>
          <w:bCs/>
          <w:rtl/>
        </w:rPr>
      </w:pPr>
      <w:r w:rsidRPr="002B7398">
        <w:rPr>
          <w:rFonts w:cs="Simplified Arabic"/>
          <w:b/>
          <w:bCs/>
          <w:noProof/>
          <w:rtl/>
          <w:lang w:eastAsia="en-US"/>
        </w:rPr>
        <w:drawing>
          <wp:inline distT="0" distB="0" distL="0" distR="0">
            <wp:extent cx="3076575" cy="1876425"/>
            <wp:effectExtent l="0" t="0" r="0" b="0"/>
            <wp:docPr id="6"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320C6" w:rsidRPr="008F7696" w:rsidRDefault="002320C6" w:rsidP="002320C6">
      <w:pPr>
        <w:bidi w:val="0"/>
        <w:ind w:left="-1" w:right="57" w:firstLine="1"/>
        <w:jc w:val="both"/>
        <w:rPr>
          <w:rFonts w:asciiTheme="majorBidi" w:hAnsiTheme="majorBidi" w:cstheme="majorBidi"/>
          <w:sz w:val="16"/>
          <w:szCs w:val="16"/>
          <w:lang w:eastAsia="en-US"/>
        </w:rPr>
      </w:pPr>
    </w:p>
    <w:p w:rsidR="002320C6" w:rsidRPr="00D20DE0" w:rsidRDefault="002320C6" w:rsidP="002320C6">
      <w:pPr>
        <w:bidi w:val="0"/>
        <w:ind w:left="-1" w:right="57" w:firstLine="1"/>
        <w:jc w:val="both"/>
        <w:rPr>
          <w:rFonts w:asciiTheme="majorBidi" w:hAnsiTheme="majorBidi" w:cstheme="majorBidi"/>
          <w:b/>
          <w:bCs/>
          <w:sz w:val="20"/>
          <w:szCs w:val="20"/>
        </w:rPr>
      </w:pPr>
      <w:r w:rsidRPr="00D20DE0">
        <w:rPr>
          <w:rFonts w:asciiTheme="majorBidi" w:hAnsiTheme="majorBidi" w:cstheme="majorBidi"/>
          <w:sz w:val="20"/>
          <w:szCs w:val="20"/>
          <w:lang w:eastAsia="en-US"/>
        </w:rPr>
        <w:t>* Data excluded those parts of Jerusalem which were annexed by Israeli Occupation in 196</w:t>
      </w:r>
      <w:r w:rsidRPr="00D20DE0">
        <w:rPr>
          <w:rFonts w:asciiTheme="majorBidi" w:hAnsiTheme="majorBidi" w:cstheme="majorBidi"/>
          <w:sz w:val="20"/>
          <w:szCs w:val="20"/>
          <w:rtl/>
          <w:lang w:eastAsia="en-US"/>
        </w:rPr>
        <w:t>7</w:t>
      </w:r>
    </w:p>
    <w:p w:rsidR="002320C6" w:rsidRPr="002320C6" w:rsidRDefault="002320C6" w:rsidP="002320C6">
      <w:pPr>
        <w:pStyle w:val="NormalWeb"/>
        <w:shd w:val="clear" w:color="auto" w:fill="FFFFFF"/>
        <w:spacing w:before="0" w:beforeAutospacing="0" w:after="0" w:afterAutospacing="0"/>
        <w:jc w:val="both"/>
        <w:rPr>
          <w:sz w:val="16"/>
          <w:szCs w:val="16"/>
          <w:lang w:eastAsia="ar-SA"/>
        </w:rPr>
      </w:pPr>
    </w:p>
    <w:p w:rsidR="002320C6" w:rsidRPr="002320C6" w:rsidRDefault="002320C6" w:rsidP="002320C6">
      <w:pPr>
        <w:pStyle w:val="NormalWeb"/>
        <w:shd w:val="clear" w:color="auto" w:fill="FFFFFF"/>
        <w:spacing w:before="0" w:beforeAutospacing="0" w:after="0" w:afterAutospacing="0"/>
        <w:jc w:val="both"/>
        <w:rPr>
          <w:b/>
          <w:bCs/>
          <w:sz w:val="25"/>
          <w:szCs w:val="25"/>
          <w:lang w:eastAsia="ar-SA"/>
        </w:rPr>
      </w:pPr>
      <w:r w:rsidRPr="002320C6">
        <w:rPr>
          <w:b/>
          <w:bCs/>
          <w:sz w:val="25"/>
          <w:szCs w:val="25"/>
          <w:lang w:eastAsia="ar-SA"/>
        </w:rPr>
        <w:t>More than 50% of solid waste components are organic materials</w:t>
      </w:r>
    </w:p>
    <w:p w:rsidR="002320C6" w:rsidRDefault="002320C6" w:rsidP="002320C6">
      <w:pPr>
        <w:pStyle w:val="NormalWeb"/>
        <w:shd w:val="clear" w:color="auto" w:fill="FFFFFF"/>
        <w:spacing w:before="0" w:beforeAutospacing="0" w:after="0" w:afterAutospacing="0"/>
        <w:jc w:val="both"/>
        <w:rPr>
          <w:lang w:eastAsia="ar-SA"/>
        </w:rPr>
      </w:pPr>
      <w:r>
        <w:rPr>
          <w:lang w:eastAsia="ar-SA"/>
        </w:rPr>
        <w:t>Data of Ministry of Local Government report, issued in August 2017 about the assessment of solid waste management in Palestine showed that the common components of solid waste in Palestine (the figure below).</w:t>
      </w:r>
    </w:p>
    <w:p w:rsidR="002320C6" w:rsidRDefault="002320C6" w:rsidP="002320C6">
      <w:pPr>
        <w:pStyle w:val="NormalWeb"/>
        <w:shd w:val="clear" w:color="auto" w:fill="FFFFFF"/>
        <w:spacing w:before="0" w:beforeAutospacing="0" w:after="0" w:afterAutospacing="0"/>
        <w:jc w:val="center"/>
        <w:rPr>
          <w:lang w:eastAsia="ar-SA"/>
        </w:rPr>
      </w:pPr>
    </w:p>
    <w:p w:rsidR="002320C6" w:rsidRDefault="002320C6" w:rsidP="002320C6">
      <w:pPr>
        <w:pStyle w:val="NormalWeb"/>
        <w:shd w:val="clear" w:color="auto" w:fill="FFFFFF"/>
        <w:spacing w:before="0" w:beforeAutospacing="0" w:after="0" w:afterAutospacing="0"/>
        <w:jc w:val="center"/>
        <w:rPr>
          <w:lang w:eastAsia="ar-SA"/>
        </w:rPr>
      </w:pPr>
    </w:p>
    <w:p w:rsidR="002320C6" w:rsidRDefault="002320C6" w:rsidP="002320C6">
      <w:pPr>
        <w:pStyle w:val="NormalWeb"/>
        <w:shd w:val="clear" w:color="auto" w:fill="FFFFFF"/>
        <w:spacing w:before="0" w:beforeAutospacing="0" w:after="0" w:afterAutospacing="0"/>
        <w:jc w:val="center"/>
        <w:rPr>
          <w:lang w:eastAsia="ar-SA"/>
        </w:rPr>
      </w:pPr>
    </w:p>
    <w:p w:rsidR="002320C6" w:rsidRDefault="002320C6" w:rsidP="002320C6">
      <w:pPr>
        <w:pStyle w:val="NormalWeb"/>
        <w:shd w:val="clear" w:color="auto" w:fill="FFFFFF"/>
        <w:spacing w:before="0" w:beforeAutospacing="0" w:after="0" w:afterAutospacing="0"/>
        <w:jc w:val="center"/>
        <w:rPr>
          <w:lang w:eastAsia="ar-SA"/>
        </w:rPr>
      </w:pPr>
    </w:p>
    <w:p w:rsidR="002320C6" w:rsidRDefault="002320C6" w:rsidP="002320C6">
      <w:pPr>
        <w:pStyle w:val="NormalWeb"/>
        <w:shd w:val="clear" w:color="auto" w:fill="FFFFFF"/>
        <w:spacing w:before="0" w:beforeAutospacing="0" w:after="0" w:afterAutospacing="0"/>
        <w:rPr>
          <w:lang w:eastAsia="ar-SA"/>
        </w:rPr>
      </w:pPr>
    </w:p>
    <w:p w:rsidR="002320C6" w:rsidRPr="002320C6" w:rsidRDefault="002320C6" w:rsidP="002320C6">
      <w:pPr>
        <w:pStyle w:val="NormalWeb"/>
        <w:shd w:val="clear" w:color="auto" w:fill="FFFFFF"/>
        <w:spacing w:before="0" w:beforeAutospacing="0" w:after="0" w:afterAutospacing="0"/>
        <w:jc w:val="center"/>
        <w:rPr>
          <w:sz w:val="16"/>
          <w:szCs w:val="16"/>
          <w:lang w:eastAsia="ar-SA"/>
        </w:rPr>
      </w:pPr>
    </w:p>
    <w:p w:rsidR="002320C6" w:rsidRDefault="002320C6" w:rsidP="002320C6">
      <w:pPr>
        <w:pStyle w:val="NormalWeb"/>
        <w:shd w:val="clear" w:color="auto" w:fill="FFFFFF"/>
        <w:spacing w:before="0" w:beforeAutospacing="0" w:after="0" w:afterAutospacing="0"/>
        <w:jc w:val="center"/>
        <w:rPr>
          <w:b/>
          <w:bCs/>
          <w:sz w:val="25"/>
          <w:szCs w:val="25"/>
          <w:lang w:eastAsia="ar-SA"/>
        </w:rPr>
      </w:pPr>
      <w:r w:rsidRPr="002320C6">
        <w:rPr>
          <w:b/>
          <w:bCs/>
          <w:sz w:val="25"/>
          <w:szCs w:val="25"/>
          <w:lang w:eastAsia="ar-SA"/>
        </w:rPr>
        <w:t>Solid Waste Components in the West Bank and Gaza Strip</w:t>
      </w:r>
    </w:p>
    <w:p w:rsidR="00C26DCF" w:rsidRPr="00C26DCF" w:rsidRDefault="00C26DCF" w:rsidP="002320C6">
      <w:pPr>
        <w:pStyle w:val="NormalWeb"/>
        <w:shd w:val="clear" w:color="auto" w:fill="FFFFFF"/>
        <w:spacing w:before="0" w:beforeAutospacing="0" w:after="0" w:afterAutospacing="0"/>
        <w:jc w:val="center"/>
        <w:rPr>
          <w:b/>
          <w:bCs/>
          <w:sz w:val="8"/>
          <w:szCs w:val="8"/>
          <w:lang w:eastAsia="ar-SA"/>
        </w:rPr>
      </w:pPr>
    </w:p>
    <w:p w:rsidR="002320C6" w:rsidRDefault="002320C6" w:rsidP="002320C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bCs/>
          <w:lang w:eastAsia="ar-SA"/>
        </w:rPr>
      </w:pPr>
      <w:r w:rsidRPr="000E457B">
        <w:rPr>
          <w:rFonts w:hint="cs"/>
          <w:b/>
          <w:bCs/>
          <w:noProof/>
        </w:rPr>
        <w:drawing>
          <wp:inline distT="0" distB="0" distL="0" distR="0">
            <wp:extent cx="3286125" cy="1724025"/>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320C6" w:rsidRPr="008F7696" w:rsidRDefault="002320C6" w:rsidP="002320C6">
      <w:pPr>
        <w:bidi w:val="0"/>
        <w:jc w:val="both"/>
        <w:rPr>
          <w:rFonts w:asciiTheme="majorBidi" w:hAnsiTheme="majorBidi" w:cstheme="majorBidi"/>
          <w:b/>
          <w:bCs/>
          <w:color w:val="FF0000"/>
          <w:sz w:val="16"/>
          <w:szCs w:val="16"/>
        </w:rPr>
      </w:pPr>
    </w:p>
    <w:p w:rsidR="002320C6" w:rsidRPr="002320C6" w:rsidRDefault="002320C6" w:rsidP="002320C6">
      <w:pPr>
        <w:pStyle w:val="NormalWeb"/>
        <w:shd w:val="clear" w:color="auto" w:fill="FFFFFF"/>
        <w:spacing w:before="0" w:beforeAutospacing="0" w:after="0" w:afterAutospacing="0"/>
        <w:jc w:val="both"/>
        <w:rPr>
          <w:b/>
          <w:bCs/>
          <w:sz w:val="16"/>
          <w:szCs w:val="16"/>
        </w:rPr>
      </w:pPr>
    </w:p>
    <w:p w:rsidR="002320C6" w:rsidRDefault="002320C6" w:rsidP="002320C6">
      <w:pPr>
        <w:pStyle w:val="NormalWeb"/>
        <w:shd w:val="clear" w:color="auto" w:fill="FFFFFF"/>
        <w:spacing w:before="0" w:beforeAutospacing="0" w:after="0" w:afterAutospacing="0"/>
        <w:jc w:val="both"/>
        <w:rPr>
          <w:b/>
          <w:bCs/>
        </w:rPr>
      </w:pPr>
      <w:r w:rsidRPr="00C169A1">
        <w:rPr>
          <w:b/>
          <w:bCs/>
        </w:rPr>
        <w:t>Palestine’s</w:t>
      </w:r>
      <w:r w:rsidRPr="00716A57">
        <w:rPr>
          <w:b/>
          <w:bCs/>
        </w:rPr>
        <w:t xml:space="preserve"> emissions per capita during 2016 are significantly lower than </w:t>
      </w:r>
      <w:r>
        <w:rPr>
          <w:b/>
          <w:bCs/>
        </w:rPr>
        <w:t xml:space="preserve">those of </w:t>
      </w:r>
      <w:r w:rsidRPr="00716A57">
        <w:rPr>
          <w:b/>
          <w:bCs/>
        </w:rPr>
        <w:t>its neighboring countries</w:t>
      </w:r>
    </w:p>
    <w:p w:rsidR="002320C6" w:rsidRDefault="002320C6" w:rsidP="002320C6">
      <w:pPr>
        <w:pStyle w:val="NormalWeb"/>
        <w:shd w:val="clear" w:color="auto" w:fill="FFFFFF"/>
        <w:spacing w:before="0" w:beforeAutospacing="0" w:after="0" w:afterAutospacing="0"/>
        <w:jc w:val="both"/>
      </w:pPr>
      <w:r w:rsidRPr="00C169A1">
        <w:t xml:space="preserve">In </w:t>
      </w:r>
      <w:r>
        <w:t>2016</w:t>
      </w:r>
      <w:r w:rsidRPr="00C169A1">
        <w:t xml:space="preserve">, Palestine emitted </w:t>
      </w:r>
      <w:r>
        <w:t xml:space="preserve">4,645.5 thousands </w:t>
      </w:r>
      <w:r w:rsidRPr="00C169A1">
        <w:t>metric tons CO</w:t>
      </w:r>
      <w:r w:rsidRPr="00DB7D0A">
        <w:rPr>
          <w:vertAlign w:val="subscript"/>
        </w:rPr>
        <w:t>2</w:t>
      </w:r>
      <w:r w:rsidRPr="00C169A1">
        <w:t xml:space="preserve"> eq.</w:t>
      </w:r>
      <w:r>
        <w:t xml:space="preserve">, </w:t>
      </w:r>
      <w:r w:rsidRPr="000550A0">
        <w:t>from energy, agriculture and solid waste sectors</w:t>
      </w:r>
      <w:r>
        <w:t xml:space="preserve">.   Energy sector share was 72.8% of these emissions, whereas solid waste sector share was 19.2%, and the rest came from agriculture sector (8.0%). </w:t>
      </w:r>
    </w:p>
    <w:p w:rsidR="002320C6" w:rsidRDefault="002320C6" w:rsidP="002320C6">
      <w:pPr>
        <w:pStyle w:val="NormalWeb"/>
        <w:shd w:val="clear" w:color="auto" w:fill="FFFFFF"/>
        <w:spacing w:before="0" w:beforeAutospacing="0" w:after="0" w:afterAutospacing="0"/>
        <w:jc w:val="both"/>
      </w:pPr>
    </w:p>
    <w:p w:rsidR="002320C6" w:rsidRDefault="002320C6" w:rsidP="002320C6">
      <w:pPr>
        <w:pStyle w:val="Title"/>
        <w:bidi w:val="0"/>
        <w:jc w:val="both"/>
        <w:rPr>
          <w:b w:val="0"/>
          <w:bCs w:val="0"/>
        </w:rPr>
      </w:pPr>
      <w:r>
        <w:rPr>
          <w:b w:val="0"/>
          <w:bCs w:val="0"/>
        </w:rPr>
        <w:t xml:space="preserve">During 2016, </w:t>
      </w:r>
      <w:r w:rsidRPr="00C169A1">
        <w:rPr>
          <w:b w:val="0"/>
          <w:bCs w:val="0"/>
        </w:rPr>
        <w:t xml:space="preserve">Palestine’s emissions per capita </w:t>
      </w:r>
      <w:r>
        <w:rPr>
          <w:b w:val="0"/>
          <w:bCs w:val="0"/>
        </w:rPr>
        <w:t>was estimated about 0.964</w:t>
      </w:r>
      <w:r w:rsidRPr="00C169A1">
        <w:rPr>
          <w:b w:val="0"/>
          <w:bCs w:val="0"/>
        </w:rPr>
        <w:t xml:space="preserve"> tons CO</w:t>
      </w:r>
      <w:r w:rsidRPr="00DB7D0A">
        <w:rPr>
          <w:b w:val="0"/>
          <w:bCs w:val="0"/>
          <w:vertAlign w:val="subscript"/>
        </w:rPr>
        <w:t>2</w:t>
      </w:r>
      <w:r w:rsidRPr="00C169A1">
        <w:rPr>
          <w:b w:val="0"/>
          <w:bCs w:val="0"/>
        </w:rPr>
        <w:t xml:space="preserve"> eq.</w:t>
      </w:r>
      <w:r>
        <w:rPr>
          <w:b w:val="0"/>
          <w:bCs w:val="0"/>
        </w:rPr>
        <w:t xml:space="preserve">,.  </w:t>
      </w:r>
      <w:r w:rsidRPr="00C169A1">
        <w:rPr>
          <w:b w:val="0"/>
          <w:bCs w:val="0"/>
        </w:rPr>
        <w:t xml:space="preserve">Palestine’s emissions per capita are significantly lower than </w:t>
      </w:r>
      <w:r>
        <w:rPr>
          <w:b w:val="0"/>
          <w:bCs w:val="0"/>
        </w:rPr>
        <w:t xml:space="preserve">those of </w:t>
      </w:r>
      <w:r w:rsidRPr="00C169A1">
        <w:rPr>
          <w:b w:val="0"/>
          <w:bCs w:val="0"/>
        </w:rPr>
        <w:t xml:space="preserve">its neighboring countries. </w:t>
      </w:r>
    </w:p>
    <w:p w:rsidR="002320C6" w:rsidRPr="008F7696" w:rsidRDefault="002320C6" w:rsidP="002320C6">
      <w:pPr>
        <w:pStyle w:val="Title"/>
        <w:bidi w:val="0"/>
        <w:jc w:val="both"/>
        <w:rPr>
          <w:b w:val="0"/>
          <w:bCs w:val="0"/>
          <w:sz w:val="16"/>
          <w:szCs w:val="16"/>
        </w:rPr>
      </w:pPr>
    </w:p>
    <w:p w:rsidR="002320C6" w:rsidRPr="00C26DCF" w:rsidRDefault="002320C6" w:rsidP="002320C6">
      <w:pPr>
        <w:bidi w:val="0"/>
        <w:jc w:val="center"/>
        <w:rPr>
          <w:rFonts w:asciiTheme="majorBidi" w:hAnsiTheme="majorBidi" w:cstheme="majorBidi"/>
          <w:b/>
          <w:bCs/>
          <w:sz w:val="25"/>
          <w:szCs w:val="25"/>
        </w:rPr>
      </w:pPr>
      <w:r w:rsidRPr="00C26DCF">
        <w:rPr>
          <w:rFonts w:asciiTheme="majorBidi" w:hAnsiTheme="majorBidi" w:cstheme="majorBidi"/>
          <w:b/>
          <w:bCs/>
          <w:sz w:val="25"/>
          <w:szCs w:val="25"/>
        </w:rPr>
        <w:t xml:space="preserve">Emissions of Greenhouse Gas Inventory by Sector and Type of </w:t>
      </w:r>
      <w:proofErr w:type="spellStart"/>
      <w:r w:rsidRPr="00C26DCF">
        <w:rPr>
          <w:rFonts w:asciiTheme="majorBidi" w:hAnsiTheme="majorBidi" w:cstheme="majorBidi"/>
          <w:b/>
          <w:bCs/>
          <w:sz w:val="25"/>
          <w:szCs w:val="25"/>
        </w:rPr>
        <w:t>Emittant</w:t>
      </w:r>
      <w:proofErr w:type="spellEnd"/>
      <w:r w:rsidRPr="00C26DCF">
        <w:rPr>
          <w:rFonts w:asciiTheme="majorBidi" w:hAnsiTheme="majorBidi" w:cstheme="majorBidi"/>
          <w:b/>
          <w:bCs/>
          <w:sz w:val="25"/>
          <w:szCs w:val="25"/>
        </w:rPr>
        <w:t xml:space="preserve"> </w:t>
      </w:r>
    </w:p>
    <w:p w:rsidR="002320C6" w:rsidRPr="00C26DCF" w:rsidRDefault="002320C6" w:rsidP="002320C6">
      <w:pPr>
        <w:bidi w:val="0"/>
        <w:jc w:val="center"/>
        <w:rPr>
          <w:rFonts w:asciiTheme="majorBidi" w:hAnsiTheme="majorBidi" w:cstheme="majorBidi"/>
          <w:b/>
          <w:bCs/>
          <w:sz w:val="25"/>
          <w:szCs w:val="25"/>
        </w:rPr>
      </w:pPr>
      <w:r w:rsidRPr="00C26DCF">
        <w:rPr>
          <w:rFonts w:asciiTheme="majorBidi" w:hAnsiTheme="majorBidi" w:cstheme="majorBidi"/>
          <w:b/>
          <w:bCs/>
          <w:sz w:val="25"/>
          <w:szCs w:val="25"/>
        </w:rPr>
        <w:t>(Thousand ton of CO</w:t>
      </w:r>
      <w:r w:rsidRPr="00C26DCF">
        <w:rPr>
          <w:rFonts w:asciiTheme="majorBidi" w:hAnsiTheme="majorBidi" w:cstheme="majorBidi"/>
          <w:b/>
          <w:bCs/>
          <w:sz w:val="25"/>
          <w:szCs w:val="25"/>
          <w:vertAlign w:val="subscript"/>
        </w:rPr>
        <w:t>2</w:t>
      </w:r>
      <w:r w:rsidRPr="00C26DCF">
        <w:rPr>
          <w:rFonts w:asciiTheme="majorBidi" w:hAnsiTheme="majorBidi" w:cstheme="majorBidi"/>
          <w:b/>
          <w:bCs/>
          <w:sz w:val="25"/>
          <w:szCs w:val="25"/>
        </w:rPr>
        <w:t xml:space="preserve"> eq.), 2016</w:t>
      </w:r>
    </w:p>
    <w:tbl>
      <w:tblPr>
        <w:tblStyle w:val="TableGrid"/>
        <w:tblW w:w="5594" w:type="dxa"/>
        <w:jc w:val="center"/>
        <w:tblInd w:w="-503" w:type="dxa"/>
        <w:tblLook w:val="04A0"/>
      </w:tblPr>
      <w:tblGrid>
        <w:gridCol w:w="1817"/>
        <w:gridCol w:w="1984"/>
        <w:gridCol w:w="1793"/>
      </w:tblGrid>
      <w:tr w:rsidR="002320C6" w:rsidRPr="008F7696" w:rsidTr="00C26DCF">
        <w:trPr>
          <w:jc w:val="center"/>
        </w:trPr>
        <w:tc>
          <w:tcPr>
            <w:tcW w:w="1817" w:type="dxa"/>
          </w:tcPr>
          <w:p w:rsidR="002320C6" w:rsidRPr="008F7696" w:rsidRDefault="002320C6" w:rsidP="007D7EBA">
            <w:pPr>
              <w:bidi w:val="0"/>
              <w:jc w:val="center"/>
              <w:rPr>
                <w:rFonts w:asciiTheme="majorBidi" w:hAnsiTheme="majorBidi" w:cstheme="majorBidi"/>
                <w:b/>
                <w:bCs/>
                <w:sz w:val="22"/>
                <w:szCs w:val="22"/>
                <w:rtl/>
              </w:rPr>
            </w:pPr>
            <w:r w:rsidRPr="008F7696">
              <w:rPr>
                <w:rFonts w:asciiTheme="majorBidi" w:hAnsiTheme="majorBidi" w:cstheme="majorBidi"/>
                <w:b/>
                <w:bCs/>
                <w:sz w:val="22"/>
                <w:szCs w:val="22"/>
              </w:rPr>
              <w:t>Sector/</w:t>
            </w:r>
            <w:proofErr w:type="spellStart"/>
            <w:r w:rsidRPr="008F7696">
              <w:rPr>
                <w:rFonts w:asciiTheme="majorBidi" w:hAnsiTheme="majorBidi" w:cstheme="majorBidi"/>
                <w:b/>
                <w:bCs/>
                <w:sz w:val="22"/>
                <w:szCs w:val="22"/>
              </w:rPr>
              <w:t>Emittant</w:t>
            </w:r>
            <w:proofErr w:type="spellEnd"/>
          </w:p>
        </w:tc>
        <w:tc>
          <w:tcPr>
            <w:tcW w:w="1984" w:type="dxa"/>
          </w:tcPr>
          <w:p w:rsidR="002320C6" w:rsidRPr="008F7696" w:rsidRDefault="002320C6" w:rsidP="007D7EBA">
            <w:pPr>
              <w:bidi w:val="0"/>
              <w:jc w:val="center"/>
              <w:rPr>
                <w:rFonts w:asciiTheme="majorBidi" w:hAnsiTheme="majorBidi" w:cstheme="majorBidi"/>
                <w:b/>
                <w:bCs/>
                <w:sz w:val="22"/>
                <w:szCs w:val="22"/>
              </w:rPr>
            </w:pPr>
            <w:r w:rsidRPr="008F7696">
              <w:rPr>
                <w:rFonts w:asciiTheme="majorBidi" w:hAnsiTheme="majorBidi" w:cstheme="majorBidi"/>
                <w:b/>
                <w:bCs/>
                <w:sz w:val="22"/>
                <w:szCs w:val="22"/>
              </w:rPr>
              <w:t xml:space="preserve">GHG inventory </w:t>
            </w:r>
          </w:p>
          <w:p w:rsidR="002320C6" w:rsidRPr="008F7696" w:rsidRDefault="002320C6" w:rsidP="007D7EBA">
            <w:pPr>
              <w:bidi w:val="0"/>
              <w:jc w:val="center"/>
              <w:rPr>
                <w:rFonts w:asciiTheme="majorBidi" w:hAnsiTheme="majorBidi" w:cstheme="majorBidi"/>
                <w:b/>
                <w:bCs/>
                <w:sz w:val="22"/>
                <w:szCs w:val="22"/>
              </w:rPr>
            </w:pPr>
            <w:r w:rsidRPr="008F7696">
              <w:rPr>
                <w:rFonts w:asciiTheme="majorBidi" w:hAnsiTheme="majorBidi" w:cstheme="majorBidi"/>
                <w:b/>
                <w:bCs/>
                <w:sz w:val="22"/>
                <w:szCs w:val="22"/>
              </w:rPr>
              <w:t>Thousand ton of CO</w:t>
            </w:r>
            <w:r w:rsidRPr="008F7696">
              <w:rPr>
                <w:rFonts w:asciiTheme="majorBidi" w:hAnsiTheme="majorBidi" w:cstheme="majorBidi"/>
                <w:b/>
                <w:bCs/>
                <w:sz w:val="22"/>
                <w:szCs w:val="22"/>
                <w:vertAlign w:val="subscript"/>
              </w:rPr>
              <w:t>2</w:t>
            </w:r>
            <w:r w:rsidRPr="008F7696">
              <w:rPr>
                <w:rFonts w:asciiTheme="majorBidi" w:hAnsiTheme="majorBidi" w:cstheme="majorBidi"/>
                <w:b/>
                <w:bCs/>
                <w:sz w:val="22"/>
                <w:szCs w:val="22"/>
              </w:rPr>
              <w:t xml:space="preserve"> eq.</w:t>
            </w:r>
          </w:p>
        </w:tc>
        <w:tc>
          <w:tcPr>
            <w:tcW w:w="1793" w:type="dxa"/>
          </w:tcPr>
          <w:p w:rsidR="002320C6" w:rsidRPr="008F7696" w:rsidRDefault="002320C6" w:rsidP="007D7EBA">
            <w:pPr>
              <w:bidi w:val="0"/>
              <w:jc w:val="center"/>
              <w:rPr>
                <w:rFonts w:asciiTheme="majorBidi" w:hAnsiTheme="majorBidi" w:cstheme="majorBidi"/>
                <w:b/>
                <w:bCs/>
                <w:sz w:val="22"/>
                <w:szCs w:val="22"/>
                <w:rtl/>
              </w:rPr>
            </w:pPr>
            <w:r w:rsidRPr="008F7696">
              <w:rPr>
                <w:rFonts w:asciiTheme="majorBidi" w:hAnsiTheme="majorBidi" w:cstheme="majorBidi"/>
                <w:b/>
                <w:bCs/>
                <w:sz w:val="22"/>
                <w:szCs w:val="22"/>
              </w:rPr>
              <w:t>Share of sectors in GHG inventory, %</w:t>
            </w:r>
          </w:p>
        </w:tc>
      </w:tr>
      <w:tr w:rsidR="002320C6" w:rsidRPr="008F7696" w:rsidTr="00C26DCF">
        <w:trPr>
          <w:jc w:val="center"/>
        </w:trPr>
        <w:tc>
          <w:tcPr>
            <w:tcW w:w="1817" w:type="dxa"/>
          </w:tcPr>
          <w:p w:rsidR="002320C6" w:rsidRPr="008F7696" w:rsidRDefault="002320C6" w:rsidP="007D7EBA">
            <w:pPr>
              <w:bidi w:val="0"/>
              <w:jc w:val="both"/>
              <w:rPr>
                <w:rFonts w:asciiTheme="majorBidi" w:hAnsiTheme="majorBidi" w:cstheme="majorBidi"/>
                <w:b/>
                <w:bCs/>
                <w:sz w:val="22"/>
                <w:szCs w:val="22"/>
                <w:rtl/>
              </w:rPr>
            </w:pPr>
            <w:r w:rsidRPr="008F7696">
              <w:rPr>
                <w:rFonts w:asciiTheme="majorBidi" w:hAnsiTheme="majorBidi" w:cstheme="majorBidi"/>
                <w:b/>
                <w:bCs/>
                <w:sz w:val="22"/>
                <w:szCs w:val="22"/>
              </w:rPr>
              <w:t>Sector</w:t>
            </w:r>
          </w:p>
        </w:tc>
        <w:tc>
          <w:tcPr>
            <w:tcW w:w="1984" w:type="dxa"/>
          </w:tcPr>
          <w:p w:rsidR="002320C6" w:rsidRPr="008F7696" w:rsidRDefault="002320C6" w:rsidP="007D7EBA">
            <w:pPr>
              <w:bidi w:val="0"/>
              <w:jc w:val="both"/>
              <w:rPr>
                <w:rFonts w:asciiTheme="majorBidi" w:hAnsiTheme="majorBidi" w:cstheme="majorBidi"/>
                <w:sz w:val="22"/>
                <w:szCs w:val="22"/>
                <w:rtl/>
              </w:rPr>
            </w:pPr>
          </w:p>
        </w:tc>
        <w:tc>
          <w:tcPr>
            <w:tcW w:w="1793" w:type="dxa"/>
          </w:tcPr>
          <w:p w:rsidR="002320C6" w:rsidRPr="008F7696" w:rsidRDefault="002320C6" w:rsidP="007D7EBA">
            <w:pPr>
              <w:bidi w:val="0"/>
              <w:jc w:val="both"/>
              <w:rPr>
                <w:rFonts w:asciiTheme="majorBidi" w:hAnsiTheme="majorBidi" w:cstheme="majorBidi"/>
                <w:sz w:val="22"/>
                <w:szCs w:val="22"/>
                <w:rtl/>
              </w:rPr>
            </w:pPr>
          </w:p>
        </w:tc>
      </w:tr>
      <w:tr w:rsidR="002320C6" w:rsidRPr="008F7696" w:rsidTr="00C26DCF">
        <w:trPr>
          <w:jc w:val="center"/>
        </w:trPr>
        <w:tc>
          <w:tcPr>
            <w:tcW w:w="1817" w:type="dxa"/>
          </w:tcPr>
          <w:p w:rsidR="002320C6" w:rsidRPr="008F7696" w:rsidRDefault="002320C6" w:rsidP="007D7EBA">
            <w:pPr>
              <w:bidi w:val="0"/>
              <w:ind w:left="284"/>
              <w:jc w:val="both"/>
              <w:rPr>
                <w:rFonts w:asciiTheme="majorBidi" w:hAnsiTheme="majorBidi" w:cstheme="majorBidi"/>
                <w:sz w:val="22"/>
                <w:szCs w:val="22"/>
              </w:rPr>
            </w:pPr>
            <w:r w:rsidRPr="008F7696">
              <w:rPr>
                <w:rFonts w:asciiTheme="majorBidi" w:hAnsiTheme="majorBidi" w:cstheme="majorBidi"/>
                <w:sz w:val="22"/>
                <w:szCs w:val="22"/>
              </w:rPr>
              <w:t>Energy</w:t>
            </w:r>
          </w:p>
        </w:tc>
        <w:tc>
          <w:tcPr>
            <w:tcW w:w="1984" w:type="dxa"/>
          </w:tcPr>
          <w:p w:rsidR="002320C6" w:rsidRPr="008F7696" w:rsidRDefault="002320C6" w:rsidP="007D7EBA">
            <w:pPr>
              <w:bidi w:val="0"/>
              <w:ind w:firstLine="212"/>
              <w:rPr>
                <w:rFonts w:asciiTheme="majorBidi" w:hAnsiTheme="majorBidi" w:cstheme="majorBidi"/>
                <w:sz w:val="22"/>
                <w:szCs w:val="22"/>
              </w:rPr>
            </w:pPr>
            <w:r w:rsidRPr="008F7696">
              <w:rPr>
                <w:rFonts w:asciiTheme="majorBidi" w:hAnsiTheme="majorBidi" w:cstheme="majorBidi"/>
                <w:sz w:val="22"/>
                <w:szCs w:val="22"/>
              </w:rPr>
              <w:t>3,381.8</w:t>
            </w:r>
          </w:p>
        </w:tc>
        <w:tc>
          <w:tcPr>
            <w:tcW w:w="1793" w:type="dxa"/>
          </w:tcPr>
          <w:p w:rsidR="002320C6" w:rsidRPr="008F7696" w:rsidRDefault="002320C6" w:rsidP="007D7EBA">
            <w:pPr>
              <w:bidi w:val="0"/>
              <w:jc w:val="both"/>
              <w:rPr>
                <w:rFonts w:asciiTheme="majorBidi" w:hAnsiTheme="majorBidi" w:cstheme="majorBidi"/>
                <w:sz w:val="22"/>
                <w:szCs w:val="22"/>
                <w:rtl/>
              </w:rPr>
            </w:pPr>
            <w:r w:rsidRPr="008F7696">
              <w:rPr>
                <w:rFonts w:asciiTheme="majorBidi" w:hAnsiTheme="majorBidi" w:cstheme="majorBidi"/>
                <w:sz w:val="22"/>
                <w:szCs w:val="22"/>
                <w:rtl/>
              </w:rPr>
              <w:t>72.8</w:t>
            </w:r>
          </w:p>
        </w:tc>
      </w:tr>
      <w:tr w:rsidR="002320C6" w:rsidRPr="008F7696" w:rsidTr="00C26DCF">
        <w:trPr>
          <w:jc w:val="center"/>
        </w:trPr>
        <w:tc>
          <w:tcPr>
            <w:tcW w:w="1817" w:type="dxa"/>
          </w:tcPr>
          <w:p w:rsidR="002320C6" w:rsidRPr="008F7696" w:rsidRDefault="002320C6" w:rsidP="007D7EBA">
            <w:pPr>
              <w:bidi w:val="0"/>
              <w:ind w:left="284"/>
              <w:jc w:val="both"/>
              <w:rPr>
                <w:rFonts w:asciiTheme="majorBidi" w:hAnsiTheme="majorBidi" w:cstheme="majorBidi"/>
                <w:sz w:val="22"/>
                <w:szCs w:val="22"/>
                <w:rtl/>
              </w:rPr>
            </w:pPr>
            <w:r w:rsidRPr="008F7696">
              <w:rPr>
                <w:rFonts w:asciiTheme="majorBidi" w:hAnsiTheme="majorBidi" w:cstheme="majorBidi"/>
                <w:sz w:val="22"/>
                <w:szCs w:val="22"/>
              </w:rPr>
              <w:t>Agriculture</w:t>
            </w:r>
          </w:p>
        </w:tc>
        <w:tc>
          <w:tcPr>
            <w:tcW w:w="1984" w:type="dxa"/>
          </w:tcPr>
          <w:p w:rsidR="002320C6" w:rsidRPr="008F7696" w:rsidRDefault="002320C6" w:rsidP="007D7EBA">
            <w:pPr>
              <w:bidi w:val="0"/>
              <w:ind w:firstLine="212"/>
              <w:rPr>
                <w:rFonts w:asciiTheme="majorBidi" w:hAnsiTheme="majorBidi" w:cstheme="majorBidi"/>
                <w:sz w:val="22"/>
                <w:szCs w:val="22"/>
              </w:rPr>
            </w:pPr>
            <w:r w:rsidRPr="008F7696">
              <w:rPr>
                <w:rFonts w:asciiTheme="majorBidi" w:hAnsiTheme="majorBidi" w:cstheme="majorBidi"/>
                <w:sz w:val="22"/>
                <w:szCs w:val="22"/>
              </w:rPr>
              <w:t>369.6</w:t>
            </w:r>
          </w:p>
        </w:tc>
        <w:tc>
          <w:tcPr>
            <w:tcW w:w="1793" w:type="dxa"/>
          </w:tcPr>
          <w:p w:rsidR="002320C6" w:rsidRPr="008F7696" w:rsidRDefault="002320C6" w:rsidP="007D7EBA">
            <w:pPr>
              <w:bidi w:val="0"/>
              <w:jc w:val="both"/>
              <w:rPr>
                <w:rFonts w:asciiTheme="majorBidi" w:hAnsiTheme="majorBidi" w:cstheme="majorBidi"/>
                <w:sz w:val="22"/>
                <w:szCs w:val="22"/>
                <w:rtl/>
              </w:rPr>
            </w:pPr>
            <w:r w:rsidRPr="008F7696">
              <w:rPr>
                <w:rFonts w:asciiTheme="majorBidi" w:hAnsiTheme="majorBidi" w:cstheme="majorBidi"/>
                <w:sz w:val="22"/>
                <w:szCs w:val="22"/>
                <w:rtl/>
              </w:rPr>
              <w:t>8.0</w:t>
            </w:r>
          </w:p>
        </w:tc>
      </w:tr>
      <w:tr w:rsidR="002320C6" w:rsidRPr="008F7696" w:rsidTr="00C26DCF">
        <w:trPr>
          <w:jc w:val="center"/>
        </w:trPr>
        <w:tc>
          <w:tcPr>
            <w:tcW w:w="1817" w:type="dxa"/>
          </w:tcPr>
          <w:p w:rsidR="002320C6" w:rsidRPr="008F7696" w:rsidRDefault="002320C6" w:rsidP="007D7EBA">
            <w:pPr>
              <w:bidi w:val="0"/>
              <w:ind w:left="284"/>
              <w:jc w:val="both"/>
              <w:rPr>
                <w:rFonts w:asciiTheme="majorBidi" w:hAnsiTheme="majorBidi" w:cstheme="majorBidi"/>
                <w:sz w:val="22"/>
                <w:szCs w:val="22"/>
                <w:rtl/>
              </w:rPr>
            </w:pPr>
            <w:r w:rsidRPr="008F7696">
              <w:rPr>
                <w:rFonts w:asciiTheme="majorBidi" w:hAnsiTheme="majorBidi" w:cstheme="majorBidi"/>
                <w:sz w:val="22"/>
                <w:szCs w:val="22"/>
              </w:rPr>
              <w:t>Waste</w:t>
            </w:r>
          </w:p>
        </w:tc>
        <w:tc>
          <w:tcPr>
            <w:tcW w:w="1984" w:type="dxa"/>
          </w:tcPr>
          <w:p w:rsidR="002320C6" w:rsidRPr="008F7696" w:rsidRDefault="002320C6" w:rsidP="007D7EBA">
            <w:pPr>
              <w:bidi w:val="0"/>
              <w:ind w:firstLine="212"/>
              <w:rPr>
                <w:rFonts w:asciiTheme="majorBidi" w:hAnsiTheme="majorBidi" w:cstheme="majorBidi"/>
                <w:sz w:val="22"/>
                <w:szCs w:val="22"/>
              </w:rPr>
            </w:pPr>
            <w:r w:rsidRPr="008F7696">
              <w:rPr>
                <w:rFonts w:asciiTheme="majorBidi" w:hAnsiTheme="majorBidi" w:cstheme="majorBidi"/>
                <w:sz w:val="22"/>
                <w:szCs w:val="22"/>
              </w:rPr>
              <w:t>894.1</w:t>
            </w:r>
          </w:p>
        </w:tc>
        <w:tc>
          <w:tcPr>
            <w:tcW w:w="1793" w:type="dxa"/>
          </w:tcPr>
          <w:p w:rsidR="002320C6" w:rsidRPr="008F7696" w:rsidRDefault="002320C6" w:rsidP="007D7EBA">
            <w:pPr>
              <w:bidi w:val="0"/>
              <w:jc w:val="both"/>
              <w:rPr>
                <w:rFonts w:asciiTheme="majorBidi" w:hAnsiTheme="majorBidi" w:cstheme="majorBidi"/>
                <w:sz w:val="22"/>
                <w:szCs w:val="22"/>
                <w:rtl/>
              </w:rPr>
            </w:pPr>
            <w:r w:rsidRPr="008F7696">
              <w:rPr>
                <w:rFonts w:asciiTheme="majorBidi" w:hAnsiTheme="majorBidi" w:cstheme="majorBidi"/>
                <w:sz w:val="22"/>
                <w:szCs w:val="22"/>
                <w:rtl/>
              </w:rPr>
              <w:t>19.2</w:t>
            </w:r>
          </w:p>
        </w:tc>
      </w:tr>
      <w:tr w:rsidR="002320C6" w:rsidRPr="008F7696" w:rsidTr="00C26DCF">
        <w:trPr>
          <w:jc w:val="center"/>
        </w:trPr>
        <w:tc>
          <w:tcPr>
            <w:tcW w:w="1817" w:type="dxa"/>
          </w:tcPr>
          <w:p w:rsidR="002320C6" w:rsidRPr="008F7696" w:rsidRDefault="002320C6" w:rsidP="007D7EBA">
            <w:pPr>
              <w:bidi w:val="0"/>
              <w:jc w:val="both"/>
              <w:rPr>
                <w:rFonts w:asciiTheme="majorBidi" w:hAnsiTheme="majorBidi" w:cstheme="majorBidi"/>
                <w:b/>
                <w:bCs/>
                <w:sz w:val="22"/>
                <w:szCs w:val="22"/>
                <w:rtl/>
              </w:rPr>
            </w:pPr>
            <w:r w:rsidRPr="008F7696">
              <w:rPr>
                <w:rFonts w:asciiTheme="majorBidi" w:hAnsiTheme="majorBidi" w:cstheme="majorBidi"/>
                <w:b/>
                <w:bCs/>
                <w:sz w:val="22"/>
                <w:szCs w:val="22"/>
              </w:rPr>
              <w:t>GHG inventory</w:t>
            </w:r>
          </w:p>
        </w:tc>
        <w:tc>
          <w:tcPr>
            <w:tcW w:w="1984" w:type="dxa"/>
          </w:tcPr>
          <w:p w:rsidR="002320C6" w:rsidRPr="008F7696" w:rsidRDefault="002320C6" w:rsidP="007D7EBA">
            <w:pPr>
              <w:bidi w:val="0"/>
              <w:ind w:firstLine="212"/>
              <w:rPr>
                <w:rFonts w:asciiTheme="majorBidi" w:hAnsiTheme="majorBidi" w:cstheme="majorBidi"/>
                <w:b/>
                <w:bCs/>
                <w:sz w:val="22"/>
                <w:szCs w:val="22"/>
              </w:rPr>
            </w:pPr>
            <w:r w:rsidRPr="008F7696">
              <w:rPr>
                <w:rFonts w:asciiTheme="majorBidi" w:hAnsiTheme="majorBidi" w:cstheme="majorBidi"/>
                <w:b/>
                <w:bCs/>
                <w:sz w:val="22"/>
                <w:szCs w:val="22"/>
              </w:rPr>
              <w:t>4,645.5</w:t>
            </w:r>
          </w:p>
        </w:tc>
        <w:tc>
          <w:tcPr>
            <w:tcW w:w="1793" w:type="dxa"/>
          </w:tcPr>
          <w:p w:rsidR="002320C6" w:rsidRPr="008F7696" w:rsidRDefault="002320C6" w:rsidP="007D7EBA">
            <w:pPr>
              <w:bidi w:val="0"/>
              <w:jc w:val="both"/>
              <w:rPr>
                <w:rFonts w:asciiTheme="majorBidi" w:hAnsiTheme="majorBidi" w:cstheme="majorBidi"/>
                <w:b/>
                <w:bCs/>
                <w:sz w:val="22"/>
                <w:szCs w:val="22"/>
                <w:rtl/>
              </w:rPr>
            </w:pPr>
            <w:r w:rsidRPr="008F7696">
              <w:rPr>
                <w:rFonts w:asciiTheme="majorBidi" w:hAnsiTheme="majorBidi" w:cstheme="majorBidi"/>
                <w:b/>
                <w:bCs/>
                <w:sz w:val="22"/>
                <w:szCs w:val="22"/>
                <w:rtl/>
              </w:rPr>
              <w:t>100</w:t>
            </w:r>
          </w:p>
        </w:tc>
      </w:tr>
      <w:tr w:rsidR="002320C6" w:rsidRPr="008F7696" w:rsidTr="00C26DCF">
        <w:trPr>
          <w:jc w:val="center"/>
        </w:trPr>
        <w:tc>
          <w:tcPr>
            <w:tcW w:w="1817" w:type="dxa"/>
          </w:tcPr>
          <w:p w:rsidR="002320C6" w:rsidRPr="008F7696" w:rsidRDefault="002320C6" w:rsidP="007D7EBA">
            <w:pPr>
              <w:bidi w:val="0"/>
              <w:jc w:val="both"/>
              <w:rPr>
                <w:rFonts w:asciiTheme="majorBidi" w:hAnsiTheme="majorBidi" w:cstheme="majorBidi"/>
                <w:b/>
                <w:bCs/>
                <w:sz w:val="22"/>
                <w:szCs w:val="22"/>
                <w:rtl/>
              </w:rPr>
            </w:pPr>
            <w:proofErr w:type="spellStart"/>
            <w:r w:rsidRPr="008F7696">
              <w:rPr>
                <w:rFonts w:asciiTheme="majorBidi" w:hAnsiTheme="majorBidi" w:cstheme="majorBidi"/>
                <w:b/>
                <w:bCs/>
                <w:sz w:val="22"/>
                <w:szCs w:val="22"/>
              </w:rPr>
              <w:t>Emittant</w:t>
            </w:r>
            <w:proofErr w:type="spellEnd"/>
          </w:p>
        </w:tc>
        <w:tc>
          <w:tcPr>
            <w:tcW w:w="1984" w:type="dxa"/>
          </w:tcPr>
          <w:p w:rsidR="002320C6" w:rsidRPr="008F7696" w:rsidRDefault="002320C6" w:rsidP="007D7EBA">
            <w:pPr>
              <w:bidi w:val="0"/>
              <w:ind w:firstLine="212"/>
              <w:rPr>
                <w:rFonts w:asciiTheme="majorBidi" w:hAnsiTheme="majorBidi" w:cstheme="majorBidi"/>
                <w:sz w:val="22"/>
                <w:szCs w:val="22"/>
                <w:rtl/>
              </w:rPr>
            </w:pPr>
          </w:p>
        </w:tc>
        <w:tc>
          <w:tcPr>
            <w:tcW w:w="1793" w:type="dxa"/>
          </w:tcPr>
          <w:p w:rsidR="002320C6" w:rsidRPr="008F7696" w:rsidRDefault="002320C6" w:rsidP="007D7EBA">
            <w:pPr>
              <w:bidi w:val="0"/>
              <w:jc w:val="both"/>
              <w:rPr>
                <w:rFonts w:asciiTheme="majorBidi" w:hAnsiTheme="majorBidi" w:cstheme="majorBidi"/>
                <w:sz w:val="22"/>
                <w:szCs w:val="22"/>
                <w:rtl/>
              </w:rPr>
            </w:pPr>
          </w:p>
        </w:tc>
      </w:tr>
      <w:tr w:rsidR="002320C6" w:rsidRPr="008F7696" w:rsidTr="00C26DCF">
        <w:trPr>
          <w:jc w:val="center"/>
        </w:trPr>
        <w:tc>
          <w:tcPr>
            <w:tcW w:w="1817" w:type="dxa"/>
          </w:tcPr>
          <w:p w:rsidR="002320C6" w:rsidRPr="008F7696" w:rsidRDefault="002320C6" w:rsidP="007D7EBA">
            <w:pPr>
              <w:bidi w:val="0"/>
              <w:ind w:left="284"/>
              <w:jc w:val="both"/>
              <w:rPr>
                <w:rFonts w:asciiTheme="majorBidi" w:hAnsiTheme="majorBidi" w:cstheme="majorBidi"/>
                <w:sz w:val="22"/>
                <w:szCs w:val="22"/>
              </w:rPr>
            </w:pPr>
            <w:r w:rsidRPr="008F7696">
              <w:rPr>
                <w:rFonts w:asciiTheme="majorBidi" w:hAnsiTheme="majorBidi" w:cstheme="majorBidi"/>
                <w:sz w:val="22"/>
                <w:szCs w:val="22"/>
              </w:rPr>
              <w:t>CO</w:t>
            </w:r>
            <w:r w:rsidRPr="008F7696">
              <w:rPr>
                <w:rFonts w:asciiTheme="majorBidi" w:hAnsiTheme="majorBidi" w:cstheme="majorBidi"/>
                <w:sz w:val="22"/>
                <w:szCs w:val="22"/>
                <w:vertAlign w:val="subscript"/>
              </w:rPr>
              <w:t>2</w:t>
            </w:r>
          </w:p>
        </w:tc>
        <w:tc>
          <w:tcPr>
            <w:tcW w:w="1984" w:type="dxa"/>
          </w:tcPr>
          <w:p w:rsidR="002320C6" w:rsidRPr="008F7696" w:rsidRDefault="002320C6" w:rsidP="007D7EBA">
            <w:pPr>
              <w:bidi w:val="0"/>
              <w:ind w:firstLine="212"/>
              <w:rPr>
                <w:rFonts w:asciiTheme="majorBidi" w:hAnsiTheme="majorBidi" w:cstheme="majorBidi"/>
                <w:sz w:val="22"/>
                <w:szCs w:val="22"/>
              </w:rPr>
            </w:pPr>
            <w:r w:rsidRPr="008F7696">
              <w:rPr>
                <w:rFonts w:asciiTheme="majorBidi" w:hAnsiTheme="majorBidi" w:cstheme="majorBidi"/>
                <w:sz w:val="22"/>
                <w:szCs w:val="22"/>
              </w:rPr>
              <w:t>3,254.5</w:t>
            </w:r>
          </w:p>
        </w:tc>
        <w:tc>
          <w:tcPr>
            <w:tcW w:w="1793" w:type="dxa"/>
          </w:tcPr>
          <w:p w:rsidR="002320C6" w:rsidRPr="008F7696" w:rsidRDefault="002320C6" w:rsidP="007D7EBA">
            <w:pPr>
              <w:bidi w:val="0"/>
              <w:jc w:val="both"/>
              <w:rPr>
                <w:rFonts w:asciiTheme="majorBidi" w:hAnsiTheme="majorBidi" w:cstheme="majorBidi"/>
                <w:sz w:val="22"/>
                <w:szCs w:val="22"/>
                <w:rtl/>
              </w:rPr>
            </w:pPr>
            <w:r w:rsidRPr="008F7696">
              <w:rPr>
                <w:rFonts w:asciiTheme="majorBidi" w:hAnsiTheme="majorBidi" w:cstheme="majorBidi"/>
                <w:sz w:val="22"/>
                <w:szCs w:val="22"/>
                <w:rtl/>
              </w:rPr>
              <w:t>74.0</w:t>
            </w:r>
          </w:p>
        </w:tc>
      </w:tr>
      <w:tr w:rsidR="002320C6" w:rsidRPr="008F7696" w:rsidTr="00C26DCF">
        <w:trPr>
          <w:jc w:val="center"/>
        </w:trPr>
        <w:tc>
          <w:tcPr>
            <w:tcW w:w="1817" w:type="dxa"/>
          </w:tcPr>
          <w:p w:rsidR="002320C6" w:rsidRPr="008F7696" w:rsidRDefault="002320C6" w:rsidP="007D7EBA">
            <w:pPr>
              <w:bidi w:val="0"/>
              <w:ind w:left="284"/>
              <w:jc w:val="both"/>
              <w:rPr>
                <w:rFonts w:asciiTheme="majorBidi" w:hAnsiTheme="majorBidi" w:cstheme="majorBidi"/>
                <w:sz w:val="22"/>
                <w:szCs w:val="22"/>
              </w:rPr>
            </w:pPr>
            <w:r w:rsidRPr="008F7696">
              <w:rPr>
                <w:rFonts w:asciiTheme="majorBidi" w:hAnsiTheme="majorBidi" w:cstheme="majorBidi"/>
                <w:sz w:val="22"/>
                <w:szCs w:val="22"/>
              </w:rPr>
              <w:t>CH</w:t>
            </w:r>
            <w:r w:rsidRPr="008F7696">
              <w:rPr>
                <w:rFonts w:asciiTheme="majorBidi" w:hAnsiTheme="majorBidi" w:cstheme="majorBidi"/>
                <w:sz w:val="22"/>
                <w:szCs w:val="22"/>
                <w:vertAlign w:val="subscript"/>
              </w:rPr>
              <w:t>4</w:t>
            </w:r>
          </w:p>
        </w:tc>
        <w:tc>
          <w:tcPr>
            <w:tcW w:w="1984" w:type="dxa"/>
          </w:tcPr>
          <w:p w:rsidR="002320C6" w:rsidRPr="008F7696" w:rsidRDefault="002320C6" w:rsidP="007D7EBA">
            <w:pPr>
              <w:bidi w:val="0"/>
              <w:ind w:firstLine="212"/>
              <w:rPr>
                <w:rFonts w:asciiTheme="majorBidi" w:hAnsiTheme="majorBidi" w:cstheme="majorBidi"/>
                <w:sz w:val="22"/>
                <w:szCs w:val="22"/>
              </w:rPr>
            </w:pPr>
            <w:r w:rsidRPr="008F7696">
              <w:rPr>
                <w:rFonts w:asciiTheme="majorBidi" w:hAnsiTheme="majorBidi" w:cstheme="majorBidi"/>
                <w:sz w:val="22"/>
                <w:szCs w:val="22"/>
              </w:rPr>
              <w:t>927.6</w:t>
            </w:r>
          </w:p>
        </w:tc>
        <w:tc>
          <w:tcPr>
            <w:tcW w:w="1793" w:type="dxa"/>
          </w:tcPr>
          <w:p w:rsidR="002320C6" w:rsidRPr="008F7696" w:rsidRDefault="002320C6" w:rsidP="007D7EBA">
            <w:pPr>
              <w:bidi w:val="0"/>
              <w:jc w:val="both"/>
              <w:rPr>
                <w:rFonts w:asciiTheme="majorBidi" w:hAnsiTheme="majorBidi" w:cstheme="majorBidi"/>
                <w:sz w:val="22"/>
                <w:szCs w:val="22"/>
                <w:rtl/>
              </w:rPr>
            </w:pPr>
            <w:r w:rsidRPr="008F7696">
              <w:rPr>
                <w:rFonts w:asciiTheme="majorBidi" w:hAnsiTheme="majorBidi" w:cstheme="majorBidi"/>
                <w:sz w:val="22"/>
                <w:szCs w:val="22"/>
                <w:rtl/>
              </w:rPr>
              <w:t>17.3</w:t>
            </w:r>
          </w:p>
        </w:tc>
      </w:tr>
      <w:tr w:rsidR="002320C6" w:rsidRPr="008F7696" w:rsidTr="00C26DCF">
        <w:trPr>
          <w:jc w:val="center"/>
        </w:trPr>
        <w:tc>
          <w:tcPr>
            <w:tcW w:w="1817" w:type="dxa"/>
          </w:tcPr>
          <w:p w:rsidR="002320C6" w:rsidRPr="008F7696" w:rsidRDefault="002320C6" w:rsidP="007D7EBA">
            <w:pPr>
              <w:bidi w:val="0"/>
              <w:ind w:left="284"/>
              <w:jc w:val="both"/>
              <w:rPr>
                <w:rFonts w:asciiTheme="majorBidi" w:hAnsiTheme="majorBidi" w:cstheme="majorBidi"/>
                <w:sz w:val="22"/>
                <w:szCs w:val="22"/>
              </w:rPr>
            </w:pPr>
            <w:r w:rsidRPr="008F7696">
              <w:rPr>
                <w:rFonts w:asciiTheme="majorBidi" w:hAnsiTheme="majorBidi" w:cstheme="majorBidi"/>
                <w:sz w:val="22"/>
                <w:szCs w:val="22"/>
              </w:rPr>
              <w:t>N</w:t>
            </w:r>
            <w:r w:rsidRPr="008F7696">
              <w:rPr>
                <w:rFonts w:asciiTheme="majorBidi" w:hAnsiTheme="majorBidi" w:cstheme="majorBidi"/>
                <w:sz w:val="22"/>
                <w:szCs w:val="22"/>
                <w:vertAlign w:val="subscript"/>
              </w:rPr>
              <w:t>2</w:t>
            </w:r>
            <w:r w:rsidRPr="008F7696">
              <w:rPr>
                <w:rFonts w:asciiTheme="majorBidi" w:hAnsiTheme="majorBidi" w:cstheme="majorBidi"/>
                <w:sz w:val="22"/>
                <w:szCs w:val="22"/>
              </w:rPr>
              <w:t>O</w:t>
            </w:r>
          </w:p>
        </w:tc>
        <w:tc>
          <w:tcPr>
            <w:tcW w:w="1984" w:type="dxa"/>
          </w:tcPr>
          <w:p w:rsidR="002320C6" w:rsidRPr="008F7696" w:rsidRDefault="002320C6" w:rsidP="007D7EBA">
            <w:pPr>
              <w:bidi w:val="0"/>
              <w:ind w:firstLine="212"/>
              <w:rPr>
                <w:rFonts w:asciiTheme="majorBidi" w:hAnsiTheme="majorBidi" w:cstheme="majorBidi"/>
                <w:sz w:val="22"/>
                <w:szCs w:val="22"/>
              </w:rPr>
            </w:pPr>
            <w:r w:rsidRPr="008F7696">
              <w:rPr>
                <w:rFonts w:asciiTheme="majorBidi" w:hAnsiTheme="majorBidi" w:cstheme="majorBidi"/>
                <w:sz w:val="22"/>
                <w:szCs w:val="22"/>
              </w:rPr>
              <w:t>463.4</w:t>
            </w:r>
          </w:p>
        </w:tc>
        <w:tc>
          <w:tcPr>
            <w:tcW w:w="1793" w:type="dxa"/>
          </w:tcPr>
          <w:p w:rsidR="002320C6" w:rsidRPr="008F7696" w:rsidRDefault="002320C6" w:rsidP="007D7EBA">
            <w:pPr>
              <w:bidi w:val="0"/>
              <w:jc w:val="both"/>
              <w:rPr>
                <w:rFonts w:asciiTheme="majorBidi" w:hAnsiTheme="majorBidi" w:cstheme="majorBidi"/>
                <w:sz w:val="22"/>
                <w:szCs w:val="22"/>
                <w:rtl/>
              </w:rPr>
            </w:pPr>
            <w:r w:rsidRPr="008F7696">
              <w:rPr>
                <w:rFonts w:asciiTheme="majorBidi" w:hAnsiTheme="majorBidi" w:cstheme="majorBidi"/>
                <w:sz w:val="22"/>
                <w:szCs w:val="22"/>
                <w:rtl/>
              </w:rPr>
              <w:t>8.7</w:t>
            </w:r>
          </w:p>
        </w:tc>
      </w:tr>
      <w:tr w:rsidR="002320C6" w:rsidRPr="008F7696" w:rsidTr="00C26DCF">
        <w:trPr>
          <w:jc w:val="center"/>
        </w:trPr>
        <w:tc>
          <w:tcPr>
            <w:tcW w:w="1817" w:type="dxa"/>
          </w:tcPr>
          <w:p w:rsidR="002320C6" w:rsidRPr="008F7696" w:rsidRDefault="002320C6" w:rsidP="007D7EBA">
            <w:pPr>
              <w:bidi w:val="0"/>
              <w:jc w:val="both"/>
              <w:rPr>
                <w:rFonts w:asciiTheme="majorBidi" w:hAnsiTheme="majorBidi" w:cstheme="majorBidi"/>
                <w:b/>
                <w:bCs/>
                <w:sz w:val="22"/>
                <w:szCs w:val="22"/>
                <w:rtl/>
              </w:rPr>
            </w:pPr>
            <w:r w:rsidRPr="008F7696">
              <w:rPr>
                <w:rFonts w:asciiTheme="majorBidi" w:hAnsiTheme="majorBidi" w:cstheme="majorBidi"/>
                <w:b/>
                <w:bCs/>
                <w:sz w:val="22"/>
                <w:szCs w:val="22"/>
              </w:rPr>
              <w:t>GHG inventory</w:t>
            </w:r>
          </w:p>
        </w:tc>
        <w:tc>
          <w:tcPr>
            <w:tcW w:w="1984" w:type="dxa"/>
          </w:tcPr>
          <w:p w:rsidR="002320C6" w:rsidRPr="008F7696" w:rsidRDefault="002320C6" w:rsidP="007D7EBA">
            <w:pPr>
              <w:bidi w:val="0"/>
              <w:ind w:firstLine="212"/>
              <w:rPr>
                <w:rFonts w:asciiTheme="majorBidi" w:hAnsiTheme="majorBidi" w:cstheme="majorBidi"/>
                <w:b/>
                <w:bCs/>
                <w:sz w:val="22"/>
                <w:szCs w:val="22"/>
              </w:rPr>
            </w:pPr>
            <w:r w:rsidRPr="008F7696">
              <w:rPr>
                <w:rFonts w:asciiTheme="majorBidi" w:hAnsiTheme="majorBidi" w:cstheme="majorBidi"/>
                <w:b/>
                <w:bCs/>
                <w:sz w:val="22"/>
                <w:szCs w:val="22"/>
              </w:rPr>
              <w:t>4,645.5</w:t>
            </w:r>
          </w:p>
        </w:tc>
        <w:tc>
          <w:tcPr>
            <w:tcW w:w="1793" w:type="dxa"/>
          </w:tcPr>
          <w:p w:rsidR="002320C6" w:rsidRPr="008F7696" w:rsidRDefault="002320C6" w:rsidP="007D7EBA">
            <w:pPr>
              <w:bidi w:val="0"/>
              <w:jc w:val="both"/>
              <w:rPr>
                <w:rFonts w:asciiTheme="majorBidi" w:hAnsiTheme="majorBidi" w:cstheme="majorBidi"/>
                <w:b/>
                <w:bCs/>
                <w:sz w:val="22"/>
                <w:szCs w:val="22"/>
                <w:rtl/>
              </w:rPr>
            </w:pPr>
            <w:r w:rsidRPr="008F7696">
              <w:rPr>
                <w:rFonts w:asciiTheme="majorBidi" w:hAnsiTheme="majorBidi" w:cstheme="majorBidi"/>
                <w:b/>
                <w:bCs/>
                <w:sz w:val="22"/>
                <w:szCs w:val="22"/>
                <w:rtl/>
              </w:rPr>
              <w:t>100</w:t>
            </w:r>
          </w:p>
        </w:tc>
      </w:tr>
    </w:tbl>
    <w:p w:rsidR="002320C6" w:rsidRPr="008F7696" w:rsidRDefault="002320C6" w:rsidP="002320C6">
      <w:pPr>
        <w:autoSpaceDE w:val="0"/>
        <w:autoSpaceDN w:val="0"/>
        <w:bidi w:val="0"/>
        <w:adjustRightInd w:val="0"/>
        <w:jc w:val="both"/>
        <w:rPr>
          <w:rFonts w:asciiTheme="majorBidi" w:hAnsiTheme="majorBidi" w:cstheme="majorBidi"/>
          <w:b/>
          <w:bCs/>
          <w:sz w:val="16"/>
          <w:szCs w:val="16"/>
        </w:rPr>
      </w:pPr>
    </w:p>
    <w:p w:rsidR="002320C6" w:rsidRPr="00C26DCF" w:rsidRDefault="002320C6" w:rsidP="002320C6">
      <w:pPr>
        <w:autoSpaceDE w:val="0"/>
        <w:autoSpaceDN w:val="0"/>
        <w:bidi w:val="0"/>
        <w:adjustRightInd w:val="0"/>
        <w:jc w:val="both"/>
        <w:rPr>
          <w:rFonts w:asciiTheme="majorBidi" w:hAnsiTheme="majorBidi" w:cstheme="majorBidi"/>
          <w:b/>
          <w:bCs/>
          <w:sz w:val="25"/>
          <w:szCs w:val="25"/>
        </w:rPr>
      </w:pPr>
      <w:r w:rsidRPr="00C26DCF">
        <w:rPr>
          <w:rFonts w:asciiTheme="majorBidi" w:hAnsiTheme="majorBidi" w:cstheme="majorBidi"/>
          <w:b/>
          <w:bCs/>
          <w:sz w:val="25"/>
          <w:szCs w:val="25"/>
        </w:rPr>
        <w:t>83 Liter/capita/day</w:t>
      </w:r>
      <w:r w:rsidRPr="00C26DCF">
        <w:rPr>
          <w:rFonts w:asciiTheme="majorBidi" w:hAnsiTheme="majorBidi" w:cstheme="majorBidi"/>
          <w:sz w:val="25"/>
          <w:szCs w:val="25"/>
        </w:rPr>
        <w:t xml:space="preserve"> </w:t>
      </w:r>
      <w:r w:rsidRPr="00C26DCF">
        <w:rPr>
          <w:rFonts w:asciiTheme="majorBidi" w:hAnsiTheme="majorBidi" w:cstheme="majorBidi"/>
          <w:b/>
          <w:bCs/>
          <w:sz w:val="25"/>
          <w:szCs w:val="25"/>
        </w:rPr>
        <w:t>Palestinian Water Consumption Rate</w:t>
      </w:r>
    </w:p>
    <w:p w:rsidR="002320C6" w:rsidRPr="00701B91" w:rsidRDefault="002320C6" w:rsidP="002320C6">
      <w:pPr>
        <w:autoSpaceDE w:val="0"/>
        <w:autoSpaceDN w:val="0"/>
        <w:bidi w:val="0"/>
        <w:adjustRightInd w:val="0"/>
        <w:jc w:val="both"/>
        <w:rPr>
          <w:rFonts w:asciiTheme="majorBidi" w:hAnsiTheme="majorBidi" w:cstheme="majorBidi"/>
          <w:b/>
          <w:bCs/>
        </w:rPr>
      </w:pPr>
      <w:r w:rsidRPr="00701B91">
        <w:rPr>
          <w:rFonts w:asciiTheme="majorBidi" w:hAnsiTheme="majorBidi" w:cstheme="majorBidi"/>
        </w:rPr>
        <w:t>The daily allocation per capita from consumed water for domestic purposes is 83 liter/capita/day in Palestine. 82.3 (</w:t>
      </w:r>
      <w:proofErr w:type="spellStart"/>
      <w:r w:rsidRPr="00701B91">
        <w:rPr>
          <w:rFonts w:asciiTheme="majorBidi" w:hAnsiTheme="majorBidi" w:cstheme="majorBidi"/>
        </w:rPr>
        <w:t>l/c</w:t>
      </w:r>
      <w:proofErr w:type="spellEnd"/>
      <w:r w:rsidRPr="00701B91">
        <w:rPr>
          <w:rFonts w:asciiTheme="majorBidi" w:hAnsiTheme="majorBidi" w:cstheme="majorBidi"/>
        </w:rPr>
        <w:t>/d) in the West Bank,  while it is 84 (</w:t>
      </w:r>
      <w:proofErr w:type="spellStart"/>
      <w:r w:rsidRPr="00701B91">
        <w:rPr>
          <w:rFonts w:asciiTheme="majorBidi" w:hAnsiTheme="majorBidi" w:cstheme="majorBidi"/>
        </w:rPr>
        <w:t>l/c</w:t>
      </w:r>
      <w:proofErr w:type="spellEnd"/>
      <w:r w:rsidRPr="00701B91">
        <w:rPr>
          <w:rFonts w:asciiTheme="majorBidi" w:hAnsiTheme="majorBidi" w:cstheme="majorBidi"/>
        </w:rPr>
        <w:t>/d) in Gaza Strip in 2016.</w:t>
      </w:r>
    </w:p>
    <w:p w:rsidR="002320C6" w:rsidRPr="008F7696" w:rsidRDefault="002320C6" w:rsidP="002320C6">
      <w:pPr>
        <w:pStyle w:val="Title"/>
        <w:bidi w:val="0"/>
        <w:jc w:val="lowKashida"/>
        <w:rPr>
          <w:sz w:val="16"/>
          <w:szCs w:val="16"/>
        </w:rPr>
      </w:pPr>
    </w:p>
    <w:p w:rsidR="002320C6" w:rsidRPr="00701B91" w:rsidRDefault="002320C6" w:rsidP="002320C6">
      <w:pPr>
        <w:autoSpaceDE w:val="0"/>
        <w:autoSpaceDN w:val="0"/>
        <w:bidi w:val="0"/>
        <w:adjustRightInd w:val="0"/>
        <w:jc w:val="both"/>
        <w:rPr>
          <w:b/>
          <w:bCs/>
        </w:rPr>
      </w:pPr>
      <w:r w:rsidRPr="00701B91">
        <w:t xml:space="preserve">However, 97% of drinking water in Gaza Strip does not meet the World Health Organization (WHO) standards and </w:t>
      </w:r>
      <w:r>
        <w:t xml:space="preserve">it </w:t>
      </w:r>
      <w:r w:rsidRPr="00701B91">
        <w:t>is also less than the minimum quantities recommended by WHO 100</w:t>
      </w:r>
      <w:r>
        <w:t xml:space="preserve"> </w:t>
      </w:r>
      <w:r w:rsidRPr="00701B91">
        <w:t>(</w:t>
      </w:r>
      <w:proofErr w:type="spellStart"/>
      <w:r w:rsidRPr="00701B91">
        <w:t>l/c</w:t>
      </w:r>
      <w:proofErr w:type="spellEnd"/>
      <w:r w:rsidRPr="00701B91">
        <w:t xml:space="preserve">/d). </w:t>
      </w:r>
    </w:p>
    <w:p w:rsidR="002320C6" w:rsidRPr="008F7696" w:rsidRDefault="002320C6" w:rsidP="002320C6">
      <w:pPr>
        <w:pStyle w:val="Title"/>
        <w:bidi w:val="0"/>
        <w:jc w:val="lowKashida"/>
        <w:rPr>
          <w:b w:val="0"/>
          <w:bCs w:val="0"/>
          <w:sz w:val="16"/>
          <w:szCs w:val="16"/>
        </w:rPr>
      </w:pPr>
    </w:p>
    <w:p w:rsidR="002320C6" w:rsidRPr="00C26DCF" w:rsidRDefault="002320C6" w:rsidP="002320C6">
      <w:pPr>
        <w:pStyle w:val="Title"/>
        <w:bidi w:val="0"/>
        <w:jc w:val="lowKashida"/>
        <w:rPr>
          <w:sz w:val="25"/>
          <w:szCs w:val="25"/>
        </w:rPr>
      </w:pPr>
      <w:r w:rsidRPr="00C26DCF">
        <w:rPr>
          <w:sz w:val="25"/>
          <w:szCs w:val="25"/>
        </w:rPr>
        <w:t>More than 60% of Palestinians use safe drinking water</w:t>
      </w:r>
    </w:p>
    <w:p w:rsidR="002320C6" w:rsidRPr="00A55D31" w:rsidRDefault="002320C6" w:rsidP="002320C6">
      <w:pPr>
        <w:pStyle w:val="Title"/>
        <w:bidi w:val="0"/>
        <w:jc w:val="lowKashida"/>
        <w:rPr>
          <w:b w:val="0"/>
          <w:bCs w:val="0"/>
        </w:rPr>
      </w:pPr>
      <w:r w:rsidRPr="00A55D31">
        <w:rPr>
          <w:b w:val="0"/>
          <w:bCs w:val="0"/>
        </w:rPr>
        <w:t>Data of Population, Housing and Establishment</w:t>
      </w:r>
      <w:r>
        <w:rPr>
          <w:b w:val="0"/>
          <w:bCs w:val="0"/>
        </w:rPr>
        <w:t>s</w:t>
      </w:r>
      <w:r w:rsidRPr="00A55D31">
        <w:rPr>
          <w:b w:val="0"/>
          <w:bCs w:val="0"/>
        </w:rPr>
        <w:t xml:space="preserve"> Census 2017 (Census 2017) showed that 62.4% of persons in Palestine use safe drinking water according to SDGs definition (95.1% in </w:t>
      </w:r>
      <w:r>
        <w:rPr>
          <w:b w:val="0"/>
          <w:bCs w:val="0"/>
        </w:rPr>
        <w:t xml:space="preserve">the </w:t>
      </w:r>
      <w:r w:rsidRPr="00A55D31">
        <w:rPr>
          <w:b w:val="0"/>
          <w:bCs w:val="0"/>
        </w:rPr>
        <w:t xml:space="preserve">West </w:t>
      </w:r>
      <w:r>
        <w:rPr>
          <w:b w:val="0"/>
          <w:bCs w:val="0"/>
        </w:rPr>
        <w:t>B</w:t>
      </w:r>
      <w:r w:rsidRPr="00A55D31">
        <w:rPr>
          <w:b w:val="0"/>
          <w:bCs w:val="0"/>
        </w:rPr>
        <w:t>ank and 11.4% in Gaza Strip)</w:t>
      </w:r>
    </w:p>
    <w:p w:rsidR="002320C6" w:rsidRPr="008F7696" w:rsidRDefault="002320C6" w:rsidP="002320C6">
      <w:pPr>
        <w:pStyle w:val="Title"/>
        <w:bidi w:val="0"/>
        <w:rPr>
          <w:rFonts w:asciiTheme="majorBidi" w:hAnsiTheme="majorBidi" w:cstheme="majorBidi"/>
          <w:sz w:val="16"/>
          <w:szCs w:val="16"/>
        </w:rPr>
      </w:pPr>
    </w:p>
    <w:p w:rsidR="002320C6" w:rsidRDefault="002320C6" w:rsidP="002320C6">
      <w:pPr>
        <w:pStyle w:val="Title"/>
        <w:bidi w:val="0"/>
        <w:rPr>
          <w:rFonts w:asciiTheme="majorBidi" w:hAnsiTheme="majorBidi" w:cstheme="majorBidi"/>
        </w:rPr>
      </w:pPr>
    </w:p>
    <w:p w:rsidR="002320C6" w:rsidRDefault="002320C6" w:rsidP="002320C6">
      <w:pPr>
        <w:pStyle w:val="Title"/>
        <w:bidi w:val="0"/>
        <w:rPr>
          <w:rFonts w:asciiTheme="majorBidi" w:hAnsiTheme="majorBidi" w:cstheme="majorBidi"/>
        </w:rPr>
      </w:pPr>
    </w:p>
    <w:p w:rsidR="002320C6" w:rsidRDefault="002320C6" w:rsidP="002320C6">
      <w:pPr>
        <w:pStyle w:val="Title"/>
        <w:bidi w:val="0"/>
        <w:rPr>
          <w:rFonts w:asciiTheme="majorBidi" w:hAnsiTheme="majorBidi" w:cstheme="majorBidi"/>
        </w:rPr>
      </w:pPr>
    </w:p>
    <w:p w:rsidR="002320C6" w:rsidRDefault="002320C6" w:rsidP="002320C6">
      <w:pPr>
        <w:pStyle w:val="Title"/>
        <w:bidi w:val="0"/>
        <w:rPr>
          <w:rFonts w:asciiTheme="majorBidi" w:hAnsiTheme="majorBidi" w:cstheme="majorBidi"/>
        </w:rPr>
      </w:pPr>
    </w:p>
    <w:p w:rsidR="002320C6" w:rsidRDefault="002320C6" w:rsidP="002320C6">
      <w:pPr>
        <w:pStyle w:val="Title"/>
        <w:bidi w:val="0"/>
        <w:rPr>
          <w:rFonts w:asciiTheme="majorBidi" w:hAnsiTheme="majorBidi" w:cstheme="majorBidi"/>
        </w:rPr>
      </w:pPr>
    </w:p>
    <w:p w:rsidR="002320C6" w:rsidRDefault="002320C6" w:rsidP="002320C6">
      <w:pPr>
        <w:pStyle w:val="Title"/>
        <w:bidi w:val="0"/>
        <w:rPr>
          <w:rFonts w:asciiTheme="majorBidi" w:hAnsiTheme="majorBidi" w:cstheme="majorBidi"/>
        </w:rPr>
      </w:pPr>
    </w:p>
    <w:p w:rsidR="002320C6" w:rsidRDefault="002320C6" w:rsidP="002320C6">
      <w:pPr>
        <w:pStyle w:val="Title"/>
        <w:bidi w:val="0"/>
        <w:rPr>
          <w:rFonts w:asciiTheme="majorBidi" w:hAnsiTheme="majorBidi" w:cstheme="majorBidi"/>
        </w:rPr>
      </w:pPr>
    </w:p>
    <w:p w:rsidR="002320C6" w:rsidRDefault="002320C6" w:rsidP="002320C6">
      <w:pPr>
        <w:pStyle w:val="Title"/>
        <w:bidi w:val="0"/>
        <w:rPr>
          <w:rFonts w:asciiTheme="majorBidi" w:hAnsiTheme="majorBidi" w:cstheme="majorBidi"/>
        </w:rPr>
      </w:pPr>
    </w:p>
    <w:p w:rsidR="002320C6" w:rsidRDefault="002320C6" w:rsidP="002320C6">
      <w:pPr>
        <w:pStyle w:val="Title"/>
        <w:bidi w:val="0"/>
        <w:rPr>
          <w:rFonts w:asciiTheme="majorBidi" w:hAnsiTheme="majorBidi" w:cstheme="majorBidi"/>
        </w:rPr>
      </w:pPr>
      <w:r w:rsidRPr="008F7696">
        <w:rPr>
          <w:rFonts w:asciiTheme="majorBidi" w:hAnsiTheme="majorBidi" w:cstheme="majorBidi"/>
        </w:rPr>
        <w:t>Persons Use Improved Drinking Water, in Palestine* by Region, 2017</w:t>
      </w:r>
    </w:p>
    <w:p w:rsidR="00C26DCF" w:rsidRDefault="00C26DCF" w:rsidP="00C26DCF">
      <w:pPr>
        <w:pStyle w:val="Title"/>
        <w:bidi w:val="0"/>
        <w:rPr>
          <w:rFonts w:asciiTheme="majorBidi" w:hAnsiTheme="majorBidi" w:cstheme="majorBidi"/>
        </w:rPr>
      </w:pPr>
    </w:p>
    <w:p w:rsidR="002320C6" w:rsidRDefault="002320C6" w:rsidP="00C26DCF">
      <w:pPr>
        <w:pBdr>
          <w:top w:val="single" w:sz="4" w:space="1" w:color="auto"/>
          <w:left w:val="single" w:sz="4" w:space="0" w:color="auto"/>
          <w:bottom w:val="single" w:sz="4" w:space="0" w:color="auto"/>
          <w:right w:val="single" w:sz="4" w:space="4" w:color="auto"/>
        </w:pBdr>
        <w:ind w:left="-1" w:right="57" w:firstLine="1"/>
        <w:jc w:val="both"/>
        <w:rPr>
          <w:rFonts w:cs="Simplified Arabic" w:hint="cs"/>
          <w:b/>
          <w:bCs/>
          <w:rtl/>
        </w:rPr>
      </w:pPr>
      <w:r w:rsidRPr="002B7398">
        <w:rPr>
          <w:rFonts w:cs="Simplified Arabic"/>
          <w:b/>
          <w:bCs/>
          <w:noProof/>
          <w:rtl/>
          <w:lang w:eastAsia="en-US"/>
        </w:rPr>
        <w:drawing>
          <wp:anchor distT="0" distB="0" distL="114300" distR="114300" simplePos="0" relativeHeight="251658240" behindDoc="0" locked="0" layoutInCell="1" allowOverlap="1">
            <wp:simplePos x="0" y="0"/>
            <wp:positionH relativeFrom="column">
              <wp:posOffset>1676400</wp:posOffset>
            </wp:positionH>
            <wp:positionV relativeFrom="paragraph">
              <wp:posOffset>60325</wp:posOffset>
            </wp:positionV>
            <wp:extent cx="3067050" cy="1800225"/>
            <wp:effectExtent l="0" t="0" r="0" b="0"/>
            <wp:wrapSquare wrapText="bothSides"/>
            <wp:docPr id="3"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cs="Simplified Arabic"/>
          <w:b/>
          <w:bCs/>
          <w:rtl/>
        </w:rPr>
        <w:br w:type="textWrapping" w:clear="all"/>
      </w:r>
    </w:p>
    <w:p w:rsidR="002320C6" w:rsidRPr="008F7696" w:rsidRDefault="002320C6" w:rsidP="002320C6">
      <w:pPr>
        <w:bidi w:val="0"/>
        <w:ind w:left="-1" w:right="57" w:firstLine="1"/>
        <w:jc w:val="both"/>
        <w:rPr>
          <w:rFonts w:asciiTheme="majorBidi" w:hAnsiTheme="majorBidi" w:cstheme="majorBidi"/>
          <w:sz w:val="16"/>
          <w:szCs w:val="16"/>
          <w:lang w:eastAsia="en-US"/>
        </w:rPr>
      </w:pPr>
    </w:p>
    <w:p w:rsidR="002320C6" w:rsidRPr="00D20DE0" w:rsidRDefault="002320C6" w:rsidP="002320C6">
      <w:pPr>
        <w:bidi w:val="0"/>
        <w:ind w:left="-1" w:right="57" w:firstLine="1"/>
        <w:jc w:val="both"/>
        <w:rPr>
          <w:rFonts w:asciiTheme="majorBidi" w:hAnsiTheme="majorBidi" w:cstheme="majorBidi"/>
          <w:b/>
          <w:bCs/>
          <w:sz w:val="20"/>
          <w:szCs w:val="20"/>
        </w:rPr>
      </w:pPr>
      <w:r w:rsidRPr="00D20DE0">
        <w:rPr>
          <w:rFonts w:asciiTheme="majorBidi" w:hAnsiTheme="majorBidi" w:cstheme="majorBidi"/>
          <w:sz w:val="20"/>
          <w:szCs w:val="20"/>
          <w:lang w:eastAsia="en-US"/>
        </w:rPr>
        <w:t>* Data excluded those parts of Jerusalem which were annexed by Israeli Occupation in 196</w:t>
      </w:r>
      <w:r w:rsidRPr="00D20DE0">
        <w:rPr>
          <w:rFonts w:asciiTheme="majorBidi" w:hAnsiTheme="majorBidi" w:cstheme="majorBidi"/>
          <w:sz w:val="20"/>
          <w:szCs w:val="20"/>
          <w:rtl/>
          <w:lang w:eastAsia="en-US"/>
        </w:rPr>
        <w:t>7</w:t>
      </w:r>
    </w:p>
    <w:p w:rsidR="002320C6" w:rsidRPr="008F7696" w:rsidRDefault="002320C6" w:rsidP="002320C6">
      <w:pPr>
        <w:pStyle w:val="Title"/>
        <w:bidi w:val="0"/>
        <w:jc w:val="lowKashida"/>
        <w:rPr>
          <w:b w:val="0"/>
          <w:bCs w:val="0"/>
          <w:sz w:val="16"/>
          <w:szCs w:val="16"/>
        </w:rPr>
      </w:pPr>
    </w:p>
    <w:p w:rsidR="002320C6" w:rsidRPr="00C26DCF" w:rsidRDefault="002320C6" w:rsidP="002320C6">
      <w:pPr>
        <w:pStyle w:val="Title"/>
        <w:bidi w:val="0"/>
        <w:jc w:val="lowKashida"/>
        <w:rPr>
          <w:sz w:val="25"/>
          <w:szCs w:val="25"/>
        </w:rPr>
      </w:pPr>
      <w:r w:rsidRPr="00C26DCF">
        <w:rPr>
          <w:sz w:val="25"/>
          <w:szCs w:val="25"/>
        </w:rPr>
        <w:t>More than 99% of Palestinians use safe sanitation</w:t>
      </w:r>
    </w:p>
    <w:p w:rsidR="002320C6" w:rsidRDefault="002320C6" w:rsidP="002320C6">
      <w:pPr>
        <w:pStyle w:val="Title"/>
        <w:bidi w:val="0"/>
        <w:jc w:val="lowKashida"/>
        <w:rPr>
          <w:b w:val="0"/>
          <w:bCs w:val="0"/>
        </w:rPr>
      </w:pPr>
      <w:r w:rsidRPr="00A55D31">
        <w:rPr>
          <w:b w:val="0"/>
          <w:bCs w:val="0"/>
        </w:rPr>
        <w:t xml:space="preserve">Data of Census 2017 showed that </w:t>
      </w:r>
      <w:r>
        <w:rPr>
          <w:b w:val="0"/>
          <w:bCs w:val="0"/>
        </w:rPr>
        <w:t>99.7</w:t>
      </w:r>
      <w:r w:rsidRPr="00A55D31">
        <w:rPr>
          <w:b w:val="0"/>
          <w:bCs w:val="0"/>
        </w:rPr>
        <w:t xml:space="preserve">% of persons in Palestine use safe </w:t>
      </w:r>
      <w:r>
        <w:rPr>
          <w:b w:val="0"/>
          <w:bCs w:val="0"/>
        </w:rPr>
        <w:t>sanitation which includes (piped sewer system, cesspit, and pit)</w:t>
      </w:r>
      <w:r w:rsidRPr="00A55D31">
        <w:rPr>
          <w:b w:val="0"/>
          <w:bCs w:val="0"/>
        </w:rPr>
        <w:t xml:space="preserve"> according to SDGs definition (</w:t>
      </w:r>
      <w:r>
        <w:rPr>
          <w:b w:val="0"/>
          <w:bCs w:val="0"/>
        </w:rPr>
        <w:t>99.6</w:t>
      </w:r>
      <w:r w:rsidRPr="00A55D31">
        <w:rPr>
          <w:b w:val="0"/>
          <w:bCs w:val="0"/>
        </w:rPr>
        <w:t xml:space="preserve">% in </w:t>
      </w:r>
      <w:r>
        <w:rPr>
          <w:b w:val="0"/>
          <w:bCs w:val="0"/>
        </w:rPr>
        <w:t xml:space="preserve">the </w:t>
      </w:r>
      <w:r w:rsidRPr="00A55D31">
        <w:rPr>
          <w:b w:val="0"/>
          <w:bCs w:val="0"/>
        </w:rPr>
        <w:t xml:space="preserve">West </w:t>
      </w:r>
      <w:r>
        <w:rPr>
          <w:b w:val="0"/>
          <w:bCs w:val="0"/>
        </w:rPr>
        <w:t>B</w:t>
      </w:r>
      <w:r w:rsidRPr="00A55D31">
        <w:rPr>
          <w:b w:val="0"/>
          <w:bCs w:val="0"/>
        </w:rPr>
        <w:t xml:space="preserve">ank and </w:t>
      </w:r>
      <w:r>
        <w:rPr>
          <w:b w:val="0"/>
          <w:bCs w:val="0"/>
        </w:rPr>
        <w:t>99.9</w:t>
      </w:r>
      <w:r w:rsidRPr="00A55D31">
        <w:rPr>
          <w:b w:val="0"/>
          <w:bCs w:val="0"/>
        </w:rPr>
        <w:t>% in Gaza Strip)</w:t>
      </w:r>
      <w:r>
        <w:rPr>
          <w:b w:val="0"/>
          <w:bCs w:val="0"/>
        </w:rPr>
        <w:t xml:space="preserve">.  Knowing that </w:t>
      </w:r>
      <w:r w:rsidRPr="00094120">
        <w:rPr>
          <w:b w:val="0"/>
          <w:bCs w:val="0"/>
        </w:rPr>
        <w:t>data excluded those parts of Jerusalem which were annexed by Israeli Occupation in 196</w:t>
      </w:r>
      <w:r w:rsidRPr="00094120">
        <w:rPr>
          <w:b w:val="0"/>
          <w:bCs w:val="0"/>
          <w:rtl/>
        </w:rPr>
        <w:t>7</w:t>
      </w:r>
      <w:r>
        <w:rPr>
          <w:b w:val="0"/>
          <w:bCs w:val="0"/>
        </w:rPr>
        <w:t>.</w:t>
      </w:r>
    </w:p>
    <w:p w:rsidR="002320C6" w:rsidRPr="008F7696" w:rsidRDefault="002320C6" w:rsidP="002320C6">
      <w:pPr>
        <w:pStyle w:val="NormalWeb"/>
        <w:shd w:val="clear" w:color="auto" w:fill="FFFFFF"/>
        <w:spacing w:before="0" w:beforeAutospacing="0" w:after="0" w:afterAutospacing="0"/>
        <w:jc w:val="both"/>
        <w:rPr>
          <w:sz w:val="16"/>
          <w:szCs w:val="16"/>
          <w:lang w:eastAsia="ar-SA"/>
        </w:rPr>
      </w:pPr>
    </w:p>
    <w:p w:rsidR="002320C6" w:rsidRPr="00C26DCF" w:rsidRDefault="002320C6" w:rsidP="002320C6">
      <w:pPr>
        <w:bidi w:val="0"/>
        <w:jc w:val="both"/>
        <w:rPr>
          <w:b/>
          <w:bCs/>
          <w:sz w:val="25"/>
          <w:szCs w:val="25"/>
          <w:rtl/>
        </w:rPr>
      </w:pPr>
      <w:r w:rsidRPr="00C26DCF">
        <w:rPr>
          <w:b/>
          <w:bCs/>
          <w:sz w:val="25"/>
          <w:szCs w:val="25"/>
        </w:rPr>
        <w:t xml:space="preserve">Economics of plastic sector </w:t>
      </w:r>
    </w:p>
    <w:p w:rsidR="002320C6" w:rsidRDefault="002320C6" w:rsidP="002320C6">
      <w:pPr>
        <w:bidi w:val="0"/>
        <w:jc w:val="both"/>
        <w:rPr>
          <w:rFonts w:asciiTheme="majorBidi" w:hAnsiTheme="majorBidi" w:cstheme="majorBidi"/>
        </w:rPr>
      </w:pPr>
      <w:r w:rsidRPr="00543962">
        <w:t>Data of Ministry of Local Government</w:t>
      </w:r>
      <w:r>
        <w:t xml:space="preserve"> report</w:t>
      </w:r>
      <w:r>
        <w:rPr>
          <w:rFonts w:asciiTheme="majorBidi" w:hAnsiTheme="majorBidi" w:cstheme="majorBidi"/>
        </w:rPr>
        <w:t xml:space="preserve"> showed that plastic formed about 14.6% of the total solid waste in the West Bank and 12.0% of the total solid waste in Gaza Strip.</w:t>
      </w:r>
    </w:p>
    <w:p w:rsidR="002320C6" w:rsidRPr="008F7696" w:rsidRDefault="002320C6" w:rsidP="002320C6">
      <w:pPr>
        <w:bidi w:val="0"/>
        <w:jc w:val="both"/>
        <w:rPr>
          <w:rFonts w:asciiTheme="majorBidi" w:hAnsiTheme="majorBidi" w:cstheme="majorBidi"/>
          <w:sz w:val="16"/>
          <w:szCs w:val="16"/>
        </w:rPr>
      </w:pPr>
    </w:p>
    <w:p w:rsidR="002320C6" w:rsidRDefault="002320C6" w:rsidP="002320C6">
      <w:pPr>
        <w:bidi w:val="0"/>
        <w:jc w:val="both"/>
        <w:rPr>
          <w:rFonts w:asciiTheme="majorBidi" w:hAnsiTheme="majorBidi" w:cstheme="majorBidi"/>
        </w:rPr>
      </w:pPr>
      <w:r w:rsidRPr="002F305A">
        <w:t>Data of Census 2017 showed that</w:t>
      </w:r>
      <w:r>
        <w:rPr>
          <w:rFonts w:asciiTheme="majorBidi" w:hAnsiTheme="majorBidi" w:cstheme="majorBidi"/>
        </w:rPr>
        <w:t xml:space="preserve"> there are 327 plastic establishments working in Palestine during 2017 (out of 158,573 establishments in Palestine) and there are 2,361 employed persons in this field (out of 444,034 employed persons in Palestine).</w:t>
      </w:r>
    </w:p>
    <w:p w:rsidR="002320C6" w:rsidRPr="008F7696" w:rsidRDefault="002320C6" w:rsidP="002320C6">
      <w:pPr>
        <w:bidi w:val="0"/>
        <w:jc w:val="both"/>
        <w:rPr>
          <w:rFonts w:asciiTheme="majorBidi" w:hAnsiTheme="majorBidi" w:cstheme="majorBidi"/>
          <w:sz w:val="16"/>
          <w:szCs w:val="16"/>
        </w:rPr>
      </w:pPr>
    </w:p>
    <w:p w:rsidR="002320C6" w:rsidRDefault="002320C6" w:rsidP="002320C6">
      <w:pPr>
        <w:autoSpaceDE w:val="0"/>
        <w:autoSpaceDN w:val="0"/>
        <w:bidi w:val="0"/>
        <w:jc w:val="both"/>
      </w:pPr>
      <w:r>
        <w:t>The value added of the plastic establishments in Palestine reached USD 56,931.8 thousands during 2016, out of the value added of the industry sector in Palestine which reached USD 1,776,667.2 thousands.</w:t>
      </w:r>
    </w:p>
    <w:p w:rsidR="002320C6" w:rsidRPr="008F7696" w:rsidRDefault="002320C6" w:rsidP="002320C6">
      <w:pPr>
        <w:autoSpaceDE w:val="0"/>
        <w:autoSpaceDN w:val="0"/>
        <w:bidi w:val="0"/>
        <w:jc w:val="both"/>
        <w:rPr>
          <w:sz w:val="16"/>
          <w:szCs w:val="16"/>
        </w:rPr>
      </w:pPr>
    </w:p>
    <w:p w:rsidR="002320C6" w:rsidRPr="00AC2B53" w:rsidRDefault="002320C6" w:rsidP="002320C6">
      <w:pPr>
        <w:autoSpaceDE w:val="0"/>
        <w:autoSpaceDN w:val="0"/>
        <w:bidi w:val="0"/>
        <w:jc w:val="both"/>
      </w:pPr>
      <w:r>
        <w:t xml:space="preserve">Data of 2016 showed that the total imports of raw plastic reached USD 15.1 million in 2016 compared to USD 16.4 million in 2015.  Knowing that </w:t>
      </w:r>
      <w:r w:rsidRPr="00094120">
        <w:t>data excluded those parts of Jerusalem which were annexed by Israeli Occupation in 196</w:t>
      </w:r>
      <w:r w:rsidRPr="00094120">
        <w:rPr>
          <w:rtl/>
        </w:rPr>
        <w:t>7</w:t>
      </w:r>
      <w:r>
        <w:t>.</w:t>
      </w:r>
    </w:p>
    <w:p w:rsidR="002320C6" w:rsidRDefault="002320C6" w:rsidP="002320C6">
      <w:pPr>
        <w:pStyle w:val="NormalWeb"/>
        <w:shd w:val="clear" w:color="auto" w:fill="FFFFFF"/>
        <w:spacing w:before="0" w:beforeAutospacing="0" w:after="0" w:afterAutospacing="0"/>
        <w:jc w:val="both"/>
        <w:rPr>
          <w:sz w:val="16"/>
          <w:szCs w:val="16"/>
          <w:lang w:eastAsia="ar-SA"/>
        </w:rPr>
      </w:pPr>
    </w:p>
    <w:p w:rsidR="002320C6" w:rsidRDefault="002320C6" w:rsidP="002320C6">
      <w:pPr>
        <w:pStyle w:val="NormalWeb"/>
        <w:shd w:val="clear" w:color="auto" w:fill="FFFFFF"/>
        <w:spacing w:before="0" w:beforeAutospacing="0" w:after="0" w:afterAutospacing="0"/>
        <w:jc w:val="both"/>
        <w:rPr>
          <w:sz w:val="16"/>
          <w:szCs w:val="16"/>
          <w:lang w:eastAsia="ar-SA"/>
        </w:rPr>
      </w:pPr>
    </w:p>
    <w:p w:rsidR="002320C6" w:rsidRDefault="002320C6" w:rsidP="002320C6">
      <w:pPr>
        <w:pStyle w:val="NormalWeb"/>
        <w:shd w:val="clear" w:color="auto" w:fill="FFFFFF"/>
        <w:spacing w:before="0" w:beforeAutospacing="0" w:after="0" w:afterAutospacing="0"/>
        <w:jc w:val="both"/>
        <w:rPr>
          <w:sz w:val="16"/>
          <w:szCs w:val="16"/>
          <w:lang w:eastAsia="ar-SA"/>
        </w:rPr>
      </w:pPr>
    </w:p>
    <w:p w:rsidR="002320C6" w:rsidRDefault="002320C6" w:rsidP="002320C6">
      <w:pPr>
        <w:pStyle w:val="NormalWeb"/>
        <w:shd w:val="clear" w:color="auto" w:fill="FFFFFF"/>
        <w:spacing w:before="0" w:beforeAutospacing="0" w:after="0" w:afterAutospacing="0"/>
        <w:jc w:val="both"/>
        <w:rPr>
          <w:sz w:val="16"/>
          <w:szCs w:val="16"/>
          <w:lang w:eastAsia="ar-SA"/>
        </w:rPr>
      </w:pPr>
    </w:p>
    <w:p w:rsidR="002320C6" w:rsidRDefault="002320C6" w:rsidP="002320C6">
      <w:pPr>
        <w:pStyle w:val="NormalWeb"/>
        <w:shd w:val="clear" w:color="auto" w:fill="FFFFFF"/>
        <w:spacing w:before="0" w:beforeAutospacing="0" w:after="0" w:afterAutospacing="0"/>
        <w:jc w:val="both"/>
        <w:rPr>
          <w:sz w:val="16"/>
          <w:szCs w:val="16"/>
          <w:lang w:eastAsia="ar-SA"/>
        </w:rPr>
      </w:pPr>
    </w:p>
    <w:p w:rsidR="00D002B0" w:rsidRDefault="002320C6">
      <w:pPr>
        <w:rPr>
          <w:rFonts w:hint="cs"/>
        </w:rPr>
      </w:pPr>
      <w:r>
        <w:rPr>
          <w:rFonts w:hint="cs"/>
          <w:rtl/>
        </w:rPr>
        <w:t xml:space="preserve"> </w:t>
      </w:r>
    </w:p>
    <w:sectPr w:rsidR="00D002B0" w:rsidSect="002320C6">
      <w:footerReference w:type="even" r:id="rId9"/>
      <w:footerReference w:type="default" r:id="rId10"/>
      <w:pgSz w:w="11906" w:h="16838"/>
      <w:pgMar w:top="910" w:right="720" w:bottom="720" w:left="720" w:header="285" w:footer="709" w:gutter="0"/>
      <w:cols w:space="709"/>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C89" w:rsidRDefault="000B7C89" w:rsidP="002320C6">
      <w:r>
        <w:separator/>
      </w:r>
    </w:p>
  </w:endnote>
  <w:endnote w:type="continuationSeparator" w:id="0">
    <w:p w:rsidR="000B7C89" w:rsidRDefault="000B7C89" w:rsidP="00232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0EC" w:rsidRDefault="000B7C89" w:rsidP="00C9569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5E20EC" w:rsidRDefault="000B7C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0EC" w:rsidRDefault="000B7C89" w:rsidP="00C9569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C26DCF">
      <w:rPr>
        <w:rStyle w:val="PageNumber"/>
        <w:noProof/>
        <w:rtl/>
      </w:rPr>
      <w:t>1</w:t>
    </w:r>
    <w:r>
      <w:rPr>
        <w:rStyle w:val="PageNumber"/>
        <w:rtl/>
      </w:rPr>
      <w:fldChar w:fldCharType="end"/>
    </w:r>
  </w:p>
  <w:p w:rsidR="005E20EC" w:rsidRDefault="000B7C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C89" w:rsidRDefault="000B7C89" w:rsidP="002320C6">
      <w:r>
        <w:separator/>
      </w:r>
    </w:p>
  </w:footnote>
  <w:footnote w:type="continuationSeparator" w:id="0">
    <w:p w:rsidR="000B7C89" w:rsidRDefault="000B7C89" w:rsidP="00232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2320C6"/>
    <w:rsid w:val="000B7C89"/>
    <w:rsid w:val="002320C6"/>
    <w:rsid w:val="004C7DB1"/>
    <w:rsid w:val="00C26DCF"/>
    <w:rsid w:val="00D002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C6"/>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320C6"/>
    <w:pPr>
      <w:jc w:val="center"/>
    </w:pPr>
    <w:rPr>
      <w:rFonts w:cs="Simplified Arabic"/>
      <w:b/>
      <w:bCs/>
    </w:rPr>
  </w:style>
  <w:style w:type="character" w:customStyle="1" w:styleId="TitleChar">
    <w:name w:val="Title Char"/>
    <w:basedOn w:val="DefaultParagraphFont"/>
    <w:link w:val="Title"/>
    <w:uiPriority w:val="99"/>
    <w:rsid w:val="002320C6"/>
    <w:rPr>
      <w:rFonts w:ascii="Times New Roman" w:eastAsia="Times New Roman" w:hAnsi="Times New Roman" w:cs="Simplified Arabic"/>
      <w:b/>
      <w:bCs/>
      <w:sz w:val="24"/>
      <w:szCs w:val="24"/>
      <w:lang w:eastAsia="ar-SA"/>
    </w:rPr>
  </w:style>
  <w:style w:type="paragraph" w:styleId="Header">
    <w:name w:val="header"/>
    <w:basedOn w:val="Normal"/>
    <w:link w:val="HeaderChar"/>
    <w:uiPriority w:val="99"/>
    <w:rsid w:val="002320C6"/>
    <w:pPr>
      <w:tabs>
        <w:tab w:val="center" w:pos="4153"/>
        <w:tab w:val="right" w:pos="8306"/>
      </w:tabs>
    </w:pPr>
  </w:style>
  <w:style w:type="character" w:customStyle="1" w:styleId="HeaderChar">
    <w:name w:val="Header Char"/>
    <w:basedOn w:val="DefaultParagraphFont"/>
    <w:link w:val="Header"/>
    <w:uiPriority w:val="99"/>
    <w:rsid w:val="002320C6"/>
    <w:rPr>
      <w:rFonts w:ascii="Times New Roman" w:eastAsia="Times New Roman" w:hAnsi="Times New Roman" w:cs="Times New Roman"/>
      <w:sz w:val="24"/>
      <w:szCs w:val="24"/>
      <w:lang w:eastAsia="ar-SA"/>
    </w:rPr>
  </w:style>
  <w:style w:type="character" w:styleId="Hyperlink">
    <w:name w:val="Hyperlink"/>
    <w:basedOn w:val="DefaultParagraphFont"/>
    <w:rsid w:val="002320C6"/>
    <w:rPr>
      <w:strike w:val="0"/>
      <w:dstrike w:val="0"/>
      <w:color w:val="C9581E"/>
      <w:u w:val="none"/>
      <w:effect w:val="none"/>
    </w:rPr>
  </w:style>
  <w:style w:type="paragraph" w:styleId="Footer">
    <w:name w:val="footer"/>
    <w:basedOn w:val="Normal"/>
    <w:link w:val="FooterChar"/>
    <w:uiPriority w:val="99"/>
    <w:rsid w:val="002320C6"/>
    <w:pPr>
      <w:tabs>
        <w:tab w:val="center" w:pos="4153"/>
        <w:tab w:val="right" w:pos="8306"/>
      </w:tabs>
    </w:pPr>
  </w:style>
  <w:style w:type="character" w:customStyle="1" w:styleId="FooterChar">
    <w:name w:val="Footer Char"/>
    <w:basedOn w:val="DefaultParagraphFont"/>
    <w:link w:val="Footer"/>
    <w:uiPriority w:val="99"/>
    <w:rsid w:val="002320C6"/>
    <w:rPr>
      <w:rFonts w:ascii="Times New Roman" w:eastAsia="Times New Roman" w:hAnsi="Times New Roman" w:cs="Times New Roman"/>
      <w:sz w:val="24"/>
      <w:szCs w:val="24"/>
      <w:lang w:eastAsia="ar-SA"/>
    </w:rPr>
  </w:style>
  <w:style w:type="character" w:styleId="PageNumber">
    <w:name w:val="page number"/>
    <w:basedOn w:val="DefaultParagraphFont"/>
    <w:rsid w:val="002320C6"/>
  </w:style>
  <w:style w:type="table" w:styleId="TableGrid">
    <w:name w:val="Table Grid"/>
    <w:basedOn w:val="TableNormal"/>
    <w:rsid w:val="002320C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20C6"/>
    <w:pPr>
      <w:bidi w:val="0"/>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2320C6"/>
    <w:rPr>
      <w:rFonts w:ascii="Tahoma" w:hAnsi="Tahoma" w:cs="Tahoma"/>
      <w:sz w:val="16"/>
      <w:szCs w:val="16"/>
    </w:rPr>
  </w:style>
  <w:style w:type="character" w:customStyle="1" w:styleId="BalloonTextChar">
    <w:name w:val="Balloon Text Char"/>
    <w:basedOn w:val="DefaultParagraphFont"/>
    <w:link w:val="BalloonText"/>
    <w:uiPriority w:val="99"/>
    <w:semiHidden/>
    <w:rsid w:val="002320C6"/>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4574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908045202602503"/>
          <c:y val="0.10363185371059402"/>
          <c:w val="0.79596200419744656"/>
          <c:h val="0.58521704017764531"/>
        </c:manualLayout>
      </c:layout>
      <c:barChart>
        <c:barDir val="col"/>
        <c:grouping val="clustered"/>
        <c:ser>
          <c:idx val="0"/>
          <c:order val="0"/>
          <c:tx>
            <c:strRef>
              <c:f>Sheet1!$A$2</c:f>
              <c:strCache>
                <c:ptCount val="1"/>
              </c:strCache>
            </c:strRef>
          </c:tx>
          <c:spPr>
            <a:solidFill>
              <a:srgbClr val="9999FF"/>
            </a:solidFill>
            <a:ln w="6530">
              <a:solidFill>
                <a:srgbClr val="000000"/>
              </a:solidFill>
              <a:prstDash val="solid"/>
            </a:ln>
          </c:spPr>
          <c:dLbls>
            <c:spPr>
              <a:noFill/>
              <a:ln w="25366">
                <a:noFill/>
              </a:ln>
            </c:spPr>
            <c:txPr>
              <a:bodyPr/>
              <a:lstStyle/>
              <a:p>
                <a:pPr>
                  <a:defRPr sz="799" b="0" i="0" u="none" strike="noStrike" baseline="0">
                    <a:solidFill>
                      <a:srgbClr val="000000"/>
                    </a:solidFill>
                    <a:latin typeface="Arial"/>
                    <a:ea typeface="Arial"/>
                    <a:cs typeface="Arial"/>
                  </a:defRPr>
                </a:pPr>
                <a:endParaRPr lang="ar-SA"/>
              </a:p>
            </c:txPr>
            <c:showVal val="1"/>
          </c:dLbls>
          <c:cat>
            <c:strRef>
              <c:f>Sheet1!$B$1:$C$1</c:f>
              <c:strCache>
                <c:ptCount val="2"/>
                <c:pt idx="0">
                  <c:v>West Bank</c:v>
                </c:pt>
                <c:pt idx="1">
                  <c:v>Gaza Strip</c:v>
                </c:pt>
              </c:strCache>
            </c:strRef>
          </c:cat>
          <c:val>
            <c:numRef>
              <c:f>Sheet1!$B$2:$C$2</c:f>
              <c:numCache>
                <c:formatCode>0.0</c:formatCode>
                <c:ptCount val="2"/>
                <c:pt idx="0" formatCode="General">
                  <c:v>94.7</c:v>
                </c:pt>
                <c:pt idx="1">
                  <c:v>98.7</c:v>
                </c:pt>
              </c:numCache>
            </c:numRef>
          </c:val>
        </c:ser>
        <c:dLbls>
          <c:showVal val="1"/>
        </c:dLbls>
        <c:axId val="53079040"/>
        <c:axId val="53542272"/>
      </c:barChart>
      <c:catAx>
        <c:axId val="53079040"/>
        <c:scaling>
          <c:orientation val="minMax"/>
        </c:scaling>
        <c:axPos val="b"/>
        <c:title>
          <c:tx>
            <c:rich>
              <a:bodyPr/>
              <a:lstStyle/>
              <a:p>
                <a:pPr>
                  <a:defRPr sz="799" b="1" i="0" u="none" strike="noStrike" baseline="0">
                    <a:solidFill>
                      <a:srgbClr val="000000"/>
                    </a:solidFill>
                    <a:latin typeface="Arial"/>
                    <a:ea typeface="Arial"/>
                    <a:cs typeface="Arial"/>
                  </a:defRPr>
                </a:pPr>
                <a:r>
                  <a:rPr lang="en-US"/>
                  <a:t>Region</a:t>
                </a:r>
                <a:endParaRPr lang="ar-SA"/>
              </a:p>
            </c:rich>
          </c:tx>
          <c:layout>
            <c:manualLayout>
              <c:xMode val="edge"/>
              <c:yMode val="edge"/>
              <c:x val="0.4628918454158748"/>
              <c:y val="0.9088015921086956"/>
            </c:manualLayout>
          </c:layout>
          <c:spPr>
            <a:noFill/>
            <a:ln w="25366">
              <a:noFill/>
            </a:ln>
          </c:spPr>
        </c:title>
        <c:numFmt formatCode="General" sourceLinked="1"/>
        <c:tickLblPos val="nextTo"/>
        <c:spPr>
          <a:ln w="1633">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ar-SA"/>
          </a:p>
        </c:txPr>
        <c:crossAx val="53542272"/>
        <c:crosses val="autoZero"/>
        <c:auto val="1"/>
        <c:lblAlgn val="ctr"/>
        <c:lblOffset val="100"/>
        <c:tickLblSkip val="1"/>
        <c:tickMarkSkip val="1"/>
      </c:catAx>
      <c:valAx>
        <c:axId val="53542272"/>
        <c:scaling>
          <c:orientation val="minMax"/>
          <c:max val="100"/>
          <c:min val="0"/>
        </c:scaling>
        <c:axPos val="l"/>
        <c:title>
          <c:tx>
            <c:rich>
              <a:bodyPr rot="-5400000" vert="horz"/>
              <a:lstStyle/>
              <a:p>
                <a:pPr>
                  <a:defRPr sz="900"/>
                </a:pPr>
                <a:r>
                  <a:rPr lang="en-US" sz="900"/>
                  <a:t>%</a:t>
                </a:r>
              </a:p>
            </c:rich>
          </c:tx>
          <c:layout>
            <c:manualLayout>
              <c:xMode val="edge"/>
              <c:yMode val="edge"/>
              <c:x val="5.0602631336829587E-2"/>
              <c:y val="0.31829224471941031"/>
            </c:manualLayout>
          </c:layout>
        </c:title>
        <c:numFmt formatCode="0" sourceLinked="0"/>
        <c:tickLblPos val="nextTo"/>
        <c:spPr>
          <a:ln w="1633">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ar-SA"/>
          </a:p>
        </c:txPr>
        <c:crossAx val="53079040"/>
        <c:crosses val="autoZero"/>
        <c:crossBetween val="between"/>
        <c:majorUnit val="25"/>
        <c:minorUnit val="5"/>
      </c:valAx>
      <c:spPr>
        <a:noFill/>
        <a:ln w="25400">
          <a:noFill/>
        </a:ln>
      </c:spPr>
    </c:plotArea>
    <c:plotVisOnly val="1"/>
    <c:dispBlanksAs val="gap"/>
  </c:chart>
  <c:spPr>
    <a:noFill/>
    <a:ln>
      <a:noFill/>
    </a:ln>
  </c:spPr>
  <c:txPr>
    <a:bodyPr/>
    <a:lstStyle/>
    <a:p>
      <a:pPr>
        <a:defRPr sz="439" b="0" i="0" u="none" strike="noStrike" baseline="0">
          <a:solidFill>
            <a:srgbClr val="000000"/>
          </a:solidFill>
          <a:latin typeface="Arial"/>
          <a:ea typeface="Arial"/>
          <a:cs typeface="Arial"/>
        </a:defRPr>
      </a:pPr>
      <a:endParaRPr lang="ar-SA"/>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0.16978655241624221"/>
          <c:y val="8.2119228439640313E-2"/>
          <c:w val="0.8133819669600123"/>
          <c:h val="0.41319536628602055"/>
        </c:manualLayout>
      </c:layout>
      <c:barChart>
        <c:barDir val="col"/>
        <c:grouping val="clustered"/>
        <c:ser>
          <c:idx val="0"/>
          <c:order val="0"/>
          <c:tx>
            <c:strRef>
              <c:f>Sheet1!$B$1</c:f>
              <c:strCache>
                <c:ptCount val="1"/>
                <c:pt idx="0">
                  <c:v>West Bank</c:v>
                </c:pt>
              </c:strCache>
            </c:strRef>
          </c:tx>
          <c:spPr>
            <a:noFill/>
            <a:ln w="12700" cmpd="sng">
              <a:solidFill>
                <a:srgbClr val="4F81BD"/>
              </a:solidFill>
            </a:ln>
          </c:spPr>
          <c:cat>
            <c:strRef>
              <c:f>Sheet1!$A$2:$A$7</c:f>
              <c:strCache>
                <c:ptCount val="6"/>
                <c:pt idx="0">
                  <c:v>Organics</c:v>
                </c:pt>
                <c:pt idx="1">
                  <c:v>Paper &amp; Cartoons</c:v>
                </c:pt>
                <c:pt idx="2">
                  <c:v>Plastic</c:v>
                </c:pt>
                <c:pt idx="3">
                  <c:v>Glass</c:v>
                </c:pt>
                <c:pt idx="4">
                  <c:v>Metals</c:v>
                </c:pt>
                <c:pt idx="5">
                  <c:v>others</c:v>
                </c:pt>
              </c:strCache>
            </c:strRef>
          </c:cat>
          <c:val>
            <c:numRef>
              <c:f>Sheet1!$B$2:$B$7</c:f>
              <c:numCache>
                <c:formatCode>General</c:formatCode>
                <c:ptCount val="6"/>
                <c:pt idx="0">
                  <c:v>50</c:v>
                </c:pt>
                <c:pt idx="1">
                  <c:v>12.5</c:v>
                </c:pt>
                <c:pt idx="2">
                  <c:v>14.6</c:v>
                </c:pt>
                <c:pt idx="3">
                  <c:v>1.9000000000000001</c:v>
                </c:pt>
                <c:pt idx="4">
                  <c:v>2.4</c:v>
                </c:pt>
                <c:pt idx="5">
                  <c:v>18.600000000000001</c:v>
                </c:pt>
              </c:numCache>
            </c:numRef>
          </c:val>
        </c:ser>
        <c:ser>
          <c:idx val="1"/>
          <c:order val="1"/>
          <c:tx>
            <c:strRef>
              <c:f>Sheet1!$C$1</c:f>
              <c:strCache>
                <c:ptCount val="1"/>
                <c:pt idx="0">
                  <c:v>Gaza Strip</c:v>
                </c:pt>
              </c:strCache>
            </c:strRef>
          </c:tx>
          <c:cat>
            <c:strRef>
              <c:f>Sheet1!$A$2:$A$7</c:f>
              <c:strCache>
                <c:ptCount val="6"/>
                <c:pt idx="0">
                  <c:v>Organics</c:v>
                </c:pt>
                <c:pt idx="1">
                  <c:v>Paper &amp; Cartoons</c:v>
                </c:pt>
                <c:pt idx="2">
                  <c:v>Plastic</c:v>
                </c:pt>
                <c:pt idx="3">
                  <c:v>Glass</c:v>
                </c:pt>
                <c:pt idx="4">
                  <c:v>Metals</c:v>
                </c:pt>
                <c:pt idx="5">
                  <c:v>others</c:v>
                </c:pt>
              </c:strCache>
            </c:strRef>
          </c:cat>
          <c:val>
            <c:numRef>
              <c:f>Sheet1!$C$2:$C$7</c:f>
              <c:numCache>
                <c:formatCode>General</c:formatCode>
                <c:ptCount val="6"/>
                <c:pt idx="0">
                  <c:v>59</c:v>
                </c:pt>
                <c:pt idx="1">
                  <c:v>15</c:v>
                </c:pt>
                <c:pt idx="2">
                  <c:v>12</c:v>
                </c:pt>
                <c:pt idx="3">
                  <c:v>4</c:v>
                </c:pt>
                <c:pt idx="4">
                  <c:v>4</c:v>
                </c:pt>
                <c:pt idx="5">
                  <c:v>6</c:v>
                </c:pt>
              </c:numCache>
            </c:numRef>
          </c:val>
        </c:ser>
        <c:axId val="54691328"/>
        <c:axId val="55211136"/>
      </c:barChart>
      <c:catAx>
        <c:axId val="54691328"/>
        <c:scaling>
          <c:orientation val="minMax"/>
        </c:scaling>
        <c:axPos val="b"/>
        <c:tickLblPos val="nextTo"/>
        <c:txPr>
          <a:bodyPr/>
          <a:lstStyle/>
          <a:p>
            <a:pPr>
              <a:defRPr sz="900"/>
            </a:pPr>
            <a:endParaRPr lang="ar-SA"/>
          </a:p>
        </c:txPr>
        <c:crossAx val="55211136"/>
        <c:crosses val="autoZero"/>
        <c:auto val="1"/>
        <c:lblAlgn val="ctr"/>
        <c:lblOffset val="100"/>
      </c:catAx>
      <c:valAx>
        <c:axId val="55211136"/>
        <c:scaling>
          <c:orientation val="minMax"/>
        </c:scaling>
        <c:axPos val="l"/>
        <c:title>
          <c:tx>
            <c:rich>
              <a:bodyPr rot="-5400000" vert="horz"/>
              <a:lstStyle/>
              <a:p>
                <a:pPr>
                  <a:defRPr/>
                </a:pPr>
                <a:r>
                  <a:rPr lang="ar-SA"/>
                  <a:t>%</a:t>
                </a:r>
                <a:endParaRPr lang="en-US"/>
              </a:p>
            </c:rich>
          </c:tx>
        </c:title>
        <c:numFmt formatCode="General" sourceLinked="1"/>
        <c:tickLblPos val="nextTo"/>
        <c:txPr>
          <a:bodyPr/>
          <a:lstStyle/>
          <a:p>
            <a:pPr>
              <a:defRPr sz="900"/>
            </a:pPr>
            <a:endParaRPr lang="ar-SA"/>
          </a:p>
        </c:txPr>
        <c:crossAx val="54691328"/>
        <c:crosses val="autoZero"/>
        <c:crossBetween val="between"/>
      </c:valAx>
    </c:plotArea>
    <c:legend>
      <c:legendPos val="r"/>
      <c:layout>
        <c:manualLayout>
          <c:xMode val="edge"/>
          <c:yMode val="edge"/>
          <c:x val="0.30045545277714081"/>
          <c:y val="9.9978451288263728E-2"/>
          <c:w val="0.61324465509772463"/>
          <c:h val="0.16394842286726438"/>
        </c:manualLayout>
      </c:layout>
      <c:txPr>
        <a:bodyPr/>
        <a:lstStyle/>
        <a:p>
          <a:pPr>
            <a:defRPr sz="900"/>
          </a:pPr>
          <a:endParaRPr lang="ar-SA"/>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402020092316047"/>
          <c:y val="0.10363185371059402"/>
          <c:w val="0.84656457597972656"/>
          <c:h val="0.58521704017764586"/>
        </c:manualLayout>
      </c:layout>
      <c:barChart>
        <c:barDir val="col"/>
        <c:grouping val="clustered"/>
        <c:ser>
          <c:idx val="0"/>
          <c:order val="0"/>
          <c:tx>
            <c:strRef>
              <c:f>Sheet1!$A$2</c:f>
              <c:strCache>
                <c:ptCount val="1"/>
              </c:strCache>
            </c:strRef>
          </c:tx>
          <c:spPr>
            <a:solidFill>
              <a:srgbClr val="9999FF"/>
            </a:solidFill>
            <a:ln w="6530">
              <a:solidFill>
                <a:srgbClr val="000000"/>
              </a:solidFill>
              <a:prstDash val="solid"/>
            </a:ln>
          </c:spPr>
          <c:dLbls>
            <c:spPr>
              <a:noFill/>
              <a:ln w="25366">
                <a:noFill/>
              </a:ln>
            </c:spPr>
            <c:txPr>
              <a:bodyPr/>
              <a:lstStyle/>
              <a:p>
                <a:pPr>
                  <a:defRPr sz="799" b="0" i="0" u="none" strike="noStrike" baseline="0">
                    <a:solidFill>
                      <a:srgbClr val="000000"/>
                    </a:solidFill>
                    <a:latin typeface="Arial"/>
                    <a:ea typeface="Arial"/>
                    <a:cs typeface="Arial"/>
                  </a:defRPr>
                </a:pPr>
                <a:endParaRPr lang="ar-SA"/>
              </a:p>
            </c:txPr>
            <c:showVal val="1"/>
          </c:dLbls>
          <c:cat>
            <c:strRef>
              <c:f>Sheet1!$B$1:$C$1</c:f>
              <c:strCache>
                <c:ptCount val="2"/>
                <c:pt idx="0">
                  <c:v>West Bank</c:v>
                </c:pt>
                <c:pt idx="1">
                  <c:v>Gaza Strip</c:v>
                </c:pt>
              </c:strCache>
            </c:strRef>
          </c:cat>
          <c:val>
            <c:numRef>
              <c:f>Sheet1!$B$2:$C$2</c:f>
              <c:numCache>
                <c:formatCode>0.0</c:formatCode>
                <c:ptCount val="2"/>
                <c:pt idx="0" formatCode="General">
                  <c:v>95.1</c:v>
                </c:pt>
                <c:pt idx="1">
                  <c:v>11.4</c:v>
                </c:pt>
              </c:numCache>
            </c:numRef>
          </c:val>
        </c:ser>
        <c:dLbls>
          <c:showVal val="1"/>
        </c:dLbls>
        <c:axId val="84145664"/>
        <c:axId val="84488192"/>
      </c:barChart>
      <c:catAx>
        <c:axId val="84145664"/>
        <c:scaling>
          <c:orientation val="minMax"/>
        </c:scaling>
        <c:axPos val="b"/>
        <c:title>
          <c:tx>
            <c:rich>
              <a:bodyPr/>
              <a:lstStyle/>
              <a:p>
                <a:pPr>
                  <a:defRPr sz="799" b="1" i="0" u="none" strike="noStrike" baseline="0">
                    <a:solidFill>
                      <a:srgbClr val="000000"/>
                    </a:solidFill>
                    <a:latin typeface="Arial"/>
                    <a:ea typeface="Arial"/>
                    <a:cs typeface="Arial"/>
                  </a:defRPr>
                </a:pPr>
                <a:r>
                  <a:rPr lang="en-US"/>
                  <a:t>Region</a:t>
                </a:r>
                <a:endParaRPr lang="ar-SA"/>
              </a:p>
            </c:rich>
          </c:tx>
          <c:layout>
            <c:manualLayout>
              <c:xMode val="edge"/>
              <c:yMode val="edge"/>
              <c:x val="0.4628918454158748"/>
              <c:y val="0.90880159210869471"/>
            </c:manualLayout>
          </c:layout>
          <c:spPr>
            <a:noFill/>
            <a:ln w="25366">
              <a:noFill/>
            </a:ln>
          </c:spPr>
        </c:title>
        <c:numFmt formatCode="General" sourceLinked="1"/>
        <c:tickLblPos val="nextTo"/>
        <c:spPr>
          <a:ln w="1633">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ar-SA"/>
          </a:p>
        </c:txPr>
        <c:crossAx val="84488192"/>
        <c:crosses val="autoZero"/>
        <c:auto val="1"/>
        <c:lblAlgn val="ctr"/>
        <c:lblOffset val="100"/>
        <c:tickLblSkip val="1"/>
        <c:tickMarkSkip val="1"/>
      </c:catAx>
      <c:valAx>
        <c:axId val="84488192"/>
        <c:scaling>
          <c:orientation val="minMax"/>
          <c:max val="100"/>
          <c:min val="0"/>
        </c:scaling>
        <c:axPos val="l"/>
        <c:title>
          <c:tx>
            <c:rich>
              <a:bodyPr rot="-5400000" vert="horz"/>
              <a:lstStyle/>
              <a:p>
                <a:pPr>
                  <a:defRPr sz="900"/>
                </a:pPr>
                <a:r>
                  <a:rPr lang="en-US" sz="900"/>
                  <a:t>%</a:t>
                </a:r>
              </a:p>
            </c:rich>
          </c:tx>
        </c:title>
        <c:numFmt formatCode="0" sourceLinked="0"/>
        <c:tickLblPos val="nextTo"/>
        <c:spPr>
          <a:ln w="1633">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ar-SA"/>
          </a:p>
        </c:txPr>
        <c:crossAx val="84145664"/>
        <c:crosses val="autoZero"/>
        <c:crossBetween val="between"/>
        <c:majorUnit val="25"/>
        <c:minorUnit val="5"/>
      </c:valAx>
      <c:spPr>
        <a:noFill/>
        <a:ln w="25400">
          <a:noFill/>
        </a:ln>
      </c:spPr>
    </c:plotArea>
    <c:plotVisOnly val="1"/>
    <c:dispBlanksAs val="gap"/>
  </c:chart>
  <c:spPr>
    <a:noFill/>
    <a:ln>
      <a:noFill/>
    </a:ln>
  </c:spPr>
  <c:txPr>
    <a:bodyPr/>
    <a:lstStyle/>
    <a:p>
      <a:pPr>
        <a:defRPr sz="439" b="0" i="0" u="none" strike="noStrike" baseline="0">
          <a:solidFill>
            <a:srgbClr val="000000"/>
          </a:solidFill>
          <a:latin typeface="Arial"/>
          <a:ea typeface="Arial"/>
          <a:cs typeface="Arial"/>
        </a:defRPr>
      </a:pPr>
      <a:endParaRPr lang="ar-SA"/>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hbadran</cp:lastModifiedBy>
  <cp:revision>1</cp:revision>
  <dcterms:created xsi:type="dcterms:W3CDTF">2018-06-03T10:30:00Z</dcterms:created>
  <dcterms:modified xsi:type="dcterms:W3CDTF">2018-06-03T10:44:00Z</dcterms:modified>
</cp:coreProperties>
</file>