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3F" w:rsidRPr="001742FC" w:rsidRDefault="00A80C5C" w:rsidP="00F157CD">
      <w:pPr>
        <w:jc w:val="center"/>
        <w:rPr>
          <w:b/>
          <w:bCs/>
          <w:sz w:val="24"/>
          <w:szCs w:val="24"/>
        </w:rPr>
      </w:pPr>
      <w:bookmarkStart w:id="0" w:name="_Toc481377287"/>
      <w:bookmarkStart w:id="1" w:name="_Toc481475296"/>
      <w:bookmarkStart w:id="2" w:name="_Toc129783694"/>
      <w:bookmarkStart w:id="3" w:name="_Toc482007005"/>
      <w:bookmarkStart w:id="4" w:name="_Toc482007097"/>
      <w:bookmarkStart w:id="5" w:name="_Toc482092685"/>
      <w:bookmarkStart w:id="6" w:name="_Toc482153143"/>
      <w:bookmarkStart w:id="7" w:name="_Toc482153204"/>
      <w:r w:rsidRPr="001742FC">
        <w:rPr>
          <w:b/>
          <w:bCs/>
          <w:sz w:val="28"/>
          <w:szCs w:val="28"/>
        </w:rPr>
        <w:t xml:space="preserve">Palestinian Central Bureau of Statistics (PCBS) </w:t>
      </w:r>
      <w:r w:rsidR="00ED4B05" w:rsidRPr="001742FC">
        <w:rPr>
          <w:b/>
          <w:bCs/>
          <w:sz w:val="28"/>
          <w:szCs w:val="28"/>
        </w:rPr>
        <w:t>Announces</w:t>
      </w:r>
      <w:r w:rsidR="00ED4B05" w:rsidRPr="001742FC">
        <w:rPr>
          <w:b/>
          <w:bCs/>
          <w:sz w:val="28"/>
          <w:szCs w:val="28"/>
          <w:rtl/>
        </w:rPr>
        <w:t xml:space="preserve"> </w:t>
      </w:r>
      <w:r w:rsidR="00ED4B05" w:rsidRPr="001742FC">
        <w:rPr>
          <w:b/>
          <w:bCs/>
          <w:sz w:val="28"/>
          <w:szCs w:val="28"/>
        </w:rPr>
        <w:t xml:space="preserve">Results </w:t>
      </w:r>
      <w:r w:rsidRPr="001742FC">
        <w:rPr>
          <w:b/>
          <w:bCs/>
          <w:sz w:val="28"/>
          <w:szCs w:val="28"/>
        </w:rPr>
        <w:t xml:space="preserve">of </w:t>
      </w:r>
      <w:r w:rsidR="00AD313B" w:rsidRPr="001742FC">
        <w:rPr>
          <w:b/>
          <w:bCs/>
          <w:sz w:val="28"/>
          <w:szCs w:val="28"/>
        </w:rPr>
        <w:t xml:space="preserve">Impact of </w:t>
      </w:r>
      <w:r w:rsidR="00F157CD" w:rsidRPr="001742FC">
        <w:rPr>
          <w:b/>
          <w:bCs/>
          <w:sz w:val="28"/>
          <w:szCs w:val="28"/>
        </w:rPr>
        <w:t>COVID-</w:t>
      </w:r>
      <w:r w:rsidR="00AD313B" w:rsidRPr="001742FC">
        <w:rPr>
          <w:b/>
          <w:bCs/>
          <w:sz w:val="28"/>
          <w:szCs w:val="28"/>
        </w:rPr>
        <w:t>19 Pandemic (Coronavirus) on the Socio-economic Conditions of Palestinian Households Survey (March-May), 2020</w:t>
      </w:r>
    </w:p>
    <w:p w:rsidR="00A80C5C" w:rsidRPr="001742FC" w:rsidRDefault="00A80C5C" w:rsidP="00A80C5C">
      <w:pPr>
        <w:jc w:val="center"/>
        <w:rPr>
          <w:rFonts w:ascii="Simplified Arabic" w:hAnsi="Simplified Arabic" w:cs="Simplified Arabic"/>
          <w:b/>
          <w:bCs/>
          <w:sz w:val="24"/>
          <w:szCs w:val="24"/>
          <w:rtl/>
        </w:rPr>
      </w:pPr>
    </w:p>
    <w:p w:rsidR="005E76E1" w:rsidRPr="001742FC" w:rsidRDefault="00C9218E" w:rsidP="00F157CD">
      <w:pPr>
        <w:jc w:val="lowKashida"/>
        <w:rPr>
          <w:sz w:val="24"/>
          <w:szCs w:val="24"/>
        </w:rPr>
      </w:pPr>
      <w:r w:rsidRPr="001742FC">
        <w:rPr>
          <w:sz w:val="24"/>
          <w:szCs w:val="24"/>
        </w:rPr>
        <w:t xml:space="preserve">Palestinian Central Bureau of Statistics (PCBS) took the responsibility to implement a household survey to measure the impact of </w:t>
      </w:r>
      <w:r w:rsidR="00F157CD" w:rsidRPr="001742FC">
        <w:rPr>
          <w:sz w:val="24"/>
          <w:szCs w:val="24"/>
        </w:rPr>
        <w:t>COVID-</w:t>
      </w:r>
      <w:r w:rsidRPr="001742FC">
        <w:rPr>
          <w:sz w:val="24"/>
          <w:szCs w:val="24"/>
        </w:rPr>
        <w:t>19 pandemic (Coronavirus) on the Palestinian households socio-economic conditions</w:t>
      </w:r>
      <w:r w:rsidR="003B1A46" w:rsidRPr="001742FC">
        <w:rPr>
          <w:sz w:val="24"/>
          <w:szCs w:val="24"/>
        </w:rPr>
        <w:t>, the sample size reached 9,926 households and the time reference for data during the lockdown period from March 5</w:t>
      </w:r>
      <w:r w:rsidR="003B1A46" w:rsidRPr="001742FC">
        <w:rPr>
          <w:sz w:val="24"/>
          <w:szCs w:val="24"/>
          <w:vertAlign w:val="superscript"/>
        </w:rPr>
        <w:t>th</w:t>
      </w:r>
      <w:r w:rsidR="003B1A46" w:rsidRPr="001742FC">
        <w:rPr>
          <w:sz w:val="24"/>
          <w:szCs w:val="24"/>
        </w:rPr>
        <w:t xml:space="preserve"> and up to May 2</w:t>
      </w:r>
      <w:r w:rsidR="008B0A64" w:rsidRPr="001742FC">
        <w:rPr>
          <w:sz w:val="24"/>
          <w:szCs w:val="24"/>
        </w:rPr>
        <w:t>5</w:t>
      </w:r>
      <w:r w:rsidR="003B1A46" w:rsidRPr="001742FC">
        <w:rPr>
          <w:sz w:val="24"/>
          <w:szCs w:val="24"/>
          <w:vertAlign w:val="superscript"/>
        </w:rPr>
        <w:t>th</w:t>
      </w:r>
      <w:r w:rsidR="003B1A46" w:rsidRPr="001742FC">
        <w:rPr>
          <w:sz w:val="24"/>
          <w:szCs w:val="24"/>
        </w:rPr>
        <w:t>, 2020. A</w:t>
      </w:r>
      <w:r w:rsidRPr="001742FC">
        <w:rPr>
          <w:sz w:val="24"/>
          <w:szCs w:val="24"/>
        </w:rPr>
        <w:t>s</w:t>
      </w:r>
      <w:r w:rsidR="003B1A46" w:rsidRPr="001742FC">
        <w:rPr>
          <w:sz w:val="24"/>
          <w:szCs w:val="24"/>
        </w:rPr>
        <w:t xml:space="preserve"> </w:t>
      </w:r>
      <w:r w:rsidRPr="001742FC">
        <w:rPr>
          <w:sz w:val="24"/>
          <w:szCs w:val="24"/>
        </w:rPr>
        <w:t>well as providing necessary data needed to fulfill/meet the needs of decision and policy makers from the government and both the private and public sectors, in addition to civil society and international institutions in a manner that contributes to developing programs and interventions that can limit the impacts and consequences of this current pandemic</w:t>
      </w:r>
      <w:r w:rsidRPr="001742FC">
        <w:rPr>
          <w:sz w:val="24"/>
          <w:szCs w:val="24"/>
          <w:rtl/>
        </w:rPr>
        <w:t>.</w:t>
      </w:r>
    </w:p>
    <w:p w:rsidR="00780310" w:rsidRPr="001742FC" w:rsidRDefault="00780310" w:rsidP="0016419D">
      <w:pPr>
        <w:bidi/>
        <w:jc w:val="lowKashida"/>
        <w:rPr>
          <w:rFonts w:ascii="Simplified Arabic" w:hAnsi="Simplified Arabic" w:cs="Simplified Arabic"/>
          <w:sz w:val="24"/>
          <w:szCs w:val="24"/>
          <w:rtl/>
        </w:rPr>
      </w:pPr>
    </w:p>
    <w:p w:rsidR="00DC48FA" w:rsidRPr="001742FC" w:rsidRDefault="003B1A46" w:rsidP="00CB0B02">
      <w:pPr>
        <w:pStyle w:val="Heading2"/>
        <w:spacing w:before="0" w:after="0"/>
        <w:jc w:val="both"/>
        <w:rPr>
          <w:rStyle w:val="1H"/>
          <w:rFonts w:ascii="Simplified Arabic" w:hAnsi="Simplified Arabic" w:cs="Simplified Arabic"/>
          <w:b/>
          <w:i w:val="0"/>
          <w:iCs w:val="0"/>
          <w:smallCaps/>
          <w:sz w:val="24"/>
          <w:szCs w:val="24"/>
        </w:rPr>
      </w:pPr>
      <w:bookmarkStart w:id="8" w:name="_Toc51919705"/>
      <w:bookmarkEnd w:id="0"/>
      <w:bookmarkEnd w:id="1"/>
      <w:bookmarkEnd w:id="2"/>
      <w:r w:rsidRPr="001742FC">
        <w:rPr>
          <w:rStyle w:val="1H"/>
          <w:rFonts w:ascii="Times New Roman" w:hAnsi="Times New Roman" w:cs="Times New Roman" w:hint="cs"/>
          <w:b/>
          <w:i w:val="0"/>
          <w:iCs w:val="0"/>
          <w:sz w:val="24"/>
          <w:szCs w:val="24"/>
          <w:rtl/>
        </w:rPr>
        <w:t>1</w:t>
      </w:r>
      <w:r w:rsidRPr="001742FC">
        <w:rPr>
          <w:rStyle w:val="1H"/>
          <w:rFonts w:ascii="Times New Roman" w:hAnsi="Times New Roman" w:cs="Times New Roman"/>
          <w:b/>
          <w:i w:val="0"/>
          <w:iCs w:val="0"/>
          <w:sz w:val="24"/>
          <w:szCs w:val="24"/>
        </w:rPr>
        <w:t xml:space="preserve">. </w:t>
      </w:r>
      <w:r w:rsidR="00F157CD" w:rsidRPr="001742FC">
        <w:rPr>
          <w:rStyle w:val="1H"/>
          <w:rFonts w:ascii="Times New Roman" w:hAnsi="Times New Roman" w:cs="Times New Roman"/>
          <w:b/>
          <w:i w:val="0"/>
          <w:iCs w:val="0"/>
          <w:sz w:val="24"/>
          <w:szCs w:val="24"/>
        </w:rPr>
        <w:t>COVID-</w:t>
      </w:r>
      <w:r w:rsidRPr="001742FC">
        <w:rPr>
          <w:rStyle w:val="1H"/>
          <w:rFonts w:ascii="Times New Roman" w:hAnsi="Times New Roman" w:cs="Times New Roman"/>
          <w:b/>
          <w:i w:val="0"/>
          <w:iCs w:val="0"/>
          <w:sz w:val="24"/>
          <w:szCs w:val="24"/>
        </w:rPr>
        <w:t xml:space="preserve">19 Impact on the </w:t>
      </w:r>
      <w:r w:rsidR="00E900ED" w:rsidRPr="001742FC">
        <w:rPr>
          <w:rStyle w:val="1H"/>
          <w:rFonts w:ascii="Times New Roman" w:hAnsi="Times New Roman" w:cs="Times New Roman"/>
          <w:b/>
          <w:i w:val="0"/>
          <w:iCs w:val="0"/>
          <w:sz w:val="24"/>
          <w:szCs w:val="24"/>
        </w:rPr>
        <w:t xml:space="preserve">Labor </w:t>
      </w:r>
      <w:r w:rsidRPr="001742FC">
        <w:rPr>
          <w:rStyle w:val="1H"/>
          <w:rFonts w:ascii="Times New Roman" w:hAnsi="Times New Roman" w:cs="Times New Roman"/>
          <w:b/>
          <w:i w:val="0"/>
          <w:iCs w:val="0"/>
          <w:sz w:val="24"/>
          <w:szCs w:val="24"/>
        </w:rPr>
        <w:t>Market Reality</w:t>
      </w:r>
      <w:bookmarkEnd w:id="8"/>
    </w:p>
    <w:p w:rsidR="00ED056B" w:rsidRDefault="00ED056B" w:rsidP="00ED056B">
      <w:pPr>
        <w:jc w:val="center"/>
        <w:rPr>
          <w:b/>
          <w:bCs/>
          <w:sz w:val="28"/>
          <w:szCs w:val="24"/>
        </w:rPr>
      </w:pPr>
    </w:p>
    <w:p w:rsidR="00ED056B" w:rsidRPr="00ED056B" w:rsidRDefault="00ED056B" w:rsidP="00ED056B">
      <w:pPr>
        <w:jc w:val="center"/>
        <w:rPr>
          <w:b/>
          <w:bCs/>
          <w:sz w:val="28"/>
          <w:szCs w:val="24"/>
        </w:rPr>
      </w:pPr>
      <w:r w:rsidRPr="00ED056B">
        <w:rPr>
          <w:b/>
          <w:bCs/>
          <w:sz w:val="28"/>
          <w:szCs w:val="24"/>
        </w:rPr>
        <w:t>One Household's Main Income Earner Out of 6 Stopped Working during the Lockdown Period</w:t>
      </w:r>
    </w:p>
    <w:p w:rsidR="00ED056B" w:rsidRDefault="00ED056B" w:rsidP="00274A52">
      <w:pPr>
        <w:jc w:val="lowKashida"/>
        <w:rPr>
          <w:sz w:val="24"/>
          <w:szCs w:val="24"/>
        </w:rPr>
      </w:pPr>
    </w:p>
    <w:p w:rsidR="003B1A46" w:rsidRPr="001742FC" w:rsidRDefault="003B1A46" w:rsidP="00274A52">
      <w:pPr>
        <w:jc w:val="lowKashida"/>
        <w:rPr>
          <w:rFonts w:ascii="Simplified Arabic" w:hAnsi="Simplified Arabic" w:cs="Simplified Arabic"/>
          <w:noProof/>
          <w:sz w:val="24"/>
          <w:szCs w:val="24"/>
          <w:rtl/>
        </w:rPr>
      </w:pPr>
      <w:r w:rsidRPr="001742FC">
        <w:rPr>
          <w:sz w:val="24"/>
          <w:szCs w:val="24"/>
        </w:rPr>
        <w:t xml:space="preserve">It is found that about </w:t>
      </w:r>
      <w:r w:rsidR="00112C7A" w:rsidRPr="001742FC">
        <w:rPr>
          <w:sz w:val="24"/>
          <w:szCs w:val="24"/>
        </w:rPr>
        <w:t xml:space="preserve">three out of four </w:t>
      </w:r>
      <w:r w:rsidRPr="001742FC">
        <w:rPr>
          <w:sz w:val="24"/>
          <w:szCs w:val="24"/>
        </w:rPr>
        <w:t xml:space="preserve">of the households' main income earners in </w:t>
      </w:r>
      <w:r w:rsidR="00ED4B05" w:rsidRPr="001742FC">
        <w:rPr>
          <w:sz w:val="24"/>
          <w:szCs w:val="24"/>
        </w:rPr>
        <w:t xml:space="preserve">the </w:t>
      </w:r>
      <w:r w:rsidR="00112C7A" w:rsidRPr="001742FC">
        <w:rPr>
          <w:sz w:val="24"/>
          <w:szCs w:val="24"/>
        </w:rPr>
        <w:t xml:space="preserve">West Bank </w:t>
      </w:r>
      <w:r w:rsidRPr="001742FC">
        <w:rPr>
          <w:sz w:val="24"/>
          <w:szCs w:val="24"/>
        </w:rPr>
        <w:t>(</w:t>
      </w:r>
      <w:r w:rsidR="00112C7A" w:rsidRPr="001742FC">
        <w:rPr>
          <w:sz w:val="24"/>
          <w:szCs w:val="24"/>
        </w:rPr>
        <w:t>73</w:t>
      </w:r>
      <w:r w:rsidRPr="001742FC">
        <w:rPr>
          <w:sz w:val="24"/>
          <w:szCs w:val="24"/>
        </w:rPr>
        <w:t>%) worked during the lockdown period that started from March 5</w:t>
      </w:r>
      <w:r w:rsidRPr="001742FC">
        <w:rPr>
          <w:sz w:val="24"/>
          <w:szCs w:val="24"/>
          <w:vertAlign w:val="superscript"/>
        </w:rPr>
        <w:t>th</w:t>
      </w:r>
      <w:r w:rsidRPr="001742FC">
        <w:rPr>
          <w:sz w:val="24"/>
          <w:szCs w:val="24"/>
        </w:rPr>
        <w:t xml:space="preserve"> and up to May 25</w:t>
      </w:r>
      <w:r w:rsidRPr="001742FC">
        <w:rPr>
          <w:sz w:val="24"/>
          <w:szCs w:val="24"/>
          <w:vertAlign w:val="superscript"/>
        </w:rPr>
        <w:t>th</w:t>
      </w:r>
      <w:r w:rsidRPr="001742FC">
        <w:rPr>
          <w:sz w:val="24"/>
          <w:szCs w:val="24"/>
        </w:rPr>
        <w:t xml:space="preserve">, 2020. Respectively, one out of </w:t>
      </w:r>
      <w:r w:rsidR="00112C7A" w:rsidRPr="001742FC">
        <w:rPr>
          <w:sz w:val="24"/>
          <w:szCs w:val="24"/>
        </w:rPr>
        <w:t>seven</w:t>
      </w:r>
      <w:r w:rsidRPr="001742FC">
        <w:rPr>
          <w:sz w:val="24"/>
          <w:szCs w:val="24"/>
        </w:rPr>
        <w:t xml:space="preserve"> </w:t>
      </w:r>
      <w:r w:rsidR="00112C7A" w:rsidRPr="001742FC">
        <w:rPr>
          <w:sz w:val="24"/>
          <w:szCs w:val="24"/>
        </w:rPr>
        <w:t xml:space="preserve">households’ main income earner in the West Bank </w:t>
      </w:r>
      <w:r w:rsidRPr="001742FC">
        <w:rPr>
          <w:sz w:val="24"/>
          <w:szCs w:val="24"/>
        </w:rPr>
        <w:t>(</w:t>
      </w:r>
      <w:r w:rsidR="00112C7A" w:rsidRPr="001742FC">
        <w:rPr>
          <w:sz w:val="24"/>
          <w:szCs w:val="24"/>
        </w:rPr>
        <w:t>14</w:t>
      </w:r>
      <w:r w:rsidRPr="001742FC">
        <w:rPr>
          <w:sz w:val="24"/>
          <w:szCs w:val="24"/>
        </w:rPr>
        <w:t xml:space="preserve">%) stopped working during the lockdown period. </w:t>
      </w:r>
      <w:r w:rsidR="00112C7A" w:rsidRPr="001742FC">
        <w:rPr>
          <w:sz w:val="24"/>
          <w:szCs w:val="24"/>
        </w:rPr>
        <w:t xml:space="preserve"> </w:t>
      </w:r>
      <w:r w:rsidRPr="001742FC">
        <w:rPr>
          <w:sz w:val="24"/>
          <w:szCs w:val="24"/>
        </w:rPr>
        <w:t xml:space="preserve">About </w:t>
      </w:r>
      <w:r w:rsidR="00112C7A" w:rsidRPr="001742FC">
        <w:rPr>
          <w:sz w:val="24"/>
          <w:szCs w:val="24"/>
        </w:rPr>
        <w:t>one out of eight households’ main income earner in the West Bank did not</w:t>
      </w:r>
      <w:r w:rsidRPr="001742FC">
        <w:rPr>
          <w:sz w:val="24"/>
          <w:szCs w:val="24"/>
        </w:rPr>
        <w:t xml:space="preserve"> even work before the lockdown period (</w:t>
      </w:r>
      <w:r w:rsidR="00112C7A" w:rsidRPr="001742FC">
        <w:rPr>
          <w:sz w:val="24"/>
          <w:szCs w:val="24"/>
        </w:rPr>
        <w:t>13</w:t>
      </w:r>
      <w:r w:rsidRPr="001742FC">
        <w:rPr>
          <w:sz w:val="24"/>
          <w:szCs w:val="24"/>
        </w:rPr>
        <w:t>%).</w:t>
      </w:r>
      <w:r w:rsidRPr="001742FC">
        <w:rPr>
          <w:rFonts w:ascii="Simplified Arabic" w:hAnsi="Simplified Arabic" w:cs="Simplified Arabic"/>
          <w:noProof/>
          <w:sz w:val="24"/>
          <w:szCs w:val="24"/>
        </w:rPr>
        <w:t xml:space="preserve"> </w:t>
      </w:r>
      <w:r w:rsidRPr="001742FC">
        <w:rPr>
          <w:sz w:val="24"/>
          <w:szCs w:val="24"/>
        </w:rPr>
        <w:t>The emergency state that was declared, in addition to the closure of all public and private institutions as a result of the restrictions imposed by the government to face the Coronavirus pandemic, as well as the home quarantine according to the declared emergency state, were all main reasons for stopping the work at a percentage of 68%</w:t>
      </w:r>
      <w:r w:rsidR="00274A52" w:rsidRPr="001742FC">
        <w:rPr>
          <w:sz w:val="24"/>
          <w:szCs w:val="24"/>
        </w:rPr>
        <w:t xml:space="preserve"> in the West Bank</w:t>
      </w:r>
      <w:r w:rsidRPr="001742FC">
        <w:rPr>
          <w:sz w:val="24"/>
          <w:szCs w:val="24"/>
        </w:rPr>
        <w:t>.</w:t>
      </w:r>
    </w:p>
    <w:p w:rsidR="00ED056B" w:rsidRDefault="00ED056B" w:rsidP="00ED056B">
      <w:pPr>
        <w:ind w:left="-113" w:right="-113"/>
        <w:jc w:val="center"/>
        <w:rPr>
          <w:b/>
          <w:bCs/>
          <w:sz w:val="24"/>
          <w:szCs w:val="24"/>
        </w:rPr>
      </w:pPr>
    </w:p>
    <w:p w:rsidR="00ED056B" w:rsidRPr="00ED056B" w:rsidRDefault="00C77747" w:rsidP="00ED056B">
      <w:pPr>
        <w:ind w:left="-113" w:right="-113"/>
        <w:jc w:val="center"/>
        <w:rPr>
          <w:b/>
          <w:bCs/>
          <w:sz w:val="28"/>
          <w:szCs w:val="28"/>
        </w:rPr>
      </w:pPr>
      <w:r>
        <w:rPr>
          <w:b/>
          <w:bCs/>
          <w:sz w:val="28"/>
          <w:szCs w:val="28"/>
        </w:rPr>
        <w:t>More than</w:t>
      </w:r>
      <w:r w:rsidR="00ED056B" w:rsidRPr="00ED056B">
        <w:rPr>
          <w:b/>
          <w:bCs/>
          <w:sz w:val="28"/>
          <w:szCs w:val="28"/>
        </w:rPr>
        <w:t xml:space="preserve"> Half of Working Households Main Income Earners were Absent from their Work during</w:t>
      </w:r>
      <w:bookmarkStart w:id="9" w:name="_GoBack"/>
      <w:bookmarkEnd w:id="9"/>
      <w:r w:rsidR="00ED056B" w:rsidRPr="00ED056B">
        <w:rPr>
          <w:b/>
          <w:bCs/>
          <w:sz w:val="28"/>
          <w:szCs w:val="28"/>
        </w:rPr>
        <w:t xml:space="preserve"> the Lockdown Period</w:t>
      </w:r>
    </w:p>
    <w:p w:rsidR="00114950" w:rsidRPr="001742FC" w:rsidRDefault="00114950" w:rsidP="00114950">
      <w:pPr>
        <w:jc w:val="lowKashida"/>
        <w:rPr>
          <w:sz w:val="24"/>
          <w:szCs w:val="24"/>
          <w:rtl/>
        </w:rPr>
      </w:pPr>
    </w:p>
    <w:p w:rsidR="00114950" w:rsidRPr="001742FC" w:rsidRDefault="00002B16" w:rsidP="009F5DDE">
      <w:pPr>
        <w:jc w:val="lowKashida"/>
        <w:rPr>
          <w:rFonts w:ascii="Simplified Arabic" w:hAnsi="Simplified Arabic" w:cs="Simplified Arabic"/>
          <w:noProof/>
          <w:sz w:val="24"/>
          <w:szCs w:val="24"/>
        </w:rPr>
      </w:pPr>
      <w:r w:rsidRPr="001742FC">
        <w:rPr>
          <w:sz w:val="24"/>
          <w:szCs w:val="24"/>
        </w:rPr>
        <w:t>54</w:t>
      </w:r>
      <w:r w:rsidR="00114950" w:rsidRPr="001742FC">
        <w:rPr>
          <w:sz w:val="24"/>
          <w:szCs w:val="24"/>
        </w:rPr>
        <w:t xml:space="preserve">% of workers </w:t>
      </w:r>
      <w:r w:rsidR="009F5DDE" w:rsidRPr="001742FC">
        <w:rPr>
          <w:sz w:val="24"/>
          <w:szCs w:val="24"/>
        </w:rPr>
        <w:t xml:space="preserve">in the West Bank </w:t>
      </w:r>
      <w:r w:rsidR="00114950" w:rsidRPr="001742FC">
        <w:rPr>
          <w:sz w:val="24"/>
          <w:szCs w:val="24"/>
        </w:rPr>
        <w:t xml:space="preserve">were absent from work during the lockdown period. The declaration of emergency and the closure of all private and public institutions as a result of the restrictions imposed by the government to face the Coronavirus pandemic, in addition to home quarantine according to the declared emergency state is considered a main reason for absenteeism with a percentage reached </w:t>
      </w:r>
      <w:r w:rsidRPr="001742FC">
        <w:rPr>
          <w:sz w:val="24"/>
          <w:szCs w:val="24"/>
        </w:rPr>
        <w:t>75</w:t>
      </w:r>
      <w:r w:rsidR="00114950" w:rsidRPr="001742FC">
        <w:rPr>
          <w:sz w:val="24"/>
          <w:szCs w:val="24"/>
        </w:rPr>
        <w:t>%.</w:t>
      </w:r>
    </w:p>
    <w:p w:rsidR="00705D13" w:rsidRPr="001742FC" w:rsidRDefault="00705D13" w:rsidP="00114950">
      <w:pPr>
        <w:jc w:val="lowKashida"/>
        <w:rPr>
          <w:rFonts w:ascii="Simplified Arabic" w:hAnsi="Simplified Arabic" w:cs="Simplified Arabic"/>
          <w:noProof/>
          <w:sz w:val="24"/>
          <w:szCs w:val="24"/>
        </w:rPr>
      </w:pPr>
    </w:p>
    <w:p w:rsidR="00AA3264" w:rsidRPr="001742FC" w:rsidRDefault="00705D13" w:rsidP="00002B16">
      <w:pPr>
        <w:jc w:val="lowKashida"/>
        <w:rPr>
          <w:rFonts w:ascii="Simplified Arabic" w:hAnsi="Simplified Arabic" w:cs="Simplified Arabic"/>
          <w:i/>
          <w:sz w:val="24"/>
          <w:szCs w:val="24"/>
          <w:rtl/>
        </w:rPr>
      </w:pPr>
      <w:r w:rsidRPr="001742FC">
        <w:rPr>
          <w:sz w:val="24"/>
          <w:szCs w:val="24"/>
        </w:rPr>
        <w:t>The effects of lockdown measures impacted the ability to work differently by economic activity</w:t>
      </w:r>
      <w:r w:rsidR="00002B16" w:rsidRPr="001742FC">
        <w:rPr>
          <w:sz w:val="24"/>
          <w:szCs w:val="24"/>
        </w:rPr>
        <w:t xml:space="preserve"> in the West Bank</w:t>
      </w:r>
      <w:r w:rsidRPr="001742FC">
        <w:rPr>
          <w:sz w:val="24"/>
          <w:szCs w:val="24"/>
        </w:rPr>
        <w:t xml:space="preserve">, with the industry sector being more affected than any other sector. Accordingly, </w:t>
      </w:r>
      <w:r w:rsidR="00002B16" w:rsidRPr="001742FC">
        <w:rPr>
          <w:sz w:val="24"/>
          <w:szCs w:val="24"/>
        </w:rPr>
        <w:t>51</w:t>
      </w:r>
      <w:r w:rsidRPr="001742FC">
        <w:rPr>
          <w:sz w:val="24"/>
          <w:szCs w:val="24"/>
        </w:rPr>
        <w:t xml:space="preserve">% of main income earners who stopped working were active in the industry sector. Also, workers in the agricultural sector were affected by the lockdown, where </w:t>
      </w:r>
      <w:r w:rsidR="00002B16" w:rsidRPr="001742FC">
        <w:rPr>
          <w:sz w:val="24"/>
          <w:szCs w:val="24"/>
        </w:rPr>
        <w:t>7</w:t>
      </w:r>
      <w:r w:rsidRPr="001742FC">
        <w:rPr>
          <w:sz w:val="24"/>
          <w:szCs w:val="24"/>
        </w:rPr>
        <w:t>% of those main income earners who stopped working during the lockdown period were working in the agriculture sector.</w:t>
      </w:r>
      <w:r w:rsidR="000B2192" w:rsidRPr="001742FC">
        <w:rPr>
          <w:rFonts w:ascii="Simplified Arabic" w:hAnsi="Simplified Arabic" w:cs="Simplified Arabic"/>
          <w:i/>
          <w:sz w:val="24"/>
          <w:szCs w:val="24"/>
          <w:rtl/>
          <w:lang w:val="en-GB"/>
        </w:rPr>
        <w:t xml:space="preserve"> </w:t>
      </w:r>
    </w:p>
    <w:p w:rsidR="00ED056B" w:rsidRDefault="00ED056B" w:rsidP="00ED056B">
      <w:pPr>
        <w:jc w:val="center"/>
        <w:rPr>
          <w:b/>
          <w:bCs/>
          <w:sz w:val="28"/>
          <w:szCs w:val="28"/>
        </w:rPr>
      </w:pPr>
    </w:p>
    <w:p w:rsidR="00ED056B" w:rsidRPr="00ED056B" w:rsidRDefault="00ED056B" w:rsidP="00ED056B">
      <w:pPr>
        <w:jc w:val="center"/>
        <w:rPr>
          <w:sz w:val="36"/>
          <w:szCs w:val="32"/>
        </w:rPr>
      </w:pPr>
      <w:r w:rsidRPr="00ED056B">
        <w:rPr>
          <w:b/>
          <w:bCs/>
          <w:sz w:val="28"/>
          <w:szCs w:val="28"/>
        </w:rPr>
        <w:t>Less Working Hours than the Usual</w:t>
      </w:r>
    </w:p>
    <w:p w:rsidR="00002B16" w:rsidRPr="001742FC" w:rsidRDefault="00002B16" w:rsidP="008B0A64">
      <w:pPr>
        <w:jc w:val="both"/>
        <w:rPr>
          <w:noProof/>
          <w:sz w:val="24"/>
          <w:szCs w:val="24"/>
        </w:rPr>
      </w:pPr>
    </w:p>
    <w:p w:rsidR="00CA045D" w:rsidRPr="001742FC" w:rsidRDefault="00CA045D" w:rsidP="008B0A64">
      <w:pPr>
        <w:jc w:val="both"/>
        <w:rPr>
          <w:noProof/>
          <w:sz w:val="24"/>
          <w:szCs w:val="24"/>
        </w:rPr>
      </w:pPr>
      <w:r w:rsidRPr="001742FC">
        <w:rPr>
          <w:noProof/>
          <w:sz w:val="24"/>
          <w:szCs w:val="24"/>
        </w:rPr>
        <w:t xml:space="preserve">80% of the main income earners experienced a decrease in the workload (less working hours than the usual). This was more felt in the West </w:t>
      </w:r>
      <w:r w:rsidR="008B0A64" w:rsidRPr="001742FC">
        <w:rPr>
          <w:noProof/>
          <w:sz w:val="24"/>
          <w:szCs w:val="24"/>
        </w:rPr>
        <w:t>B</w:t>
      </w:r>
      <w:r w:rsidRPr="001742FC">
        <w:rPr>
          <w:noProof/>
          <w:sz w:val="24"/>
          <w:szCs w:val="24"/>
        </w:rPr>
        <w:t>ank (83%) than in Gaza Strip (73%). It is slightly more likely that the male income earners to experince a decrease in their workload compared to females (80% for males and 78% for females).</w:t>
      </w:r>
    </w:p>
    <w:p w:rsidR="000B2192" w:rsidRPr="001742FC" w:rsidRDefault="000B2192" w:rsidP="0016419D">
      <w:pPr>
        <w:bidi/>
        <w:rPr>
          <w:rStyle w:val="1H"/>
          <w:rFonts w:ascii="Simplified Arabic" w:hAnsi="Simplified Arabic" w:cs="Simplified Arabic"/>
          <w:bCs/>
          <w:smallCaps/>
          <w:sz w:val="24"/>
          <w:szCs w:val="24"/>
          <w:rtl/>
        </w:rPr>
      </w:pPr>
    </w:p>
    <w:p w:rsidR="00CA045D" w:rsidRPr="001742FC" w:rsidRDefault="00CA045D" w:rsidP="00002B16">
      <w:pPr>
        <w:jc w:val="lowKashida"/>
        <w:rPr>
          <w:rStyle w:val="1H"/>
          <w:rFonts w:ascii="Simplified Arabic" w:hAnsi="Simplified Arabic" w:cs="Simplified Arabic"/>
          <w:bCs/>
          <w:smallCaps/>
          <w:sz w:val="24"/>
          <w:szCs w:val="24"/>
        </w:rPr>
      </w:pPr>
      <w:r w:rsidRPr="001742FC">
        <w:rPr>
          <w:noProof/>
          <w:sz w:val="24"/>
          <w:szCs w:val="24"/>
        </w:rPr>
        <w:t>COVID-19 has markedly impacted income streams (wages and salaries). Only 23% of main income earners received their wages as usual, while 25% of them received their wages/salaries partially and 52% of them did not receive any wages/salaries at all during the lockdown period</w:t>
      </w:r>
      <w:r w:rsidR="00002B16" w:rsidRPr="001742FC">
        <w:rPr>
          <w:noProof/>
          <w:sz w:val="24"/>
          <w:szCs w:val="24"/>
        </w:rPr>
        <w:t xml:space="preserve"> (95% of them work in the private sector, 2% work in the government sector, and 3% work in other sectors). </w:t>
      </w:r>
      <w:r w:rsidRPr="001742FC">
        <w:rPr>
          <w:noProof/>
          <w:sz w:val="24"/>
          <w:szCs w:val="24"/>
        </w:rPr>
        <w:t xml:space="preserve"> However, the impact of COVID-19 on wages/salaries is very different in West Bank compared with Gaza Strip, as 61% of the main wage earners in the West Bank worked for no wages compared to 31% of them in Gaza Strip did not receive their usual wages. Similarly, there are gender variations, where 26% of the female main income earners did not receive their full wages, which is less than their male counterparts, representing 52%.</w:t>
      </w:r>
    </w:p>
    <w:p w:rsidR="00940452" w:rsidRPr="001742FC" w:rsidRDefault="00940452" w:rsidP="0016419D">
      <w:pPr>
        <w:bidi/>
        <w:rPr>
          <w:rFonts w:ascii="Simplified Arabic" w:hAnsi="Simplified Arabic" w:cs="Simplified Arabic"/>
          <w:i/>
          <w:sz w:val="24"/>
          <w:szCs w:val="24"/>
          <w:lang w:val="en-GB"/>
        </w:rPr>
      </w:pPr>
    </w:p>
    <w:p w:rsidR="00CA045D" w:rsidRPr="001742FC" w:rsidRDefault="00CA045D" w:rsidP="00CB0B02">
      <w:pPr>
        <w:pStyle w:val="Heading2"/>
        <w:spacing w:before="0" w:after="0"/>
        <w:jc w:val="both"/>
        <w:rPr>
          <w:rStyle w:val="1H"/>
          <w:rFonts w:ascii="Times New Roman" w:hAnsi="Times New Roman" w:cs="Times New Roman"/>
          <w:b/>
          <w:i w:val="0"/>
          <w:iCs w:val="0"/>
          <w:sz w:val="24"/>
          <w:szCs w:val="24"/>
        </w:rPr>
      </w:pPr>
      <w:bookmarkStart w:id="10" w:name="_Toc51919706"/>
      <w:r w:rsidRPr="001742FC">
        <w:rPr>
          <w:rStyle w:val="1H"/>
          <w:rFonts w:ascii="Times New Roman" w:hAnsi="Times New Roman" w:cs="Times New Roman" w:hint="cs"/>
          <w:b/>
          <w:i w:val="0"/>
          <w:iCs w:val="0"/>
          <w:sz w:val="24"/>
          <w:szCs w:val="24"/>
          <w:rtl/>
        </w:rPr>
        <w:t>2</w:t>
      </w:r>
      <w:r w:rsidRPr="001742FC">
        <w:rPr>
          <w:rStyle w:val="1H"/>
          <w:rFonts w:ascii="Times New Roman" w:hAnsi="Times New Roman" w:cs="Times New Roman"/>
          <w:b/>
          <w:i w:val="0"/>
          <w:iCs w:val="0"/>
          <w:sz w:val="24"/>
          <w:szCs w:val="24"/>
        </w:rPr>
        <w:t xml:space="preserve">. </w:t>
      </w:r>
      <w:r w:rsidR="00F6341A" w:rsidRPr="001742FC">
        <w:rPr>
          <w:rStyle w:val="1H"/>
          <w:rFonts w:ascii="Times New Roman" w:hAnsi="Times New Roman" w:cs="Times New Roman"/>
          <w:b/>
          <w:i w:val="0"/>
          <w:iCs w:val="0"/>
          <w:sz w:val="24"/>
          <w:szCs w:val="24"/>
        </w:rPr>
        <w:t>COVID-</w:t>
      </w:r>
      <w:r w:rsidRPr="001742FC">
        <w:rPr>
          <w:rStyle w:val="1H"/>
          <w:rFonts w:ascii="Times New Roman" w:hAnsi="Times New Roman" w:cs="Times New Roman"/>
          <w:b/>
          <w:i w:val="0"/>
          <w:iCs w:val="0"/>
          <w:sz w:val="24"/>
          <w:szCs w:val="24"/>
        </w:rPr>
        <w:t>19 Impact on Accessing Services</w:t>
      </w:r>
      <w:bookmarkEnd w:id="10"/>
      <w:r w:rsidRPr="001742FC">
        <w:rPr>
          <w:rStyle w:val="1H"/>
          <w:rFonts w:ascii="Times New Roman" w:hAnsi="Times New Roman" w:cs="Times New Roman"/>
          <w:b/>
          <w:i w:val="0"/>
          <w:iCs w:val="0"/>
          <w:sz w:val="24"/>
          <w:szCs w:val="24"/>
        </w:rPr>
        <w:t xml:space="preserve"> </w:t>
      </w:r>
    </w:p>
    <w:bookmarkEnd w:id="3"/>
    <w:bookmarkEnd w:id="4"/>
    <w:bookmarkEnd w:id="5"/>
    <w:bookmarkEnd w:id="6"/>
    <w:bookmarkEnd w:id="7"/>
    <w:p w:rsidR="00002B16" w:rsidRDefault="00002B16" w:rsidP="00002B16">
      <w:pPr>
        <w:jc w:val="lowKashida"/>
        <w:rPr>
          <w:noProof/>
          <w:sz w:val="14"/>
          <w:szCs w:val="14"/>
        </w:rPr>
      </w:pPr>
    </w:p>
    <w:p w:rsidR="00ED056B" w:rsidRPr="00ED056B" w:rsidRDefault="00ED056B" w:rsidP="00ED056B">
      <w:pPr>
        <w:jc w:val="center"/>
        <w:rPr>
          <w:b/>
          <w:bCs/>
          <w:smallCaps/>
          <w:sz w:val="28"/>
          <w:szCs w:val="28"/>
        </w:rPr>
      </w:pPr>
      <w:r w:rsidRPr="00ED056B">
        <w:rPr>
          <w:b/>
          <w:bCs/>
          <w:sz w:val="28"/>
          <w:szCs w:val="24"/>
        </w:rPr>
        <w:t>Access to Health Services Was Available to Those Households in Need of Them</w:t>
      </w:r>
    </w:p>
    <w:p w:rsidR="00ED056B" w:rsidRPr="001742FC" w:rsidRDefault="00ED056B" w:rsidP="00002B16">
      <w:pPr>
        <w:jc w:val="lowKashida"/>
        <w:rPr>
          <w:noProof/>
          <w:sz w:val="14"/>
          <w:szCs w:val="14"/>
        </w:rPr>
      </w:pPr>
    </w:p>
    <w:p w:rsidR="00CA045D" w:rsidRPr="001742FC" w:rsidRDefault="00002B16" w:rsidP="00002B16">
      <w:pPr>
        <w:jc w:val="lowKashida"/>
        <w:rPr>
          <w:noProof/>
          <w:sz w:val="24"/>
          <w:szCs w:val="24"/>
        </w:rPr>
      </w:pPr>
      <w:r w:rsidRPr="001742FC">
        <w:rPr>
          <w:noProof/>
          <w:sz w:val="24"/>
          <w:szCs w:val="24"/>
        </w:rPr>
        <w:t>4% of households in need of health services were unable to access health services.</w:t>
      </w:r>
      <w:r w:rsidR="00CA045D" w:rsidRPr="001742FC">
        <w:rPr>
          <w:noProof/>
          <w:sz w:val="24"/>
          <w:szCs w:val="24"/>
        </w:rPr>
        <w:t xml:space="preserve"> where the results indicated that the lowest percentages of access were reported for immunization and care of chronic and unchronic conditions.</w:t>
      </w:r>
    </w:p>
    <w:p w:rsidR="00CA045D" w:rsidRPr="001742FC" w:rsidRDefault="00CA045D" w:rsidP="00CA045D">
      <w:pPr>
        <w:jc w:val="lowKashida"/>
        <w:rPr>
          <w:noProof/>
          <w:sz w:val="16"/>
          <w:szCs w:val="16"/>
        </w:rPr>
      </w:pPr>
    </w:p>
    <w:p w:rsidR="00D874F1" w:rsidRDefault="00CA045D" w:rsidP="00CA045D">
      <w:pPr>
        <w:jc w:val="lowKashida"/>
        <w:rPr>
          <w:noProof/>
          <w:sz w:val="24"/>
          <w:szCs w:val="24"/>
        </w:rPr>
      </w:pPr>
      <w:r w:rsidRPr="001742FC">
        <w:rPr>
          <w:noProof/>
          <w:sz w:val="24"/>
          <w:szCs w:val="24"/>
        </w:rPr>
        <w:t xml:space="preserve">As for reasons for the inability to accessing healthcare services, the most important reason was that the healthcare centers and hospitals did not receive patients (39%), inability to pay (cover costs) (23%), fear of leaving the house (11%). </w:t>
      </w:r>
    </w:p>
    <w:p w:rsidR="00D874F1" w:rsidRDefault="00D874F1" w:rsidP="00D874F1">
      <w:pPr>
        <w:jc w:val="center"/>
        <w:rPr>
          <w:b/>
          <w:bCs/>
          <w:sz w:val="24"/>
          <w:szCs w:val="24"/>
        </w:rPr>
      </w:pPr>
    </w:p>
    <w:p w:rsidR="00D874F1" w:rsidRPr="00D874F1" w:rsidRDefault="00D874F1" w:rsidP="00D874F1">
      <w:pPr>
        <w:jc w:val="center"/>
        <w:rPr>
          <w:b/>
          <w:bCs/>
          <w:sz w:val="28"/>
          <w:szCs w:val="28"/>
        </w:rPr>
      </w:pPr>
      <w:r w:rsidRPr="00D874F1">
        <w:rPr>
          <w:b/>
          <w:bCs/>
          <w:sz w:val="28"/>
          <w:szCs w:val="28"/>
        </w:rPr>
        <w:t xml:space="preserve">Variation in Students’ Participation in Remote/Online Education </w:t>
      </w:r>
    </w:p>
    <w:p w:rsidR="00ED40F5" w:rsidRPr="001742FC" w:rsidRDefault="00ED40F5" w:rsidP="00845D3C">
      <w:pPr>
        <w:jc w:val="lowKashida"/>
        <w:rPr>
          <w:noProof/>
          <w:sz w:val="24"/>
          <w:szCs w:val="24"/>
        </w:rPr>
      </w:pPr>
    </w:p>
    <w:p w:rsidR="00CA045D" w:rsidRPr="001742FC" w:rsidRDefault="00CA045D" w:rsidP="003C0CBD">
      <w:pPr>
        <w:jc w:val="lowKashida"/>
        <w:rPr>
          <w:noProof/>
          <w:sz w:val="24"/>
          <w:szCs w:val="24"/>
        </w:rPr>
      </w:pPr>
      <w:r w:rsidRPr="001742FC">
        <w:rPr>
          <w:noProof/>
          <w:sz w:val="24"/>
          <w:szCs w:val="24"/>
        </w:rPr>
        <w:t xml:space="preserve">51% of households in Palestine with childern between the ages (6-18 years) and are enrolled in education before the lockdown period, </w:t>
      </w:r>
      <w:r w:rsidR="003C0CBD" w:rsidRPr="001742FC">
        <w:rPr>
          <w:noProof/>
          <w:sz w:val="24"/>
          <w:szCs w:val="24"/>
        </w:rPr>
        <w:t xml:space="preserve">whose </w:t>
      </w:r>
      <w:r w:rsidRPr="001742FC">
        <w:rPr>
          <w:noProof/>
          <w:sz w:val="24"/>
          <w:szCs w:val="24"/>
        </w:rPr>
        <w:t xml:space="preserve">childern particpated in eductional activities during the lockdown; (53% in the West Bank and 49% in Gaza Strip). Also, there is a clear variartion between the different governorates in terms of students participation, the highest participation was in Jerusalem </w:t>
      </w:r>
      <w:r w:rsidR="00845D3C" w:rsidRPr="001742FC">
        <w:rPr>
          <w:sz w:val="24"/>
          <w:szCs w:val="24"/>
        </w:rPr>
        <w:t xml:space="preserve">Governorate </w:t>
      </w:r>
      <w:r w:rsidRPr="001742FC">
        <w:rPr>
          <w:noProof/>
          <w:sz w:val="24"/>
          <w:szCs w:val="24"/>
        </w:rPr>
        <w:t xml:space="preserve">(85%), and the lowest was in Hebron </w:t>
      </w:r>
      <w:r w:rsidR="00845D3C" w:rsidRPr="001742FC">
        <w:rPr>
          <w:sz w:val="24"/>
          <w:szCs w:val="24"/>
        </w:rPr>
        <w:t xml:space="preserve">Governorate </w:t>
      </w:r>
      <w:r w:rsidRPr="001742FC">
        <w:rPr>
          <w:noProof/>
          <w:sz w:val="24"/>
          <w:szCs w:val="24"/>
        </w:rPr>
        <w:t xml:space="preserve">(39%).  </w:t>
      </w:r>
    </w:p>
    <w:p w:rsidR="00ED40F5" w:rsidRPr="001742FC" w:rsidRDefault="00FC1FD4" w:rsidP="00845D3C">
      <w:pPr>
        <w:jc w:val="lowKashida"/>
        <w:rPr>
          <w:noProof/>
          <w:sz w:val="24"/>
          <w:szCs w:val="24"/>
        </w:rPr>
      </w:pPr>
      <w:r w:rsidRPr="00FC1FD4">
        <w:rPr>
          <w:rFonts w:ascii="Simplified Arabic" w:hAnsi="Simplified Arabic" w:cs="Simplified Arabic"/>
          <w:b/>
          <w:bCs/>
          <w:smallCaps/>
          <w:noProof/>
          <w:sz w:val="24"/>
          <w:szCs w:val="24"/>
        </w:rPr>
        <w:pict>
          <v:rect id="Rectangle 4" o:spid="_x0000_s1031" style="position:absolute;left:0;text-align:left;margin-left:1.7pt;margin-top:9.75pt;width:477.2pt;height:36pt;z-index:2516577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" fillcolor="#4f81bd" strokecolor="#243f60" strokeweight="2pt">
            <v:textbox>
              <w:txbxContent>
                <w:p w:rsidR="00ED40F5" w:rsidRPr="00CB0B02" w:rsidRDefault="00ED40F5" w:rsidP="00E900ED">
                  <w:pPr>
                    <w:jc w:val="center"/>
                    <w:rPr>
                      <w:b/>
                      <w:bCs/>
                      <w:sz w:val="24"/>
                      <w:szCs w:val="24"/>
                    </w:rPr>
                  </w:pPr>
                  <w:r w:rsidRPr="00CB0B02">
                    <w:rPr>
                      <w:b/>
                      <w:bCs/>
                      <w:sz w:val="24"/>
                      <w:szCs w:val="24"/>
                    </w:rPr>
                    <w:t xml:space="preserve">Percentage of Households in Palestine </w:t>
                  </w:r>
                  <w:r w:rsidR="00E900ED" w:rsidRPr="00CB0B02">
                    <w:rPr>
                      <w:b/>
                      <w:bCs/>
                      <w:sz w:val="24"/>
                      <w:szCs w:val="24"/>
                    </w:rPr>
                    <w:t xml:space="preserve">whose </w:t>
                  </w:r>
                  <w:r w:rsidRPr="00CB0B02">
                    <w:rPr>
                      <w:b/>
                      <w:bCs/>
                      <w:sz w:val="24"/>
                      <w:szCs w:val="24"/>
                    </w:rPr>
                    <w:t xml:space="preserve">Children Participated in Any Educational Activities </w:t>
                  </w:r>
                  <w:r w:rsidR="00E900ED" w:rsidRPr="00CB0B02">
                    <w:rPr>
                      <w:b/>
                      <w:bCs/>
                      <w:sz w:val="24"/>
                      <w:szCs w:val="24"/>
                    </w:rPr>
                    <w:t xml:space="preserve">during </w:t>
                  </w:r>
                  <w:r w:rsidRPr="00CB0B02">
                    <w:rPr>
                      <w:b/>
                      <w:bCs/>
                      <w:sz w:val="24"/>
                      <w:szCs w:val="24"/>
                    </w:rPr>
                    <w:t>the Lockdown Period (March - May, 2020) by Governorate</w:t>
                  </w:r>
                </w:p>
              </w:txbxContent>
            </v:textbox>
            <w10:wrap anchorx="margin"/>
          </v:rect>
        </w:pict>
      </w:r>
    </w:p>
    <w:p w:rsidR="00ED40F5" w:rsidRPr="001742FC" w:rsidRDefault="00ED40F5" w:rsidP="00845D3C">
      <w:pPr>
        <w:jc w:val="lowKashida"/>
        <w:rPr>
          <w:noProof/>
          <w:sz w:val="24"/>
          <w:szCs w:val="24"/>
        </w:rPr>
      </w:pPr>
    </w:p>
    <w:p w:rsidR="00002B16" w:rsidRPr="001742FC" w:rsidRDefault="00CE729F" w:rsidP="00002B16">
      <w:pPr>
        <w:bidi/>
        <w:jc w:val="lowKashida"/>
        <w:rPr>
          <w:rFonts w:ascii="Simplified Arabic" w:hAnsi="Simplified Arabic" w:cs="Simplified Arabic"/>
          <w:smallCaps/>
          <w:sz w:val="24"/>
          <w:szCs w:val="24"/>
          <w:rtl/>
        </w:rPr>
      </w:pPr>
      <w:r>
        <w:rPr>
          <w:noProof/>
          <w:rtl/>
        </w:rPr>
        <w:drawing>
          <wp:anchor distT="79248" distB="1093089" distL="2077212" distR="1198537" simplePos="0" relativeHeight="251656704" behindDoc="0" locked="0" layoutInCell="1" allowOverlap="1">
            <wp:simplePos x="0" y="0"/>
            <wp:positionH relativeFrom="page">
              <wp:posOffset>1288415</wp:posOffset>
            </wp:positionH>
            <wp:positionV relativeFrom="paragraph">
              <wp:posOffset>310515</wp:posOffset>
            </wp:positionV>
            <wp:extent cx="5437505" cy="1390015"/>
            <wp:effectExtent l="635" t="0" r="0" b="0"/>
            <wp:wrapNone/>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02B16" w:rsidRPr="001742FC" w:rsidRDefault="00CE729F" w:rsidP="00002B16">
      <w:pPr>
        <w:bidi/>
        <w:jc w:val="center"/>
        <w:rPr>
          <w:rFonts w:ascii="Simplified Arabic" w:hAnsi="Simplified Arabic" w:cs="Simplified Arabic"/>
          <w:smallCaps/>
          <w:sz w:val="24"/>
          <w:szCs w:val="24"/>
          <w:rtl/>
        </w:rPr>
      </w:pPr>
      <w:r>
        <w:rPr>
          <w:rFonts w:ascii="Simplified Arabic" w:hAnsi="Simplified Arabic" w:cs="Simplified Arabic"/>
          <w:smallCaps/>
          <w:noProof/>
          <w:sz w:val="24"/>
          <w:szCs w:val="24"/>
        </w:rPr>
        <w:drawing>
          <wp:inline distT="0" distB="0" distL="0" distR="0">
            <wp:extent cx="6081395" cy="3027680"/>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0F5" w:rsidRDefault="00ED40F5" w:rsidP="00ED40F5">
      <w:pPr>
        <w:jc w:val="lowKashida"/>
        <w:rPr>
          <w:noProof/>
          <w:sz w:val="24"/>
          <w:szCs w:val="24"/>
        </w:rPr>
      </w:pPr>
    </w:p>
    <w:p w:rsidR="00D874F1" w:rsidRPr="00D874F1" w:rsidRDefault="00D874F1" w:rsidP="00D874F1">
      <w:pPr>
        <w:jc w:val="center"/>
        <w:rPr>
          <w:b/>
          <w:bCs/>
          <w:sz w:val="28"/>
          <w:szCs w:val="28"/>
        </w:rPr>
      </w:pPr>
      <w:r w:rsidRPr="00D874F1">
        <w:rPr>
          <w:b/>
          <w:bCs/>
          <w:sz w:val="28"/>
          <w:szCs w:val="28"/>
        </w:rPr>
        <w:lastRenderedPageBreak/>
        <w:t>Two Out of Every Five Households Evaluated the Remote/Online Experience as Being Bad and did not Fulfill the Desired Task</w:t>
      </w:r>
    </w:p>
    <w:p w:rsidR="00D874F1" w:rsidRPr="001742FC" w:rsidRDefault="00D874F1" w:rsidP="00ED40F5">
      <w:pPr>
        <w:jc w:val="lowKashida"/>
        <w:rPr>
          <w:noProof/>
          <w:sz w:val="24"/>
          <w:szCs w:val="24"/>
        </w:rPr>
      </w:pPr>
    </w:p>
    <w:p w:rsidR="00040D3C" w:rsidRPr="001742FC" w:rsidRDefault="00040D3C" w:rsidP="00F6341A">
      <w:pPr>
        <w:jc w:val="lowKashida"/>
        <w:rPr>
          <w:noProof/>
          <w:sz w:val="24"/>
          <w:szCs w:val="24"/>
        </w:rPr>
      </w:pPr>
      <w:r w:rsidRPr="001742FC">
        <w:rPr>
          <w:rFonts w:hint="cs"/>
          <w:noProof/>
          <w:sz w:val="24"/>
          <w:szCs w:val="24"/>
          <w:rtl/>
        </w:rPr>
        <w:t>40</w:t>
      </w:r>
      <w:r w:rsidRPr="001742FC">
        <w:rPr>
          <w:noProof/>
          <w:sz w:val="24"/>
          <w:szCs w:val="24"/>
        </w:rPr>
        <w:t xml:space="preserve">% of households, </w:t>
      </w:r>
      <w:r w:rsidR="00F6341A" w:rsidRPr="001742FC">
        <w:rPr>
          <w:noProof/>
          <w:sz w:val="24"/>
          <w:szCs w:val="24"/>
        </w:rPr>
        <w:t xml:space="preserve">whose </w:t>
      </w:r>
      <w:r w:rsidRPr="001742FC">
        <w:rPr>
          <w:noProof/>
          <w:sz w:val="24"/>
          <w:szCs w:val="24"/>
        </w:rPr>
        <w:t>childern partcipated in any type of educational activities during the lockdown period, have evaluted the experince as being bad and didn’t fulfill the desired task. However, 39% of them have evaluted it as being good and fullfilled the desired task, but there is a room for enhacing the experience, whereas 21% of them evaluted this experince as being good and fulfilled the desired task.</w:t>
      </w:r>
    </w:p>
    <w:p w:rsidR="00040D3C" w:rsidRDefault="00040D3C" w:rsidP="00040D3C">
      <w:pPr>
        <w:bidi/>
        <w:jc w:val="lowKashida"/>
        <w:rPr>
          <w:rStyle w:val="1H"/>
          <w:rFonts w:ascii="Simplified Arabic" w:hAnsi="Simplified Arabic" w:cs="Simplified Arabic"/>
          <w:smallCaps/>
          <w:sz w:val="24"/>
          <w:szCs w:val="24"/>
          <w:rtl/>
        </w:rPr>
      </w:pPr>
    </w:p>
    <w:p w:rsidR="00D874F1" w:rsidRPr="00D874F1" w:rsidRDefault="00D874F1" w:rsidP="00D874F1">
      <w:pPr>
        <w:bidi/>
        <w:jc w:val="center"/>
        <w:rPr>
          <w:b/>
          <w:bCs/>
          <w:sz w:val="28"/>
          <w:szCs w:val="28"/>
        </w:rPr>
      </w:pPr>
      <w:r w:rsidRPr="00D874F1">
        <w:rPr>
          <w:b/>
          <w:bCs/>
          <w:sz w:val="28"/>
          <w:szCs w:val="28"/>
        </w:rPr>
        <w:t>About Half of the Households their Children were Deprived from Participating in Remote Education Due to Unavailability of Internet</w:t>
      </w:r>
    </w:p>
    <w:p w:rsidR="00D874F1" w:rsidRPr="00D874F1" w:rsidRDefault="00D874F1" w:rsidP="00D874F1">
      <w:pPr>
        <w:bidi/>
        <w:jc w:val="lowKashida"/>
        <w:rPr>
          <w:rStyle w:val="1H"/>
          <w:rFonts w:ascii="Simplified Arabic" w:hAnsi="Simplified Arabic" w:cs="Simplified Arabic"/>
          <w:smallCaps/>
          <w:sz w:val="24"/>
          <w:szCs w:val="24"/>
          <w:rtl/>
        </w:rPr>
      </w:pPr>
    </w:p>
    <w:p w:rsidR="00040D3C" w:rsidRPr="001742FC" w:rsidRDefault="00040D3C" w:rsidP="00040D3C">
      <w:pPr>
        <w:jc w:val="lowKashida"/>
        <w:rPr>
          <w:rStyle w:val="1H"/>
          <w:sz w:val="24"/>
          <w:szCs w:val="24"/>
          <w:rtl/>
        </w:rPr>
      </w:pPr>
      <w:r w:rsidRPr="001742FC">
        <w:rPr>
          <w:noProof/>
          <w:sz w:val="24"/>
          <w:szCs w:val="24"/>
        </w:rPr>
        <w:t xml:space="preserve">49% of households pointed out that the unavailability of intenet in the household prevented their children from participating in the educational activities during the lockdown period, while 22% of them did not participate due to the fact that the teachers did not perform/conduct any educational activities, and 13% of them did not participate due to the fact that the child him/herself did not want to carry out nor perform educational activities. </w:t>
      </w:r>
    </w:p>
    <w:p w:rsidR="003855A2" w:rsidRPr="001742FC" w:rsidRDefault="003855A2" w:rsidP="0016419D">
      <w:pPr>
        <w:bidi/>
        <w:jc w:val="lowKashida"/>
        <w:rPr>
          <w:rFonts w:ascii="Simplified Arabic" w:hAnsi="Simplified Arabic" w:cs="Simplified Arabic"/>
          <w:b/>
          <w:sz w:val="24"/>
          <w:szCs w:val="24"/>
          <w:rtl/>
        </w:rPr>
      </w:pPr>
    </w:p>
    <w:p w:rsidR="00A55D5B" w:rsidRPr="001742FC" w:rsidRDefault="00A55D5B" w:rsidP="00CB0B02">
      <w:pPr>
        <w:pStyle w:val="Heading2"/>
        <w:spacing w:before="0" w:after="0"/>
        <w:jc w:val="both"/>
        <w:rPr>
          <w:rStyle w:val="1H"/>
          <w:rFonts w:ascii="Times New Roman" w:hAnsi="Times New Roman" w:cs="Times New Roman"/>
          <w:b/>
          <w:i w:val="0"/>
          <w:iCs w:val="0"/>
          <w:sz w:val="24"/>
          <w:szCs w:val="24"/>
        </w:rPr>
      </w:pPr>
      <w:bookmarkStart w:id="11" w:name="_Toc51919707"/>
      <w:bookmarkStart w:id="12" w:name="_Toc51230537"/>
      <w:r w:rsidRPr="001742FC">
        <w:rPr>
          <w:rStyle w:val="1H"/>
          <w:rFonts w:ascii="Times New Roman" w:hAnsi="Times New Roman" w:cs="Times New Roman" w:hint="cs"/>
          <w:b/>
          <w:i w:val="0"/>
          <w:iCs w:val="0"/>
          <w:sz w:val="24"/>
          <w:szCs w:val="24"/>
          <w:rtl/>
        </w:rPr>
        <w:t>3</w:t>
      </w:r>
      <w:r w:rsidRPr="001742FC">
        <w:rPr>
          <w:rStyle w:val="1H"/>
          <w:rFonts w:ascii="Times New Roman" w:hAnsi="Times New Roman" w:cs="Times New Roman"/>
          <w:b/>
          <w:i w:val="0"/>
          <w:iCs w:val="0"/>
          <w:sz w:val="24"/>
          <w:szCs w:val="24"/>
        </w:rPr>
        <w:t xml:space="preserve">. Food Security and </w:t>
      </w:r>
      <w:r w:rsidR="00F6341A" w:rsidRPr="001742FC">
        <w:rPr>
          <w:rStyle w:val="1H"/>
          <w:rFonts w:ascii="Times New Roman" w:hAnsi="Times New Roman" w:cs="Times New Roman"/>
          <w:b/>
          <w:i w:val="0"/>
          <w:iCs w:val="0"/>
          <w:sz w:val="24"/>
          <w:szCs w:val="24"/>
        </w:rPr>
        <w:t>COVID-</w:t>
      </w:r>
      <w:r w:rsidRPr="001742FC">
        <w:rPr>
          <w:rStyle w:val="1H"/>
          <w:rFonts w:ascii="Times New Roman" w:hAnsi="Times New Roman" w:cs="Times New Roman"/>
          <w:b/>
          <w:i w:val="0"/>
          <w:iCs w:val="0"/>
          <w:sz w:val="24"/>
          <w:szCs w:val="24"/>
        </w:rPr>
        <w:t>19 Impact on Livelihoods</w:t>
      </w:r>
      <w:bookmarkEnd w:id="11"/>
      <w:r w:rsidRPr="001742FC">
        <w:rPr>
          <w:rStyle w:val="1H"/>
          <w:rFonts w:ascii="Times New Roman" w:hAnsi="Times New Roman" w:cs="Times New Roman"/>
          <w:b/>
          <w:i w:val="0"/>
          <w:iCs w:val="0"/>
          <w:sz w:val="24"/>
          <w:szCs w:val="24"/>
        </w:rPr>
        <w:t xml:space="preserve">  </w:t>
      </w:r>
      <w:r w:rsidRPr="001742FC">
        <w:rPr>
          <w:rStyle w:val="1H"/>
          <w:rFonts w:ascii="Times New Roman" w:hAnsi="Times New Roman" w:cs="Times New Roman"/>
          <w:b/>
          <w:i w:val="0"/>
          <w:iCs w:val="0"/>
          <w:sz w:val="24"/>
          <w:szCs w:val="24"/>
          <w:rtl/>
        </w:rPr>
        <w:t xml:space="preserve"> </w:t>
      </w:r>
    </w:p>
    <w:bookmarkEnd w:id="12"/>
    <w:p w:rsidR="00D874F1" w:rsidRDefault="00D874F1" w:rsidP="00D874F1">
      <w:pPr>
        <w:jc w:val="center"/>
        <w:rPr>
          <w:b/>
          <w:bCs/>
          <w:sz w:val="28"/>
          <w:szCs w:val="28"/>
        </w:rPr>
      </w:pPr>
    </w:p>
    <w:p w:rsidR="00D874F1" w:rsidRPr="00D874F1" w:rsidRDefault="00D874F1" w:rsidP="00D874F1">
      <w:pPr>
        <w:jc w:val="center"/>
        <w:rPr>
          <w:b/>
          <w:bCs/>
          <w:sz w:val="28"/>
          <w:szCs w:val="28"/>
        </w:rPr>
      </w:pPr>
      <w:r w:rsidRPr="00D874F1">
        <w:rPr>
          <w:b/>
          <w:bCs/>
          <w:sz w:val="28"/>
          <w:szCs w:val="28"/>
        </w:rPr>
        <w:t>Income of Two Out of Every Five Households Decreased to the Half and Even More</w:t>
      </w:r>
    </w:p>
    <w:p w:rsidR="00A55D5B" w:rsidRPr="00D874F1" w:rsidRDefault="00A55D5B" w:rsidP="003D7352">
      <w:pPr>
        <w:bidi/>
        <w:jc w:val="lowKashida"/>
        <w:rPr>
          <w:rFonts w:ascii="Simplified Arabic" w:hAnsi="Simplified Arabic" w:cs="Simplified Arabic"/>
          <w:sz w:val="20"/>
          <w:rtl/>
        </w:rPr>
      </w:pPr>
    </w:p>
    <w:p w:rsidR="00D42FCE" w:rsidRDefault="00D42FCE" w:rsidP="00D42FCE">
      <w:pPr>
        <w:jc w:val="lowKashida"/>
        <w:rPr>
          <w:rFonts w:ascii="Simplified Arabic" w:hAnsi="Simplified Arabic" w:cs="Simplified Arabic"/>
          <w:sz w:val="24"/>
          <w:szCs w:val="24"/>
        </w:rPr>
      </w:pPr>
      <w:r w:rsidRPr="001742FC">
        <w:rPr>
          <w:bCs/>
          <w:sz w:val="24"/>
          <w:szCs w:val="24"/>
        </w:rPr>
        <w:t xml:space="preserve">42% of Palestinian </w:t>
      </w:r>
      <w:r w:rsidR="008B0A64" w:rsidRPr="001742FC">
        <w:rPr>
          <w:bCs/>
          <w:sz w:val="24"/>
          <w:szCs w:val="24"/>
        </w:rPr>
        <w:t>household's</w:t>
      </w:r>
      <w:r w:rsidRPr="001742FC">
        <w:rPr>
          <w:bCs/>
          <w:sz w:val="24"/>
          <w:szCs w:val="24"/>
        </w:rPr>
        <w:t xml:space="preserve"> income declined to half and more during the lockdown period compared to February 2020 (46% in the West Bank and 38% in Gaza Strip). Results also showed that 31% of Palestinian households have income resources to cover the household expenditure during the lockdown period (31% of households with male main income earners and 40% of households with female main income earners)</w:t>
      </w:r>
      <w:r w:rsidR="00D874F1">
        <w:rPr>
          <w:rFonts w:ascii="Simplified Arabic" w:hAnsi="Simplified Arabic" w:cs="Simplified Arabic"/>
          <w:sz w:val="24"/>
          <w:szCs w:val="24"/>
        </w:rPr>
        <w:t>.</w:t>
      </w:r>
    </w:p>
    <w:p w:rsidR="00D874F1" w:rsidRPr="001742FC" w:rsidRDefault="00D874F1" w:rsidP="00D42FCE">
      <w:pPr>
        <w:jc w:val="lowKashida"/>
        <w:rPr>
          <w:rFonts w:ascii="Simplified Arabic" w:hAnsi="Simplified Arabic" w:cs="Simplified Arabic"/>
          <w:sz w:val="24"/>
          <w:szCs w:val="24"/>
        </w:rPr>
      </w:pPr>
    </w:p>
    <w:p w:rsidR="00D874F1" w:rsidRPr="00D874F1" w:rsidRDefault="00D874F1" w:rsidP="00D874F1">
      <w:pPr>
        <w:jc w:val="center"/>
        <w:rPr>
          <w:sz w:val="36"/>
          <w:szCs w:val="32"/>
        </w:rPr>
      </w:pPr>
      <w:r w:rsidRPr="00D874F1">
        <w:rPr>
          <w:b/>
          <w:bCs/>
          <w:sz w:val="28"/>
          <w:szCs w:val="28"/>
        </w:rPr>
        <w:t>Three Out of Every Five Households Can Cover their Expenses/Expenditures for a Month or Less as Usual in Case the Lockdown is Declared Again</w:t>
      </w:r>
    </w:p>
    <w:p w:rsidR="003D7352" w:rsidRPr="00D874F1" w:rsidRDefault="003D7352" w:rsidP="003D7352">
      <w:pPr>
        <w:bidi/>
        <w:jc w:val="lowKashida"/>
        <w:rPr>
          <w:rFonts w:ascii="Simplified Arabic" w:hAnsi="Simplified Arabic" w:cs="Simplified Arabic"/>
          <w:sz w:val="24"/>
          <w:szCs w:val="24"/>
          <w:rtl/>
        </w:rPr>
      </w:pPr>
    </w:p>
    <w:p w:rsidR="00D42FCE" w:rsidRPr="001742FC" w:rsidRDefault="00D42FCE" w:rsidP="008B0A64">
      <w:pPr>
        <w:jc w:val="lowKashida"/>
        <w:rPr>
          <w:rFonts w:ascii="Simplified Arabic" w:hAnsi="Simplified Arabic" w:cs="Simplified Arabic"/>
          <w:sz w:val="24"/>
          <w:szCs w:val="24"/>
        </w:rPr>
      </w:pPr>
      <w:r w:rsidRPr="001742FC">
        <w:rPr>
          <w:bCs/>
          <w:sz w:val="24"/>
          <w:szCs w:val="24"/>
        </w:rPr>
        <w:t>In case of lockdown, 63% of households can cover their expenses/</w:t>
      </w:r>
      <w:r w:rsidRPr="001742FC">
        <w:rPr>
          <w:sz w:val="24"/>
          <w:szCs w:val="24"/>
        </w:rPr>
        <w:t>expenditures</w:t>
      </w:r>
      <w:r w:rsidRPr="001742FC">
        <w:rPr>
          <w:bCs/>
          <w:sz w:val="24"/>
          <w:szCs w:val="24"/>
        </w:rPr>
        <w:t xml:space="preserve"> for a month or less (6</w:t>
      </w:r>
      <w:r w:rsidR="008B0A64" w:rsidRPr="001742FC">
        <w:rPr>
          <w:bCs/>
          <w:sz w:val="24"/>
          <w:szCs w:val="24"/>
        </w:rPr>
        <w:t>2</w:t>
      </w:r>
      <w:r w:rsidRPr="001742FC">
        <w:rPr>
          <w:bCs/>
          <w:sz w:val="24"/>
          <w:szCs w:val="24"/>
        </w:rPr>
        <w:t>% in the West Bank and 68% in Gaza Strip), while 10% of households can cover their expenses/</w:t>
      </w:r>
      <w:r w:rsidRPr="001742FC">
        <w:rPr>
          <w:sz w:val="24"/>
          <w:szCs w:val="24"/>
        </w:rPr>
        <w:t>expenditures</w:t>
      </w:r>
      <w:r w:rsidRPr="001742FC">
        <w:rPr>
          <w:bCs/>
          <w:sz w:val="24"/>
          <w:szCs w:val="24"/>
        </w:rPr>
        <w:t xml:space="preserve"> for four months and more (9% in the West Bank and 11% in Gaza Strip).  61% of the households are worried about not having enough food, while 57% of households have a less diversified diet and 47% cannot eat healthy food.</w:t>
      </w:r>
    </w:p>
    <w:p w:rsidR="00D42FCE" w:rsidRPr="001742FC" w:rsidRDefault="00D42FCE" w:rsidP="00D42FCE">
      <w:pPr>
        <w:jc w:val="lowKashida"/>
        <w:rPr>
          <w:rFonts w:ascii="Simplified Arabic" w:hAnsi="Simplified Arabic" w:cs="Simplified Arabic"/>
          <w:sz w:val="24"/>
          <w:szCs w:val="24"/>
        </w:rPr>
      </w:pPr>
    </w:p>
    <w:p w:rsidR="0068110A" w:rsidRPr="001742FC" w:rsidRDefault="00D42FCE" w:rsidP="0068110A">
      <w:pPr>
        <w:jc w:val="lowKashida"/>
        <w:rPr>
          <w:bCs/>
          <w:sz w:val="24"/>
          <w:szCs w:val="24"/>
        </w:rPr>
      </w:pPr>
      <w:r w:rsidRPr="001742FC">
        <w:rPr>
          <w:bCs/>
          <w:sz w:val="24"/>
          <w:szCs w:val="24"/>
        </w:rPr>
        <w:t xml:space="preserve">58% of Palestinian households usually borrow money or buy on credit to cover </w:t>
      </w:r>
      <w:r w:rsidR="008B0A64" w:rsidRPr="001742FC">
        <w:rPr>
          <w:bCs/>
          <w:sz w:val="24"/>
          <w:szCs w:val="24"/>
        </w:rPr>
        <w:t>household's</w:t>
      </w:r>
      <w:r w:rsidRPr="001742FC">
        <w:rPr>
          <w:bCs/>
          <w:sz w:val="24"/>
          <w:szCs w:val="24"/>
        </w:rPr>
        <w:t xml:space="preserve"> consumption items, including food. Not surprisingly, this percentage has risen up during the lockdown, reaching 63%. It was highest in Gaza Strip compared to </w:t>
      </w:r>
      <w:r w:rsidR="008B0A64" w:rsidRPr="001742FC">
        <w:rPr>
          <w:bCs/>
          <w:sz w:val="24"/>
          <w:szCs w:val="24"/>
        </w:rPr>
        <w:t xml:space="preserve">the </w:t>
      </w:r>
      <w:r w:rsidRPr="001742FC">
        <w:rPr>
          <w:bCs/>
          <w:sz w:val="24"/>
          <w:szCs w:val="24"/>
        </w:rPr>
        <w:t>West Bank</w:t>
      </w:r>
      <w:r w:rsidR="0068110A" w:rsidRPr="001742FC">
        <w:rPr>
          <w:bCs/>
          <w:sz w:val="24"/>
          <w:szCs w:val="24"/>
        </w:rPr>
        <w:t xml:space="preserve"> (79% in Gaza Strip and 52% in the West Bank).</w:t>
      </w:r>
      <w:r w:rsidR="0068110A" w:rsidRPr="001742FC">
        <w:rPr>
          <w:rFonts w:ascii="Simplified Arabic" w:hAnsi="Simplified Arabic" w:cs="Simplified Arabic" w:hint="cs"/>
          <w:b/>
          <w:bCs/>
          <w:noProof/>
          <w:sz w:val="28"/>
          <w:szCs w:val="24"/>
          <w:rtl/>
        </w:rPr>
        <w:t xml:space="preserve"> </w:t>
      </w:r>
      <w:r w:rsidR="00022048" w:rsidRPr="001742FC">
        <w:rPr>
          <w:bCs/>
          <w:sz w:val="24"/>
          <w:szCs w:val="24"/>
        </w:rPr>
        <w:t xml:space="preserve"> </w:t>
      </w:r>
    </w:p>
    <w:p w:rsidR="0068110A" w:rsidRPr="001742FC" w:rsidRDefault="0068110A" w:rsidP="00022048">
      <w:pPr>
        <w:jc w:val="lowKashida"/>
        <w:rPr>
          <w:bCs/>
          <w:sz w:val="24"/>
          <w:szCs w:val="24"/>
        </w:rPr>
      </w:pPr>
    </w:p>
    <w:p w:rsidR="009D0F28" w:rsidRPr="001742FC" w:rsidRDefault="00022048" w:rsidP="00022048">
      <w:pPr>
        <w:jc w:val="lowKashida"/>
        <w:rPr>
          <w:bCs/>
          <w:sz w:val="24"/>
          <w:szCs w:val="24"/>
          <w:rtl/>
        </w:rPr>
      </w:pPr>
      <w:r w:rsidRPr="001742FC">
        <w:rPr>
          <w:bCs/>
          <w:sz w:val="24"/>
          <w:szCs w:val="24"/>
        </w:rPr>
        <w:t>The monthly expenditures on food supplies declined for 41% of the households during the lockdown compared with February 2020 (42% in the West Bank and 40</w:t>
      </w:r>
      <w:r w:rsidR="0068110A" w:rsidRPr="001742FC">
        <w:rPr>
          <w:bCs/>
          <w:sz w:val="24"/>
          <w:szCs w:val="24"/>
        </w:rPr>
        <w:t>%</w:t>
      </w:r>
      <w:r w:rsidRPr="001742FC">
        <w:rPr>
          <w:bCs/>
          <w:sz w:val="24"/>
          <w:szCs w:val="24"/>
        </w:rPr>
        <w:t xml:space="preserve"> in Gaza Strip).</w:t>
      </w:r>
      <w:r w:rsidRPr="001742FC">
        <w:rPr>
          <w:rFonts w:ascii="Simplified Arabic" w:hAnsi="Simplified Arabic" w:cs="Simplified Arabic" w:hint="cs"/>
          <w:b/>
          <w:bCs/>
          <w:noProof/>
          <w:sz w:val="28"/>
          <w:szCs w:val="24"/>
          <w:rtl/>
        </w:rPr>
        <w:t xml:space="preserve"> </w:t>
      </w:r>
    </w:p>
    <w:p w:rsidR="00022048" w:rsidRPr="001742FC" w:rsidRDefault="00022048" w:rsidP="00022048">
      <w:pPr>
        <w:bidi/>
        <w:jc w:val="lowKashida"/>
        <w:rPr>
          <w:rFonts w:ascii="Simplified Arabic" w:hAnsi="Simplified Arabic" w:cs="Simplified Arabic"/>
          <w:sz w:val="24"/>
          <w:szCs w:val="24"/>
          <w:rtl/>
        </w:rPr>
      </w:pPr>
    </w:p>
    <w:p w:rsidR="00022048" w:rsidRPr="001742FC" w:rsidRDefault="00022048" w:rsidP="00CB0B02">
      <w:pPr>
        <w:pStyle w:val="Heading2"/>
        <w:spacing w:before="0" w:after="0"/>
        <w:jc w:val="both"/>
        <w:rPr>
          <w:rStyle w:val="1H"/>
          <w:rFonts w:ascii="Times New Roman" w:hAnsi="Times New Roman" w:cs="Times New Roman"/>
          <w:b/>
          <w:i w:val="0"/>
          <w:iCs w:val="0"/>
          <w:sz w:val="24"/>
          <w:szCs w:val="24"/>
        </w:rPr>
      </w:pPr>
      <w:bookmarkStart w:id="13" w:name="_Toc51919708"/>
      <w:r w:rsidRPr="001742FC">
        <w:rPr>
          <w:rStyle w:val="1H"/>
          <w:rFonts w:ascii="Times New Roman" w:hAnsi="Times New Roman" w:cs="Times New Roman" w:hint="cs"/>
          <w:b/>
          <w:i w:val="0"/>
          <w:iCs w:val="0"/>
          <w:sz w:val="24"/>
          <w:szCs w:val="24"/>
          <w:rtl/>
        </w:rPr>
        <w:lastRenderedPageBreak/>
        <w:t>4</w:t>
      </w:r>
      <w:r w:rsidRPr="001742FC">
        <w:rPr>
          <w:rStyle w:val="1H"/>
          <w:rFonts w:ascii="Times New Roman" w:hAnsi="Times New Roman" w:cs="Times New Roman"/>
          <w:b/>
          <w:i w:val="0"/>
          <w:iCs w:val="0"/>
          <w:sz w:val="24"/>
          <w:szCs w:val="24"/>
        </w:rPr>
        <w:t xml:space="preserve">. </w:t>
      </w:r>
      <w:r w:rsidR="00274A52" w:rsidRPr="001742FC">
        <w:rPr>
          <w:rStyle w:val="1H"/>
          <w:rFonts w:ascii="Times New Roman" w:hAnsi="Times New Roman" w:cs="Times New Roman"/>
          <w:b/>
          <w:i w:val="0"/>
          <w:iCs w:val="0"/>
          <w:sz w:val="24"/>
          <w:szCs w:val="24"/>
        </w:rPr>
        <w:t>COVID-</w:t>
      </w:r>
      <w:r w:rsidRPr="001742FC">
        <w:rPr>
          <w:rStyle w:val="1H"/>
          <w:rFonts w:ascii="Times New Roman" w:hAnsi="Times New Roman" w:cs="Times New Roman"/>
          <w:b/>
          <w:i w:val="0"/>
          <w:iCs w:val="0"/>
          <w:sz w:val="24"/>
          <w:szCs w:val="24"/>
        </w:rPr>
        <w:t>19 Impact on Social Assistance Programs</w:t>
      </w:r>
      <w:bookmarkEnd w:id="13"/>
      <w:r w:rsidRPr="001742FC">
        <w:rPr>
          <w:rStyle w:val="1H"/>
          <w:rFonts w:ascii="Times New Roman" w:hAnsi="Times New Roman" w:cs="Times New Roman"/>
          <w:b/>
          <w:i w:val="0"/>
          <w:iCs w:val="0"/>
          <w:sz w:val="24"/>
          <w:szCs w:val="24"/>
        </w:rPr>
        <w:t xml:space="preserve">  </w:t>
      </w:r>
    </w:p>
    <w:p w:rsidR="00022048" w:rsidRPr="001742FC" w:rsidRDefault="00022048" w:rsidP="00022048">
      <w:pPr>
        <w:jc w:val="lowKashida"/>
        <w:rPr>
          <w:bCs/>
          <w:sz w:val="24"/>
          <w:szCs w:val="24"/>
        </w:rPr>
      </w:pPr>
      <w:r w:rsidRPr="001742FC">
        <w:rPr>
          <w:bCs/>
          <w:sz w:val="24"/>
          <w:szCs w:val="24"/>
        </w:rPr>
        <w:t>Social protection in Palestine rests on several political interventions ranging from food vouchers programs to job assistance. The programs record more beneficiaries in Gaza Strip than in the West Bank. Around 63% of the households in Gaza Strip receive food vouchers program compared with 5% in the West Bank. Accordingly, households with female main income earners are more likely to be beneficiaries of such programs than households with male main income earners (28% of male income earners and 41% of female income earners).</w:t>
      </w:r>
    </w:p>
    <w:p w:rsidR="00022048" w:rsidRPr="001742FC" w:rsidRDefault="00022048" w:rsidP="00022048">
      <w:pPr>
        <w:jc w:val="lowKashida"/>
        <w:rPr>
          <w:bCs/>
          <w:sz w:val="24"/>
          <w:szCs w:val="24"/>
        </w:rPr>
      </w:pPr>
    </w:p>
    <w:p w:rsidR="00022048" w:rsidRPr="001742FC" w:rsidRDefault="0068110A" w:rsidP="003C0CBD">
      <w:pPr>
        <w:jc w:val="lowKashida"/>
        <w:rPr>
          <w:sz w:val="24"/>
          <w:szCs w:val="24"/>
          <w:rtl/>
        </w:rPr>
      </w:pPr>
      <w:r w:rsidRPr="001742FC">
        <w:rPr>
          <w:bCs/>
          <w:sz w:val="24"/>
          <w:szCs w:val="24"/>
        </w:rPr>
        <w:t xml:space="preserve">During the lockdown period, there was a </w:t>
      </w:r>
      <w:r w:rsidR="003C0CBD" w:rsidRPr="001742FC">
        <w:rPr>
          <w:bCs/>
          <w:sz w:val="24"/>
          <w:szCs w:val="24"/>
        </w:rPr>
        <w:t xml:space="preserve">key </w:t>
      </w:r>
      <w:r w:rsidRPr="001742FC">
        <w:rPr>
          <w:bCs/>
          <w:sz w:val="24"/>
          <w:szCs w:val="24"/>
        </w:rPr>
        <w:t xml:space="preserve">role for the government and for social </w:t>
      </w:r>
      <w:r w:rsidR="003C0CBD" w:rsidRPr="001742FC">
        <w:rPr>
          <w:bCs/>
          <w:sz w:val="24"/>
          <w:szCs w:val="24"/>
        </w:rPr>
        <w:t xml:space="preserve">solidarity </w:t>
      </w:r>
      <w:r w:rsidR="00756FBF" w:rsidRPr="001742FC">
        <w:rPr>
          <w:bCs/>
          <w:sz w:val="24"/>
          <w:szCs w:val="24"/>
        </w:rPr>
        <w:t>inside</w:t>
      </w:r>
      <w:r w:rsidRPr="001742FC">
        <w:rPr>
          <w:bCs/>
          <w:sz w:val="24"/>
          <w:szCs w:val="24"/>
        </w:rPr>
        <w:t xml:space="preserve"> the Palestinian community in facing the social and economic challenges resulting from the pandemic</w:t>
      </w:r>
      <w:r w:rsidR="003C155A" w:rsidRPr="001742FC">
        <w:rPr>
          <w:bCs/>
          <w:sz w:val="24"/>
          <w:szCs w:val="24"/>
        </w:rPr>
        <w:t>, where the</w:t>
      </w:r>
      <w:r w:rsidR="00F65D5F" w:rsidRPr="001742FC">
        <w:rPr>
          <w:bCs/>
          <w:sz w:val="24"/>
          <w:szCs w:val="24"/>
        </w:rPr>
        <w:t xml:space="preserve"> </w:t>
      </w:r>
      <w:r w:rsidR="00AA0D63" w:rsidRPr="001742FC">
        <w:rPr>
          <w:bCs/>
          <w:sz w:val="24"/>
          <w:szCs w:val="24"/>
        </w:rPr>
        <w:t>data</w:t>
      </w:r>
      <w:r w:rsidRPr="001742FC">
        <w:rPr>
          <w:bCs/>
          <w:sz w:val="24"/>
          <w:szCs w:val="24"/>
        </w:rPr>
        <w:t xml:space="preserve"> </w:t>
      </w:r>
      <w:r w:rsidR="00756FBF" w:rsidRPr="001742FC">
        <w:rPr>
          <w:bCs/>
          <w:sz w:val="24"/>
          <w:szCs w:val="24"/>
        </w:rPr>
        <w:t>showed</w:t>
      </w:r>
      <w:r w:rsidRPr="001742FC">
        <w:rPr>
          <w:bCs/>
          <w:sz w:val="24"/>
          <w:szCs w:val="24"/>
        </w:rPr>
        <w:t xml:space="preserve"> </w:t>
      </w:r>
      <w:r w:rsidR="003C155A" w:rsidRPr="001742FC">
        <w:rPr>
          <w:bCs/>
          <w:sz w:val="24"/>
          <w:szCs w:val="24"/>
        </w:rPr>
        <w:t>that</w:t>
      </w:r>
      <w:r w:rsidR="00AA0D63" w:rsidRPr="001742FC">
        <w:rPr>
          <w:bCs/>
          <w:sz w:val="24"/>
          <w:szCs w:val="24"/>
        </w:rPr>
        <w:t xml:space="preserve"> as a result of imposing the lockdown,</w:t>
      </w:r>
      <w:r w:rsidRPr="001742FC">
        <w:rPr>
          <w:bCs/>
          <w:sz w:val="24"/>
          <w:szCs w:val="24"/>
        </w:rPr>
        <w:t xml:space="preserve"> </w:t>
      </w:r>
      <w:r w:rsidR="003C155A" w:rsidRPr="001742FC">
        <w:rPr>
          <w:sz w:val="24"/>
          <w:szCs w:val="24"/>
        </w:rPr>
        <w:t xml:space="preserve">15% </w:t>
      </w:r>
      <w:r w:rsidRPr="001742FC">
        <w:rPr>
          <w:bCs/>
          <w:sz w:val="24"/>
          <w:szCs w:val="24"/>
        </w:rPr>
        <w:t xml:space="preserve">of </w:t>
      </w:r>
      <w:r w:rsidR="00756FBF" w:rsidRPr="001742FC">
        <w:rPr>
          <w:sz w:val="24"/>
          <w:szCs w:val="24"/>
        </w:rPr>
        <w:t xml:space="preserve">households </w:t>
      </w:r>
      <w:r w:rsidRPr="001742FC">
        <w:rPr>
          <w:bCs/>
          <w:sz w:val="24"/>
          <w:szCs w:val="24"/>
        </w:rPr>
        <w:t xml:space="preserve">that </w:t>
      </w:r>
      <w:r w:rsidR="003C155A" w:rsidRPr="001742FC">
        <w:rPr>
          <w:bCs/>
          <w:sz w:val="24"/>
          <w:szCs w:val="24"/>
        </w:rPr>
        <w:t xml:space="preserve">received </w:t>
      </w:r>
      <w:r w:rsidR="003C155A" w:rsidRPr="001742FC">
        <w:rPr>
          <w:sz w:val="24"/>
          <w:szCs w:val="24"/>
        </w:rPr>
        <w:t>assistance in form of food vouchers and food supplies</w:t>
      </w:r>
      <w:r w:rsidR="00AA0D63" w:rsidRPr="001742FC">
        <w:rPr>
          <w:sz w:val="24"/>
          <w:szCs w:val="24"/>
        </w:rPr>
        <w:t xml:space="preserve"> </w:t>
      </w:r>
      <w:r w:rsidRPr="001742FC">
        <w:rPr>
          <w:bCs/>
          <w:sz w:val="24"/>
          <w:szCs w:val="24"/>
        </w:rPr>
        <w:t xml:space="preserve">were not benefiting from any </w:t>
      </w:r>
      <w:r w:rsidR="00756FBF" w:rsidRPr="001742FC">
        <w:rPr>
          <w:sz w:val="24"/>
          <w:szCs w:val="24"/>
        </w:rPr>
        <w:t xml:space="preserve">assistance </w:t>
      </w:r>
      <w:r w:rsidRPr="001742FC">
        <w:rPr>
          <w:bCs/>
          <w:sz w:val="24"/>
          <w:szCs w:val="24"/>
        </w:rPr>
        <w:t xml:space="preserve">and social protection programs before the </w:t>
      </w:r>
      <w:r w:rsidR="00F65D5F" w:rsidRPr="001742FC">
        <w:rPr>
          <w:bCs/>
          <w:sz w:val="24"/>
          <w:szCs w:val="24"/>
        </w:rPr>
        <w:t>lockdown</w:t>
      </w:r>
      <w:r w:rsidRPr="001742FC">
        <w:rPr>
          <w:bCs/>
          <w:sz w:val="24"/>
          <w:szCs w:val="24"/>
        </w:rPr>
        <w:t xml:space="preserve">, </w:t>
      </w:r>
      <w:r w:rsidR="00F65D5F" w:rsidRPr="001742FC" w:rsidDel="003C155A">
        <w:rPr>
          <w:bCs/>
          <w:sz w:val="24"/>
          <w:szCs w:val="24"/>
        </w:rPr>
        <w:t xml:space="preserve"> </w:t>
      </w:r>
      <w:r w:rsidR="00022048" w:rsidRPr="001742FC">
        <w:rPr>
          <w:sz w:val="24"/>
          <w:szCs w:val="24"/>
        </w:rPr>
        <w:t xml:space="preserve"> </w:t>
      </w:r>
      <w:r w:rsidR="00AA0D63" w:rsidRPr="001742FC">
        <w:rPr>
          <w:sz w:val="24"/>
          <w:szCs w:val="24"/>
        </w:rPr>
        <w:t xml:space="preserve">followed by </w:t>
      </w:r>
      <w:r w:rsidR="00022048" w:rsidRPr="001742FC">
        <w:rPr>
          <w:sz w:val="24"/>
          <w:szCs w:val="24"/>
        </w:rPr>
        <w:t xml:space="preserve">government cash transfers </w:t>
      </w:r>
      <w:r w:rsidR="00AA0D63" w:rsidRPr="001742FC">
        <w:rPr>
          <w:sz w:val="24"/>
          <w:szCs w:val="24"/>
        </w:rPr>
        <w:t xml:space="preserve">with </w:t>
      </w:r>
      <w:r w:rsidR="00022048" w:rsidRPr="001742FC">
        <w:rPr>
          <w:sz w:val="24"/>
          <w:szCs w:val="24"/>
        </w:rPr>
        <w:t xml:space="preserve">(5%), and family/friends transfers from inside of Palestine (Domestic) </w:t>
      </w:r>
      <w:r w:rsidR="00AA0D63" w:rsidRPr="001742FC">
        <w:rPr>
          <w:sz w:val="24"/>
          <w:szCs w:val="24"/>
        </w:rPr>
        <w:t xml:space="preserve">with </w:t>
      </w:r>
      <w:r w:rsidR="00022048" w:rsidRPr="001742FC">
        <w:rPr>
          <w:sz w:val="24"/>
          <w:szCs w:val="24"/>
        </w:rPr>
        <w:t xml:space="preserve">(4%).   </w:t>
      </w:r>
    </w:p>
    <w:p w:rsidR="00022048" w:rsidRPr="001742FC" w:rsidRDefault="00022048" w:rsidP="00022048">
      <w:pPr>
        <w:jc w:val="lowKashida"/>
        <w:rPr>
          <w:bCs/>
          <w:sz w:val="24"/>
          <w:szCs w:val="24"/>
        </w:rPr>
      </w:pPr>
    </w:p>
    <w:p w:rsidR="00022048" w:rsidRPr="001742FC" w:rsidRDefault="00022048" w:rsidP="00CB0B02">
      <w:pPr>
        <w:pStyle w:val="Heading2"/>
        <w:spacing w:before="0" w:after="0"/>
        <w:jc w:val="both"/>
        <w:rPr>
          <w:rStyle w:val="1H"/>
          <w:rFonts w:ascii="Times New Roman" w:hAnsi="Times New Roman" w:cs="Times New Roman"/>
          <w:b/>
          <w:i w:val="0"/>
          <w:iCs w:val="0"/>
          <w:sz w:val="24"/>
          <w:szCs w:val="24"/>
        </w:rPr>
      </w:pPr>
      <w:bookmarkStart w:id="14" w:name="_Toc51919709"/>
      <w:r w:rsidRPr="001742FC">
        <w:rPr>
          <w:rStyle w:val="1H"/>
          <w:rFonts w:ascii="Times New Roman" w:hAnsi="Times New Roman" w:cs="Times New Roman" w:hint="cs"/>
          <w:b/>
          <w:i w:val="0"/>
          <w:iCs w:val="0"/>
          <w:sz w:val="24"/>
          <w:szCs w:val="24"/>
          <w:rtl/>
        </w:rPr>
        <w:t>5</w:t>
      </w:r>
      <w:r w:rsidRPr="001742FC">
        <w:rPr>
          <w:rStyle w:val="1H"/>
          <w:rFonts w:ascii="Times New Roman" w:hAnsi="Times New Roman" w:cs="Times New Roman"/>
          <w:b/>
          <w:i w:val="0"/>
          <w:iCs w:val="0"/>
          <w:sz w:val="24"/>
          <w:szCs w:val="24"/>
        </w:rPr>
        <w:t xml:space="preserve">. Citizens Priorities to Limit the Impact of </w:t>
      </w:r>
      <w:r w:rsidR="00F65D5F" w:rsidRPr="001742FC">
        <w:rPr>
          <w:rStyle w:val="1H"/>
          <w:rFonts w:ascii="Times New Roman" w:hAnsi="Times New Roman" w:cs="Times New Roman"/>
          <w:b/>
          <w:i w:val="0"/>
          <w:iCs w:val="0"/>
          <w:sz w:val="24"/>
          <w:szCs w:val="24"/>
        </w:rPr>
        <w:t>COVID-</w:t>
      </w:r>
      <w:r w:rsidRPr="001742FC">
        <w:rPr>
          <w:rStyle w:val="1H"/>
          <w:rFonts w:ascii="Times New Roman" w:hAnsi="Times New Roman" w:cs="Times New Roman"/>
          <w:b/>
          <w:i w:val="0"/>
          <w:iCs w:val="0"/>
          <w:sz w:val="24"/>
          <w:szCs w:val="24"/>
        </w:rPr>
        <w:t>19</w:t>
      </w:r>
      <w:bookmarkEnd w:id="14"/>
      <w:r w:rsidRPr="001742FC">
        <w:rPr>
          <w:rStyle w:val="1H"/>
          <w:rFonts w:ascii="Times New Roman" w:hAnsi="Times New Roman" w:cs="Times New Roman"/>
          <w:b/>
          <w:i w:val="0"/>
          <w:iCs w:val="0"/>
          <w:sz w:val="24"/>
          <w:szCs w:val="24"/>
        </w:rPr>
        <w:t xml:space="preserve"> </w:t>
      </w:r>
      <w:r w:rsidRPr="001742FC">
        <w:rPr>
          <w:rStyle w:val="1H"/>
          <w:rFonts w:ascii="Times New Roman" w:hAnsi="Times New Roman" w:cs="Times New Roman"/>
          <w:b/>
          <w:i w:val="0"/>
          <w:iCs w:val="0"/>
          <w:sz w:val="24"/>
          <w:szCs w:val="24"/>
          <w:rtl/>
        </w:rPr>
        <w:t xml:space="preserve"> </w:t>
      </w:r>
    </w:p>
    <w:p w:rsidR="008D6292" w:rsidRPr="001742FC" w:rsidRDefault="00022048" w:rsidP="00F157CD">
      <w:pPr>
        <w:jc w:val="both"/>
        <w:rPr>
          <w:sz w:val="24"/>
          <w:szCs w:val="24"/>
        </w:rPr>
      </w:pPr>
      <w:r w:rsidRPr="001742FC">
        <w:rPr>
          <w:sz w:val="24"/>
          <w:szCs w:val="24"/>
        </w:rPr>
        <w:t>29% of the households responded that the cash transfer programs are the most desirable measures and procedures the government should be taken in such times of crisis</w:t>
      </w:r>
      <w:r w:rsidR="00CB4811" w:rsidRPr="001742FC">
        <w:rPr>
          <w:sz w:val="24"/>
          <w:szCs w:val="24"/>
        </w:rPr>
        <w:t>.</w:t>
      </w:r>
      <w:r w:rsidRPr="001742FC">
        <w:rPr>
          <w:sz w:val="24"/>
          <w:szCs w:val="24"/>
        </w:rPr>
        <w:t xml:space="preserve"> </w:t>
      </w:r>
      <w:r w:rsidR="00CB4811" w:rsidRPr="001742FC">
        <w:rPr>
          <w:sz w:val="24"/>
          <w:szCs w:val="24"/>
        </w:rPr>
        <w:t>W</w:t>
      </w:r>
      <w:r w:rsidRPr="001742FC">
        <w:rPr>
          <w:sz w:val="24"/>
          <w:szCs w:val="24"/>
        </w:rPr>
        <w:t>hile</w:t>
      </w:r>
      <w:r w:rsidR="00CB4811" w:rsidRPr="001742FC">
        <w:rPr>
          <w:rFonts w:hint="cs"/>
          <w:sz w:val="24"/>
          <w:szCs w:val="24"/>
          <w:rtl/>
        </w:rPr>
        <w:t xml:space="preserve"> </w:t>
      </w:r>
      <w:r w:rsidRPr="001742FC">
        <w:rPr>
          <w:sz w:val="24"/>
          <w:szCs w:val="24"/>
        </w:rPr>
        <w:t>job opportunity and employment program came as the second priority at a percentage of 21%</w:t>
      </w:r>
      <w:r w:rsidR="00CB4811" w:rsidRPr="001742FC">
        <w:rPr>
          <w:sz w:val="24"/>
          <w:szCs w:val="24"/>
        </w:rPr>
        <w:t>.</w:t>
      </w:r>
      <w:r w:rsidRPr="001742FC">
        <w:rPr>
          <w:sz w:val="24"/>
          <w:szCs w:val="24"/>
        </w:rPr>
        <w:t xml:space="preserve"> </w:t>
      </w:r>
      <w:r w:rsidR="00CB4811" w:rsidRPr="001742FC">
        <w:rPr>
          <w:sz w:val="24"/>
          <w:szCs w:val="24"/>
        </w:rPr>
        <w:t>Whereas</w:t>
      </w:r>
      <w:r w:rsidRPr="001742FC">
        <w:rPr>
          <w:sz w:val="24"/>
          <w:szCs w:val="24"/>
        </w:rPr>
        <w:t xml:space="preserve"> the third priority expressed by the respondents of the phone survey was food vouchers, food supplies parcels and procurement coupons (19%)</w:t>
      </w:r>
      <w:r w:rsidR="00F157CD" w:rsidRPr="001742FC">
        <w:rPr>
          <w:sz w:val="24"/>
          <w:szCs w:val="24"/>
        </w:rPr>
        <w:t xml:space="preserve">; taking into consideration that there is </w:t>
      </w:r>
      <w:r w:rsidR="003C0CBD" w:rsidRPr="001742FC">
        <w:rPr>
          <w:sz w:val="24"/>
          <w:szCs w:val="24"/>
        </w:rPr>
        <w:t xml:space="preserve">a </w:t>
      </w:r>
      <w:r w:rsidR="00F157CD" w:rsidRPr="001742FC">
        <w:rPr>
          <w:sz w:val="24"/>
          <w:szCs w:val="24"/>
        </w:rPr>
        <w:t>variation between the West Bank and Gaza Strip as shown below</w:t>
      </w:r>
      <w:r w:rsidR="00CB4811" w:rsidRPr="001742FC">
        <w:rPr>
          <w:sz w:val="24"/>
          <w:szCs w:val="24"/>
        </w:rPr>
        <w:t>.</w:t>
      </w:r>
      <w:r w:rsidRPr="001742FC">
        <w:rPr>
          <w:sz w:val="24"/>
          <w:szCs w:val="24"/>
        </w:rPr>
        <w:t xml:space="preserve">  </w:t>
      </w:r>
    </w:p>
    <w:p w:rsidR="00756FBF" w:rsidRPr="001742FC" w:rsidRDefault="00756FBF" w:rsidP="00022048">
      <w:pPr>
        <w:jc w:val="both"/>
        <w:rPr>
          <w:sz w:val="24"/>
          <w:szCs w:val="24"/>
        </w:rPr>
      </w:pPr>
    </w:p>
    <w:p w:rsidR="00756FBF" w:rsidRPr="00022048" w:rsidRDefault="00CE729F" w:rsidP="00022048">
      <w:pPr>
        <w:jc w:val="both"/>
        <w:rPr>
          <w:rFonts w:ascii="Simplified Arabic" w:hAnsi="Simplified Arabic" w:cs="Simplified Arabic"/>
          <w:sz w:val="24"/>
          <w:szCs w:val="24"/>
          <w:rtl/>
        </w:rPr>
      </w:pPr>
      <w:r>
        <w:rPr>
          <w:noProof/>
          <w:rtl/>
        </w:rPr>
        <w:drawing>
          <wp:anchor distT="0" distB="0" distL="114300" distR="114300" simplePos="0" relativeHeight="251658752" behindDoc="1" locked="0" layoutInCell="1" allowOverlap="1">
            <wp:simplePos x="0" y="0"/>
            <wp:positionH relativeFrom="margin">
              <wp:posOffset>-12065</wp:posOffset>
            </wp:positionH>
            <wp:positionV relativeFrom="paragraph">
              <wp:posOffset>249555</wp:posOffset>
            </wp:positionV>
            <wp:extent cx="5906770" cy="3139440"/>
            <wp:effectExtent l="0" t="0" r="635" b="635"/>
            <wp:wrapTight wrapText="bothSides">
              <wp:wrapPolygon edited="0">
                <wp:start x="0" y="0"/>
                <wp:lineTo x="0" y="21548"/>
                <wp:lineTo x="21530" y="21548"/>
                <wp:lineTo x="21530" y="0"/>
                <wp:lineTo x="0" y="0"/>
              </wp:wrapPolygon>
            </wp:wrapTight>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sectPr w:rsidR="00756FBF" w:rsidRPr="00022048" w:rsidSect="00ED5460">
      <w:footerReference w:type="even" r:id="rId11"/>
      <w:footerReference w:type="default" r:id="rId12"/>
      <w:pgSz w:w="11907" w:h="16839" w:code="9"/>
      <w:pgMar w:top="1134" w:right="1134" w:bottom="1134" w:left="1134" w:header="720" w:footer="720" w:gutter="0"/>
      <w:cols w:space="1542"/>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94" w:rsidRPr="00024C28" w:rsidRDefault="00191F94" w:rsidP="00024C28">
      <w:pPr>
        <w:pStyle w:val="Footer"/>
      </w:pPr>
    </w:p>
  </w:endnote>
  <w:endnote w:type="continuationSeparator" w:id="0">
    <w:p w:rsidR="00191F94" w:rsidRDefault="00191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3F" w:rsidRPr="003028CE" w:rsidRDefault="003F473F" w:rsidP="00AE379B">
    <w:pPr>
      <w:pStyle w:val="Footer"/>
      <w:bidi/>
      <w:rPr>
        <w:rFonts w:ascii="Calibri" w:hAnsi="Calibri"/>
        <w:b/>
        <w:sz w:val="20"/>
      </w:rPr>
    </w:pPr>
    <w:r w:rsidRPr="003028CE">
      <w:rPr>
        <w:rFonts w:ascii="Calibri" w:hAnsi="Calibri"/>
        <w:b/>
        <w:sz w:val="20"/>
      </w:rPr>
      <w:tab/>
      <w:t xml:space="preserve">| </w:t>
    </w:r>
    <w:r w:rsidR="00FC1FD4" w:rsidRPr="003028CE">
      <w:rPr>
        <w:rFonts w:ascii="Calibri" w:hAnsi="Calibri"/>
        <w:b/>
        <w:sz w:val="20"/>
      </w:rPr>
      <w:fldChar w:fldCharType="begin"/>
    </w:r>
    <w:r w:rsidRPr="003028CE">
      <w:rPr>
        <w:rFonts w:ascii="Calibri" w:hAnsi="Calibri"/>
        <w:b/>
        <w:sz w:val="20"/>
      </w:rPr>
      <w:instrText xml:space="preserve"> PAGE   \* MERGEFORMAT </w:instrText>
    </w:r>
    <w:r w:rsidR="00FC1FD4" w:rsidRPr="003028CE">
      <w:rPr>
        <w:rFonts w:ascii="Calibri" w:hAnsi="Calibri"/>
        <w:b/>
        <w:sz w:val="20"/>
      </w:rPr>
      <w:fldChar w:fldCharType="separate"/>
    </w:r>
    <w:r>
      <w:rPr>
        <w:rFonts w:ascii="Calibri" w:hAnsi="Calibri"/>
        <w:b/>
        <w:noProof/>
        <w:sz w:val="20"/>
        <w:rtl/>
      </w:rPr>
      <w:t>2</w:t>
    </w:r>
    <w:r w:rsidR="00FC1FD4" w:rsidRPr="003028CE">
      <w:rPr>
        <w:rFonts w:ascii="Calibri" w:hAnsi="Calibri"/>
        <w:b/>
        <w:noProof/>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3F" w:rsidRPr="002B3E71" w:rsidRDefault="00FC1FD4" w:rsidP="002B3E71">
    <w:pPr>
      <w:pStyle w:val="Footer"/>
      <w:pBdr>
        <w:top w:val="single" w:sz="4" w:space="1" w:color="D9D9D9"/>
      </w:pBdr>
      <w:jc w:val="right"/>
      <w:rPr>
        <w:color w:val="17365D"/>
      </w:rPr>
    </w:pPr>
    <w:r w:rsidRPr="002B3E71">
      <w:rPr>
        <w:color w:val="17365D"/>
      </w:rPr>
      <w:fldChar w:fldCharType="begin"/>
    </w:r>
    <w:r w:rsidR="003F473F" w:rsidRPr="002B3E71">
      <w:rPr>
        <w:color w:val="17365D"/>
      </w:rPr>
      <w:instrText xml:space="preserve"> PAGE   \* MERGEFORMAT </w:instrText>
    </w:r>
    <w:r w:rsidRPr="002B3E71">
      <w:rPr>
        <w:color w:val="17365D"/>
      </w:rPr>
      <w:fldChar w:fldCharType="separate"/>
    </w:r>
    <w:r w:rsidR="00CE729F">
      <w:rPr>
        <w:noProof/>
        <w:color w:val="17365D"/>
      </w:rPr>
      <w:t>1</w:t>
    </w:r>
    <w:r w:rsidRPr="002B3E71">
      <w:rPr>
        <w:noProof/>
        <w:color w:val="17365D"/>
      </w:rPr>
      <w:fldChar w:fldCharType="end"/>
    </w:r>
    <w:r w:rsidR="003F473F" w:rsidRPr="002B3E71">
      <w:rPr>
        <w:color w:val="17365D"/>
      </w:rPr>
      <w:t xml:space="preserve"> | </w:t>
    </w:r>
  </w:p>
  <w:p w:rsidR="003F473F" w:rsidRDefault="003F4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94" w:rsidRDefault="00191F94">
      <w:r>
        <w:separator/>
      </w:r>
    </w:p>
  </w:footnote>
  <w:footnote w:type="continuationSeparator" w:id="0">
    <w:p w:rsidR="00191F94" w:rsidRDefault="00191F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34E"/>
    <w:multiLevelType w:val="hybridMultilevel"/>
    <w:tmpl w:val="6F2C8B6E"/>
    <w:lvl w:ilvl="0" w:tplc="493CCF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58E4"/>
    <w:multiLevelType w:val="multilevel"/>
    <w:tmpl w:val="E37253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BF6F7C"/>
    <w:multiLevelType w:val="hybridMultilevel"/>
    <w:tmpl w:val="7F9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50CF8"/>
    <w:multiLevelType w:val="hybridMultilevel"/>
    <w:tmpl w:val="A7FA97F2"/>
    <w:lvl w:ilvl="0" w:tplc="04090003">
      <w:start w:val="1"/>
      <w:numFmt w:val="bullet"/>
      <w:lvlText w:val="o"/>
      <w:lvlJc w:val="left"/>
      <w:pPr>
        <w:tabs>
          <w:tab w:val="num" w:pos="648"/>
        </w:tabs>
        <w:ind w:left="648" w:hanging="360"/>
      </w:pPr>
      <w:rPr>
        <w:rFonts w:ascii="Courier New" w:hAnsi="Courier New" w:cs="Courier New" w:hint="default"/>
      </w:rPr>
    </w:lvl>
    <w:lvl w:ilvl="1" w:tplc="1EA03C74">
      <w:start w:val="1"/>
      <w:numFmt w:val="bullet"/>
      <w:lvlText w:val=""/>
      <w:lvlJc w:val="left"/>
      <w:pPr>
        <w:tabs>
          <w:tab w:val="num" w:pos="1656"/>
        </w:tabs>
        <w:ind w:left="1656" w:hanging="288"/>
      </w:pPr>
      <w:rPr>
        <w:rFonts w:ascii="Symbol" w:hAnsi="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15272C3D"/>
    <w:multiLevelType w:val="hybridMultilevel"/>
    <w:tmpl w:val="C49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1567C"/>
    <w:multiLevelType w:val="hybridMultilevel"/>
    <w:tmpl w:val="31B8C6D2"/>
    <w:lvl w:ilvl="0" w:tplc="4E7E8F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B6482"/>
    <w:multiLevelType w:val="hybridMultilevel"/>
    <w:tmpl w:val="710A1666"/>
    <w:lvl w:ilvl="0" w:tplc="0F4654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AB1513"/>
    <w:multiLevelType w:val="hybridMultilevel"/>
    <w:tmpl w:val="4D6CA4E2"/>
    <w:lvl w:ilvl="0" w:tplc="639E267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C5CC5"/>
    <w:multiLevelType w:val="hybridMultilevel"/>
    <w:tmpl w:val="942274F4"/>
    <w:lvl w:ilvl="0" w:tplc="2EDAA9A8">
      <w:start w:val="1"/>
      <w:numFmt w:val="bullet"/>
      <w:lvlText w:val=""/>
      <w:lvlJc w:val="left"/>
      <w:pPr>
        <w:tabs>
          <w:tab w:val="num" w:pos="720"/>
        </w:tabs>
        <w:ind w:left="720" w:hanging="360"/>
      </w:pPr>
      <w:rPr>
        <w:rFonts w:ascii="Symbol" w:hAnsi="Symbol" w:hint="default"/>
        <w:sz w:val="24"/>
        <w:szCs w:val="24"/>
      </w:r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9">
    <w:nsid w:val="2D0C51C7"/>
    <w:multiLevelType w:val="multilevel"/>
    <w:tmpl w:val="A93E3642"/>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793428"/>
    <w:multiLevelType w:val="hybridMultilevel"/>
    <w:tmpl w:val="9D3A529A"/>
    <w:lvl w:ilvl="0" w:tplc="14789EA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22163"/>
    <w:multiLevelType w:val="hybridMultilevel"/>
    <w:tmpl w:val="F0966E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86758D"/>
    <w:multiLevelType w:val="hybridMultilevel"/>
    <w:tmpl w:val="59BCF42C"/>
    <w:lvl w:ilvl="0" w:tplc="38EE8360">
      <w:start w:val="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905E8E"/>
    <w:multiLevelType w:val="hybridMultilevel"/>
    <w:tmpl w:val="AC060EB8"/>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B0472"/>
    <w:multiLevelType w:val="hybridMultilevel"/>
    <w:tmpl w:val="60FAC2EA"/>
    <w:lvl w:ilvl="0" w:tplc="3D38D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C1047"/>
    <w:multiLevelType w:val="hybridMultilevel"/>
    <w:tmpl w:val="B92A1ACE"/>
    <w:lvl w:ilvl="0" w:tplc="2EDAA9A8">
      <w:start w:val="1"/>
      <w:numFmt w:val="bullet"/>
      <w:lvlText w:val=""/>
      <w:lvlJc w:val="left"/>
      <w:pPr>
        <w:tabs>
          <w:tab w:val="num" w:pos="720"/>
        </w:tabs>
        <w:ind w:left="720" w:hanging="360"/>
      </w:pPr>
      <w:rPr>
        <w:rFonts w:ascii="Symbol" w:hAnsi="Symbol" w:hint="default"/>
        <w:sz w:val="24"/>
        <w:szCs w:val="24"/>
      </w:r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16">
    <w:nsid w:val="4B2F7FC5"/>
    <w:multiLevelType w:val="hybridMultilevel"/>
    <w:tmpl w:val="E45E7468"/>
    <w:lvl w:ilvl="0" w:tplc="F522BF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C103BA8"/>
    <w:multiLevelType w:val="hybridMultilevel"/>
    <w:tmpl w:val="22521B10"/>
    <w:lvl w:ilvl="0" w:tplc="14789EA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E6796"/>
    <w:multiLevelType w:val="hybridMultilevel"/>
    <w:tmpl w:val="58F40AEA"/>
    <w:lvl w:ilvl="0" w:tplc="14789EA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673911"/>
    <w:multiLevelType w:val="hybridMultilevel"/>
    <w:tmpl w:val="E8D4CEFE"/>
    <w:lvl w:ilvl="0" w:tplc="9294A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82080"/>
    <w:multiLevelType w:val="hybridMultilevel"/>
    <w:tmpl w:val="06D0C14E"/>
    <w:lvl w:ilvl="0" w:tplc="A8740F7C">
      <w:start w:val="1"/>
      <w:numFmt w:val="bullet"/>
      <w:lvlText w:val=""/>
      <w:lvlJc w:val="left"/>
      <w:pPr>
        <w:tabs>
          <w:tab w:val="num" w:pos="360"/>
        </w:tabs>
        <w:ind w:left="360" w:hanging="360"/>
      </w:pPr>
      <w:rPr>
        <w:rFonts w:ascii="Symbol" w:hAnsi="Symbol" w:hint="default"/>
        <w:sz w:val="18"/>
      </w:rPr>
    </w:lvl>
    <w:lvl w:ilvl="1" w:tplc="88D2453E" w:tentative="1">
      <w:start w:val="1"/>
      <w:numFmt w:val="bullet"/>
      <w:lvlText w:val="o"/>
      <w:lvlJc w:val="left"/>
      <w:pPr>
        <w:tabs>
          <w:tab w:val="num" w:pos="1440"/>
        </w:tabs>
        <w:ind w:left="1440" w:hanging="360"/>
      </w:pPr>
      <w:rPr>
        <w:rFonts w:ascii="Courier New" w:hAnsi="Courier New" w:hint="default"/>
      </w:rPr>
    </w:lvl>
    <w:lvl w:ilvl="2" w:tplc="CAD27C58" w:tentative="1">
      <w:start w:val="1"/>
      <w:numFmt w:val="bullet"/>
      <w:lvlText w:val=""/>
      <w:lvlJc w:val="left"/>
      <w:pPr>
        <w:tabs>
          <w:tab w:val="num" w:pos="2160"/>
        </w:tabs>
        <w:ind w:left="2160" w:hanging="360"/>
      </w:pPr>
      <w:rPr>
        <w:rFonts w:ascii="Wingdings" w:hAnsi="Wingdings" w:hint="default"/>
      </w:rPr>
    </w:lvl>
    <w:lvl w:ilvl="3" w:tplc="CC06A486" w:tentative="1">
      <w:start w:val="1"/>
      <w:numFmt w:val="bullet"/>
      <w:lvlText w:val=""/>
      <w:lvlJc w:val="left"/>
      <w:pPr>
        <w:tabs>
          <w:tab w:val="num" w:pos="2880"/>
        </w:tabs>
        <w:ind w:left="2880" w:hanging="360"/>
      </w:pPr>
      <w:rPr>
        <w:rFonts w:ascii="Symbol" w:hAnsi="Symbol" w:hint="default"/>
      </w:rPr>
    </w:lvl>
    <w:lvl w:ilvl="4" w:tplc="1D84CCF8" w:tentative="1">
      <w:start w:val="1"/>
      <w:numFmt w:val="bullet"/>
      <w:lvlText w:val="o"/>
      <w:lvlJc w:val="left"/>
      <w:pPr>
        <w:tabs>
          <w:tab w:val="num" w:pos="3600"/>
        </w:tabs>
        <w:ind w:left="3600" w:hanging="360"/>
      </w:pPr>
      <w:rPr>
        <w:rFonts w:ascii="Courier New" w:hAnsi="Courier New" w:hint="default"/>
      </w:rPr>
    </w:lvl>
    <w:lvl w:ilvl="5" w:tplc="061A7F82" w:tentative="1">
      <w:start w:val="1"/>
      <w:numFmt w:val="bullet"/>
      <w:lvlText w:val=""/>
      <w:lvlJc w:val="left"/>
      <w:pPr>
        <w:tabs>
          <w:tab w:val="num" w:pos="4320"/>
        </w:tabs>
        <w:ind w:left="4320" w:hanging="360"/>
      </w:pPr>
      <w:rPr>
        <w:rFonts w:ascii="Wingdings" w:hAnsi="Wingdings" w:hint="default"/>
      </w:rPr>
    </w:lvl>
    <w:lvl w:ilvl="6" w:tplc="3E2A39CA" w:tentative="1">
      <w:start w:val="1"/>
      <w:numFmt w:val="bullet"/>
      <w:lvlText w:val=""/>
      <w:lvlJc w:val="left"/>
      <w:pPr>
        <w:tabs>
          <w:tab w:val="num" w:pos="5040"/>
        </w:tabs>
        <w:ind w:left="5040" w:hanging="360"/>
      </w:pPr>
      <w:rPr>
        <w:rFonts w:ascii="Symbol" w:hAnsi="Symbol" w:hint="default"/>
      </w:rPr>
    </w:lvl>
    <w:lvl w:ilvl="7" w:tplc="57968006" w:tentative="1">
      <w:start w:val="1"/>
      <w:numFmt w:val="bullet"/>
      <w:lvlText w:val="o"/>
      <w:lvlJc w:val="left"/>
      <w:pPr>
        <w:tabs>
          <w:tab w:val="num" w:pos="5760"/>
        </w:tabs>
        <w:ind w:left="5760" w:hanging="360"/>
      </w:pPr>
      <w:rPr>
        <w:rFonts w:ascii="Courier New" w:hAnsi="Courier New" w:hint="default"/>
      </w:rPr>
    </w:lvl>
    <w:lvl w:ilvl="8" w:tplc="D21E5EAC" w:tentative="1">
      <w:start w:val="1"/>
      <w:numFmt w:val="bullet"/>
      <w:lvlText w:val=""/>
      <w:lvlJc w:val="left"/>
      <w:pPr>
        <w:tabs>
          <w:tab w:val="num" w:pos="6480"/>
        </w:tabs>
        <w:ind w:left="6480" w:hanging="360"/>
      </w:pPr>
      <w:rPr>
        <w:rFonts w:ascii="Wingdings" w:hAnsi="Wingdings" w:hint="default"/>
      </w:rPr>
    </w:lvl>
  </w:abstractNum>
  <w:abstractNum w:abstractNumId="21">
    <w:nsid w:val="51AB5F8E"/>
    <w:multiLevelType w:val="hybridMultilevel"/>
    <w:tmpl w:val="57E2E460"/>
    <w:lvl w:ilvl="0" w:tplc="DE34F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DE0711"/>
    <w:multiLevelType w:val="hybridMultilevel"/>
    <w:tmpl w:val="A3BCCB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4E6449"/>
    <w:multiLevelType w:val="hybridMultilevel"/>
    <w:tmpl w:val="0CD4A600"/>
    <w:lvl w:ilvl="0" w:tplc="EB081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B344FF"/>
    <w:multiLevelType w:val="hybridMultilevel"/>
    <w:tmpl w:val="97682056"/>
    <w:lvl w:ilvl="0" w:tplc="0F4654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8477E8"/>
    <w:multiLevelType w:val="hybridMultilevel"/>
    <w:tmpl w:val="5F4EB6C6"/>
    <w:lvl w:ilvl="0" w:tplc="F7285F2A">
      <w:start w:val="9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B581A"/>
    <w:multiLevelType w:val="hybridMultilevel"/>
    <w:tmpl w:val="E6E46BA0"/>
    <w:lvl w:ilvl="0" w:tplc="E7CE51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B65771A"/>
    <w:multiLevelType w:val="hybridMultilevel"/>
    <w:tmpl w:val="57E2E460"/>
    <w:lvl w:ilvl="0" w:tplc="DE34F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66525C"/>
    <w:multiLevelType w:val="hybridMultilevel"/>
    <w:tmpl w:val="5156DC8E"/>
    <w:lvl w:ilvl="0" w:tplc="0F46542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249634A"/>
    <w:multiLevelType w:val="hybridMultilevel"/>
    <w:tmpl w:val="659A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174CD7"/>
    <w:multiLevelType w:val="hybridMultilevel"/>
    <w:tmpl w:val="48600E2A"/>
    <w:lvl w:ilvl="0" w:tplc="4E7E8F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42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D260808"/>
    <w:multiLevelType w:val="multilevel"/>
    <w:tmpl w:val="8DEAAF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F571A87"/>
    <w:multiLevelType w:val="hybridMultilevel"/>
    <w:tmpl w:val="120C97C2"/>
    <w:lvl w:ilvl="0" w:tplc="6CC2C9B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ED359E"/>
    <w:multiLevelType w:val="hybridMultilevel"/>
    <w:tmpl w:val="F90CC8E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A0233"/>
    <w:multiLevelType w:val="hybridMultilevel"/>
    <w:tmpl w:val="0262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307240"/>
    <w:multiLevelType w:val="hybridMultilevel"/>
    <w:tmpl w:val="C090F35C"/>
    <w:lvl w:ilvl="0" w:tplc="0D1EAB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8BF0B65"/>
    <w:multiLevelType w:val="hybridMultilevel"/>
    <w:tmpl w:val="A93E3642"/>
    <w:lvl w:ilvl="0" w:tplc="1EA03C7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417D32"/>
    <w:multiLevelType w:val="hybridMultilevel"/>
    <w:tmpl w:val="BFE2B236"/>
    <w:lvl w:ilvl="0" w:tplc="DA9E79A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92034E"/>
    <w:multiLevelType w:val="hybridMultilevel"/>
    <w:tmpl w:val="E0C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2C1130"/>
    <w:multiLevelType w:val="hybridMultilevel"/>
    <w:tmpl w:val="1646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756349"/>
    <w:multiLevelType w:val="hybridMultilevel"/>
    <w:tmpl w:val="61FC5432"/>
    <w:lvl w:ilvl="0" w:tplc="BC00C4C6">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2">
    <w:nsid w:val="7F7F7ACD"/>
    <w:multiLevelType w:val="hybridMultilevel"/>
    <w:tmpl w:val="CF94086E"/>
    <w:lvl w:ilvl="0" w:tplc="14648A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1"/>
  </w:num>
  <w:num w:numId="3">
    <w:abstractNumId w:val="37"/>
  </w:num>
  <w:num w:numId="4">
    <w:abstractNumId w:val="9"/>
  </w:num>
  <w:num w:numId="5">
    <w:abstractNumId w:val="3"/>
  </w:num>
  <w:num w:numId="6">
    <w:abstractNumId w:val="11"/>
  </w:num>
  <w:num w:numId="7">
    <w:abstractNumId w:val="30"/>
  </w:num>
  <w:num w:numId="8">
    <w:abstractNumId w:val="5"/>
  </w:num>
  <w:num w:numId="9">
    <w:abstractNumId w:val="22"/>
  </w:num>
  <w:num w:numId="10">
    <w:abstractNumId w:val="40"/>
  </w:num>
  <w:num w:numId="11">
    <w:abstractNumId w:val="39"/>
  </w:num>
  <w:num w:numId="12">
    <w:abstractNumId w:val="4"/>
  </w:num>
  <w:num w:numId="13">
    <w:abstractNumId w:val="2"/>
  </w:num>
  <w:num w:numId="14">
    <w:abstractNumId w:val="16"/>
  </w:num>
  <w:num w:numId="15">
    <w:abstractNumId w:val="26"/>
  </w:num>
  <w:num w:numId="16">
    <w:abstractNumId w:val="36"/>
  </w:num>
  <w:num w:numId="17">
    <w:abstractNumId w:val="28"/>
  </w:num>
  <w:num w:numId="18">
    <w:abstractNumId w:val="24"/>
  </w:num>
  <w:num w:numId="19">
    <w:abstractNumId w:val="25"/>
  </w:num>
  <w:num w:numId="20">
    <w:abstractNumId w:val="41"/>
  </w:num>
  <w:num w:numId="21">
    <w:abstractNumId w:val="21"/>
  </w:num>
  <w:num w:numId="22">
    <w:abstractNumId w:val="27"/>
  </w:num>
  <w:num w:numId="23">
    <w:abstractNumId w:val="42"/>
  </w:num>
  <w:num w:numId="24">
    <w:abstractNumId w:val="14"/>
  </w:num>
  <w:num w:numId="25">
    <w:abstractNumId w:val="7"/>
  </w:num>
  <w:num w:numId="26">
    <w:abstractNumId w:val="6"/>
  </w:num>
  <w:num w:numId="27">
    <w:abstractNumId w:val="19"/>
  </w:num>
  <w:num w:numId="28">
    <w:abstractNumId w:val="13"/>
  </w:num>
  <w:num w:numId="29">
    <w:abstractNumId w:val="33"/>
  </w:num>
  <w:num w:numId="30">
    <w:abstractNumId w:val="0"/>
  </w:num>
  <w:num w:numId="31">
    <w:abstractNumId w:val="35"/>
  </w:num>
  <w:num w:numId="32">
    <w:abstractNumId w:val="10"/>
  </w:num>
  <w:num w:numId="33">
    <w:abstractNumId w:val="18"/>
  </w:num>
  <w:num w:numId="34">
    <w:abstractNumId w:val="17"/>
  </w:num>
  <w:num w:numId="35">
    <w:abstractNumId w:val="34"/>
  </w:num>
  <w:num w:numId="36">
    <w:abstractNumId w:val="32"/>
  </w:num>
  <w:num w:numId="37">
    <w:abstractNumId w:val="1"/>
  </w:num>
  <w:num w:numId="38">
    <w:abstractNumId w:val="38"/>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2"/>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TE0NjExMjA2NjMxMTBQ0lEKTi0uzszPAykwMq4FAP/hw4YtAAAA"/>
  </w:docVars>
  <w:rsids>
    <w:rsidRoot w:val="00361C13"/>
    <w:rsid w:val="00002B16"/>
    <w:rsid w:val="000049D5"/>
    <w:rsid w:val="00004A13"/>
    <w:rsid w:val="000103D3"/>
    <w:rsid w:val="000126B6"/>
    <w:rsid w:val="00012AC7"/>
    <w:rsid w:val="00013D72"/>
    <w:rsid w:val="0001723B"/>
    <w:rsid w:val="00020765"/>
    <w:rsid w:val="000215F9"/>
    <w:rsid w:val="00022048"/>
    <w:rsid w:val="0002205C"/>
    <w:rsid w:val="00024A77"/>
    <w:rsid w:val="00024C28"/>
    <w:rsid w:val="00026002"/>
    <w:rsid w:val="0002669D"/>
    <w:rsid w:val="00027502"/>
    <w:rsid w:val="00030838"/>
    <w:rsid w:val="0003239C"/>
    <w:rsid w:val="00032700"/>
    <w:rsid w:val="000327C9"/>
    <w:rsid w:val="000329ED"/>
    <w:rsid w:val="0003338B"/>
    <w:rsid w:val="00033EE7"/>
    <w:rsid w:val="0003512E"/>
    <w:rsid w:val="00035B2C"/>
    <w:rsid w:val="00036EB0"/>
    <w:rsid w:val="000373C3"/>
    <w:rsid w:val="0003787B"/>
    <w:rsid w:val="00037B9F"/>
    <w:rsid w:val="00040D3C"/>
    <w:rsid w:val="00041175"/>
    <w:rsid w:val="00041179"/>
    <w:rsid w:val="00042B5C"/>
    <w:rsid w:val="00043ADD"/>
    <w:rsid w:val="00044BF6"/>
    <w:rsid w:val="00046642"/>
    <w:rsid w:val="00046B1D"/>
    <w:rsid w:val="00046EED"/>
    <w:rsid w:val="00050854"/>
    <w:rsid w:val="00050E67"/>
    <w:rsid w:val="000529E6"/>
    <w:rsid w:val="00052D30"/>
    <w:rsid w:val="00053142"/>
    <w:rsid w:val="000534DF"/>
    <w:rsid w:val="000644BC"/>
    <w:rsid w:val="000647A3"/>
    <w:rsid w:val="000655B8"/>
    <w:rsid w:val="00066FDD"/>
    <w:rsid w:val="00067178"/>
    <w:rsid w:val="000720E3"/>
    <w:rsid w:val="00072A49"/>
    <w:rsid w:val="000807E8"/>
    <w:rsid w:val="000812CA"/>
    <w:rsid w:val="000825F7"/>
    <w:rsid w:val="000828FF"/>
    <w:rsid w:val="00082F63"/>
    <w:rsid w:val="00084121"/>
    <w:rsid w:val="000867B5"/>
    <w:rsid w:val="00086832"/>
    <w:rsid w:val="000924F5"/>
    <w:rsid w:val="0009250C"/>
    <w:rsid w:val="00094500"/>
    <w:rsid w:val="00095D1F"/>
    <w:rsid w:val="000A03FC"/>
    <w:rsid w:val="000A0557"/>
    <w:rsid w:val="000A37B5"/>
    <w:rsid w:val="000A6484"/>
    <w:rsid w:val="000A7025"/>
    <w:rsid w:val="000B2192"/>
    <w:rsid w:val="000B21F4"/>
    <w:rsid w:val="000B4227"/>
    <w:rsid w:val="000B573F"/>
    <w:rsid w:val="000B63DE"/>
    <w:rsid w:val="000B6EA5"/>
    <w:rsid w:val="000B7633"/>
    <w:rsid w:val="000C0182"/>
    <w:rsid w:val="000C1A81"/>
    <w:rsid w:val="000C1E29"/>
    <w:rsid w:val="000C1F98"/>
    <w:rsid w:val="000C31BD"/>
    <w:rsid w:val="000C575A"/>
    <w:rsid w:val="000C5DD1"/>
    <w:rsid w:val="000C6BF3"/>
    <w:rsid w:val="000D09BD"/>
    <w:rsid w:val="000D139E"/>
    <w:rsid w:val="000D1510"/>
    <w:rsid w:val="000D16D2"/>
    <w:rsid w:val="000D2AA9"/>
    <w:rsid w:val="000D4786"/>
    <w:rsid w:val="000D5343"/>
    <w:rsid w:val="000D6204"/>
    <w:rsid w:val="000D6E67"/>
    <w:rsid w:val="000E1783"/>
    <w:rsid w:val="000E1F6F"/>
    <w:rsid w:val="000E3913"/>
    <w:rsid w:val="000E51F1"/>
    <w:rsid w:val="000E7137"/>
    <w:rsid w:val="000F227F"/>
    <w:rsid w:val="000F7067"/>
    <w:rsid w:val="000F731B"/>
    <w:rsid w:val="001030C3"/>
    <w:rsid w:val="0010370F"/>
    <w:rsid w:val="00105DC7"/>
    <w:rsid w:val="0011252A"/>
    <w:rsid w:val="00112C7A"/>
    <w:rsid w:val="00114950"/>
    <w:rsid w:val="00117125"/>
    <w:rsid w:val="00117D49"/>
    <w:rsid w:val="001202AC"/>
    <w:rsid w:val="00120AC8"/>
    <w:rsid w:val="00120CD9"/>
    <w:rsid w:val="001223A2"/>
    <w:rsid w:val="001313FC"/>
    <w:rsid w:val="00131F70"/>
    <w:rsid w:val="001324FD"/>
    <w:rsid w:val="00133006"/>
    <w:rsid w:val="00137965"/>
    <w:rsid w:val="00142B3B"/>
    <w:rsid w:val="00143EB1"/>
    <w:rsid w:val="00144BD2"/>
    <w:rsid w:val="00151EB4"/>
    <w:rsid w:val="00153F71"/>
    <w:rsid w:val="0015456D"/>
    <w:rsid w:val="001552CA"/>
    <w:rsid w:val="00157FD2"/>
    <w:rsid w:val="00160562"/>
    <w:rsid w:val="00162B18"/>
    <w:rsid w:val="0016419D"/>
    <w:rsid w:val="00166378"/>
    <w:rsid w:val="001672F2"/>
    <w:rsid w:val="001676DC"/>
    <w:rsid w:val="001677C7"/>
    <w:rsid w:val="00172000"/>
    <w:rsid w:val="00173522"/>
    <w:rsid w:val="00173594"/>
    <w:rsid w:val="001742FC"/>
    <w:rsid w:val="0017449E"/>
    <w:rsid w:val="00175A14"/>
    <w:rsid w:val="00177CEB"/>
    <w:rsid w:val="00180753"/>
    <w:rsid w:val="001823B8"/>
    <w:rsid w:val="00191F94"/>
    <w:rsid w:val="001937D3"/>
    <w:rsid w:val="00194072"/>
    <w:rsid w:val="00194616"/>
    <w:rsid w:val="00194DEC"/>
    <w:rsid w:val="001957B4"/>
    <w:rsid w:val="00195FDA"/>
    <w:rsid w:val="00196096"/>
    <w:rsid w:val="001966B0"/>
    <w:rsid w:val="00197381"/>
    <w:rsid w:val="001A2572"/>
    <w:rsid w:val="001A2879"/>
    <w:rsid w:val="001A5AA6"/>
    <w:rsid w:val="001A6410"/>
    <w:rsid w:val="001B0056"/>
    <w:rsid w:val="001B1888"/>
    <w:rsid w:val="001B1CC0"/>
    <w:rsid w:val="001B2620"/>
    <w:rsid w:val="001B317C"/>
    <w:rsid w:val="001B3F54"/>
    <w:rsid w:val="001B45FE"/>
    <w:rsid w:val="001B5DDD"/>
    <w:rsid w:val="001B7669"/>
    <w:rsid w:val="001B7D0D"/>
    <w:rsid w:val="001B7DAF"/>
    <w:rsid w:val="001C07EE"/>
    <w:rsid w:val="001C2274"/>
    <w:rsid w:val="001C4A11"/>
    <w:rsid w:val="001C51A5"/>
    <w:rsid w:val="001D31CD"/>
    <w:rsid w:val="001D377D"/>
    <w:rsid w:val="001D3C7E"/>
    <w:rsid w:val="001D4750"/>
    <w:rsid w:val="001D5EA7"/>
    <w:rsid w:val="001D6132"/>
    <w:rsid w:val="001D70D1"/>
    <w:rsid w:val="001E15BC"/>
    <w:rsid w:val="001E1B9D"/>
    <w:rsid w:val="001E30A9"/>
    <w:rsid w:val="001E7015"/>
    <w:rsid w:val="001F1CAF"/>
    <w:rsid w:val="001F25F4"/>
    <w:rsid w:val="001F2D21"/>
    <w:rsid w:val="001F3024"/>
    <w:rsid w:val="001F4029"/>
    <w:rsid w:val="001F589A"/>
    <w:rsid w:val="001F71FF"/>
    <w:rsid w:val="002010FD"/>
    <w:rsid w:val="00201178"/>
    <w:rsid w:val="0020343C"/>
    <w:rsid w:val="00203C53"/>
    <w:rsid w:val="00205282"/>
    <w:rsid w:val="002058EA"/>
    <w:rsid w:val="0021054B"/>
    <w:rsid w:val="00212813"/>
    <w:rsid w:val="00212B72"/>
    <w:rsid w:val="002135EA"/>
    <w:rsid w:val="0021675E"/>
    <w:rsid w:val="002171B8"/>
    <w:rsid w:val="00217CA7"/>
    <w:rsid w:val="00221A7B"/>
    <w:rsid w:val="00222C82"/>
    <w:rsid w:val="00225785"/>
    <w:rsid w:val="00225C53"/>
    <w:rsid w:val="00227F16"/>
    <w:rsid w:val="00230624"/>
    <w:rsid w:val="0023099B"/>
    <w:rsid w:val="00232C68"/>
    <w:rsid w:val="00234817"/>
    <w:rsid w:val="0023625A"/>
    <w:rsid w:val="0023681B"/>
    <w:rsid w:val="00242813"/>
    <w:rsid w:val="002448A3"/>
    <w:rsid w:val="00246D0D"/>
    <w:rsid w:val="002534A7"/>
    <w:rsid w:val="00254D34"/>
    <w:rsid w:val="00256494"/>
    <w:rsid w:val="00256661"/>
    <w:rsid w:val="00256752"/>
    <w:rsid w:val="00256C0D"/>
    <w:rsid w:val="00256FAF"/>
    <w:rsid w:val="0025780A"/>
    <w:rsid w:val="00257BA8"/>
    <w:rsid w:val="00257F01"/>
    <w:rsid w:val="00260365"/>
    <w:rsid w:val="002607A7"/>
    <w:rsid w:val="00260807"/>
    <w:rsid w:val="00263DE5"/>
    <w:rsid w:val="002654E5"/>
    <w:rsid w:val="002655A6"/>
    <w:rsid w:val="00265A1D"/>
    <w:rsid w:val="00266686"/>
    <w:rsid w:val="00266863"/>
    <w:rsid w:val="00267892"/>
    <w:rsid w:val="00270416"/>
    <w:rsid w:val="00271521"/>
    <w:rsid w:val="00271A92"/>
    <w:rsid w:val="00272084"/>
    <w:rsid w:val="00272B72"/>
    <w:rsid w:val="00272F6E"/>
    <w:rsid w:val="00274A52"/>
    <w:rsid w:val="00274ED3"/>
    <w:rsid w:val="00276C8D"/>
    <w:rsid w:val="00277823"/>
    <w:rsid w:val="00280B5C"/>
    <w:rsid w:val="00284375"/>
    <w:rsid w:val="00287A7B"/>
    <w:rsid w:val="00287D03"/>
    <w:rsid w:val="00290346"/>
    <w:rsid w:val="00290610"/>
    <w:rsid w:val="00290A10"/>
    <w:rsid w:val="00292102"/>
    <w:rsid w:val="00292B84"/>
    <w:rsid w:val="00293E95"/>
    <w:rsid w:val="00295A14"/>
    <w:rsid w:val="002960B1"/>
    <w:rsid w:val="002A012C"/>
    <w:rsid w:val="002A0739"/>
    <w:rsid w:val="002A0C24"/>
    <w:rsid w:val="002A2EE6"/>
    <w:rsid w:val="002A3B02"/>
    <w:rsid w:val="002A48A7"/>
    <w:rsid w:val="002A5B14"/>
    <w:rsid w:val="002A77DE"/>
    <w:rsid w:val="002A7A0A"/>
    <w:rsid w:val="002B191B"/>
    <w:rsid w:val="002B1CF7"/>
    <w:rsid w:val="002B2D68"/>
    <w:rsid w:val="002B38EB"/>
    <w:rsid w:val="002B3E71"/>
    <w:rsid w:val="002B7863"/>
    <w:rsid w:val="002C30B8"/>
    <w:rsid w:val="002C6473"/>
    <w:rsid w:val="002C7532"/>
    <w:rsid w:val="002C75E2"/>
    <w:rsid w:val="002D1C98"/>
    <w:rsid w:val="002D227D"/>
    <w:rsid w:val="002D25EE"/>
    <w:rsid w:val="002D2D38"/>
    <w:rsid w:val="002D3612"/>
    <w:rsid w:val="002D4CB0"/>
    <w:rsid w:val="002D5093"/>
    <w:rsid w:val="002E099C"/>
    <w:rsid w:val="002E100A"/>
    <w:rsid w:val="002E1763"/>
    <w:rsid w:val="002E25C1"/>
    <w:rsid w:val="002E2B1B"/>
    <w:rsid w:val="002E377F"/>
    <w:rsid w:val="002E7973"/>
    <w:rsid w:val="002F0493"/>
    <w:rsid w:val="002F0920"/>
    <w:rsid w:val="002F321D"/>
    <w:rsid w:val="002F4247"/>
    <w:rsid w:val="002F74AB"/>
    <w:rsid w:val="00300E28"/>
    <w:rsid w:val="003028CE"/>
    <w:rsid w:val="003040BA"/>
    <w:rsid w:val="003064F1"/>
    <w:rsid w:val="00306DFE"/>
    <w:rsid w:val="0031088F"/>
    <w:rsid w:val="003138EE"/>
    <w:rsid w:val="00314710"/>
    <w:rsid w:val="003153EF"/>
    <w:rsid w:val="00315CE8"/>
    <w:rsid w:val="00317FD1"/>
    <w:rsid w:val="0032091A"/>
    <w:rsid w:val="0032259C"/>
    <w:rsid w:val="003249CA"/>
    <w:rsid w:val="00327A15"/>
    <w:rsid w:val="00330D1A"/>
    <w:rsid w:val="00332E25"/>
    <w:rsid w:val="00333FDD"/>
    <w:rsid w:val="003404D0"/>
    <w:rsid w:val="00342465"/>
    <w:rsid w:val="00345893"/>
    <w:rsid w:val="0034719D"/>
    <w:rsid w:val="0036129E"/>
    <w:rsid w:val="00361C13"/>
    <w:rsid w:val="00363BD8"/>
    <w:rsid w:val="00363C85"/>
    <w:rsid w:val="00364CEE"/>
    <w:rsid w:val="00366217"/>
    <w:rsid w:val="00367067"/>
    <w:rsid w:val="00367D69"/>
    <w:rsid w:val="00367E4D"/>
    <w:rsid w:val="00370DA6"/>
    <w:rsid w:val="00370EE0"/>
    <w:rsid w:val="00373C5C"/>
    <w:rsid w:val="00381FA1"/>
    <w:rsid w:val="00382993"/>
    <w:rsid w:val="00382C1E"/>
    <w:rsid w:val="00383F57"/>
    <w:rsid w:val="00384CE3"/>
    <w:rsid w:val="003855A2"/>
    <w:rsid w:val="0038566F"/>
    <w:rsid w:val="003859F2"/>
    <w:rsid w:val="00385A6F"/>
    <w:rsid w:val="00385B0E"/>
    <w:rsid w:val="0038699D"/>
    <w:rsid w:val="00390683"/>
    <w:rsid w:val="003922B5"/>
    <w:rsid w:val="00392AE2"/>
    <w:rsid w:val="003933CB"/>
    <w:rsid w:val="00395FC9"/>
    <w:rsid w:val="00396057"/>
    <w:rsid w:val="003A4630"/>
    <w:rsid w:val="003A4823"/>
    <w:rsid w:val="003A66CC"/>
    <w:rsid w:val="003A6DB8"/>
    <w:rsid w:val="003A6DC1"/>
    <w:rsid w:val="003B069C"/>
    <w:rsid w:val="003B1A46"/>
    <w:rsid w:val="003C0CBD"/>
    <w:rsid w:val="003C151D"/>
    <w:rsid w:val="003C155A"/>
    <w:rsid w:val="003C2FF9"/>
    <w:rsid w:val="003C311A"/>
    <w:rsid w:val="003C355E"/>
    <w:rsid w:val="003D134A"/>
    <w:rsid w:val="003D1A2B"/>
    <w:rsid w:val="003D2D63"/>
    <w:rsid w:val="003D2E03"/>
    <w:rsid w:val="003D484E"/>
    <w:rsid w:val="003D6F4E"/>
    <w:rsid w:val="003D7352"/>
    <w:rsid w:val="003D7A13"/>
    <w:rsid w:val="003E2AB3"/>
    <w:rsid w:val="003E2CE6"/>
    <w:rsid w:val="003E5A95"/>
    <w:rsid w:val="003E5D70"/>
    <w:rsid w:val="003E749A"/>
    <w:rsid w:val="003E7AEB"/>
    <w:rsid w:val="003F104B"/>
    <w:rsid w:val="003F1186"/>
    <w:rsid w:val="003F473F"/>
    <w:rsid w:val="003F5D14"/>
    <w:rsid w:val="003F67D0"/>
    <w:rsid w:val="00403F19"/>
    <w:rsid w:val="00404195"/>
    <w:rsid w:val="00405F1F"/>
    <w:rsid w:val="004076B0"/>
    <w:rsid w:val="0040785B"/>
    <w:rsid w:val="0041117D"/>
    <w:rsid w:val="00414078"/>
    <w:rsid w:val="00415347"/>
    <w:rsid w:val="00422460"/>
    <w:rsid w:val="00422EBB"/>
    <w:rsid w:val="00422F7C"/>
    <w:rsid w:val="0042367C"/>
    <w:rsid w:val="00423897"/>
    <w:rsid w:val="0042535A"/>
    <w:rsid w:val="004254DB"/>
    <w:rsid w:val="00430283"/>
    <w:rsid w:val="00430C23"/>
    <w:rsid w:val="00430DDA"/>
    <w:rsid w:val="004324B7"/>
    <w:rsid w:val="00437416"/>
    <w:rsid w:val="0044007E"/>
    <w:rsid w:val="00440A3E"/>
    <w:rsid w:val="00442796"/>
    <w:rsid w:val="004427EA"/>
    <w:rsid w:val="004444AB"/>
    <w:rsid w:val="00444F2C"/>
    <w:rsid w:val="00445B3D"/>
    <w:rsid w:val="00445ED0"/>
    <w:rsid w:val="00446DC1"/>
    <w:rsid w:val="004503FE"/>
    <w:rsid w:val="00451020"/>
    <w:rsid w:val="00451B3F"/>
    <w:rsid w:val="00452E5E"/>
    <w:rsid w:val="004541F5"/>
    <w:rsid w:val="0045474F"/>
    <w:rsid w:val="004614F7"/>
    <w:rsid w:val="00463407"/>
    <w:rsid w:val="00465705"/>
    <w:rsid w:val="004657E1"/>
    <w:rsid w:val="00465BD3"/>
    <w:rsid w:val="00466CAC"/>
    <w:rsid w:val="004675CF"/>
    <w:rsid w:val="004708DD"/>
    <w:rsid w:val="00471C7E"/>
    <w:rsid w:val="00471F5C"/>
    <w:rsid w:val="00472086"/>
    <w:rsid w:val="004725C1"/>
    <w:rsid w:val="00472A12"/>
    <w:rsid w:val="004738D2"/>
    <w:rsid w:val="00474755"/>
    <w:rsid w:val="004752A8"/>
    <w:rsid w:val="004754F9"/>
    <w:rsid w:val="00475859"/>
    <w:rsid w:val="00475A67"/>
    <w:rsid w:val="00475B63"/>
    <w:rsid w:val="00475FEC"/>
    <w:rsid w:val="00476BDE"/>
    <w:rsid w:val="004801CD"/>
    <w:rsid w:val="004812E9"/>
    <w:rsid w:val="00484060"/>
    <w:rsid w:val="0048548D"/>
    <w:rsid w:val="00486E8B"/>
    <w:rsid w:val="00493AFE"/>
    <w:rsid w:val="004959EC"/>
    <w:rsid w:val="00495D15"/>
    <w:rsid w:val="0049753E"/>
    <w:rsid w:val="00497A4C"/>
    <w:rsid w:val="004A1E8F"/>
    <w:rsid w:val="004A229D"/>
    <w:rsid w:val="004A4079"/>
    <w:rsid w:val="004B19C2"/>
    <w:rsid w:val="004B2266"/>
    <w:rsid w:val="004B2A20"/>
    <w:rsid w:val="004B5802"/>
    <w:rsid w:val="004B647A"/>
    <w:rsid w:val="004B660B"/>
    <w:rsid w:val="004B6B95"/>
    <w:rsid w:val="004C1C85"/>
    <w:rsid w:val="004C5A77"/>
    <w:rsid w:val="004C60A2"/>
    <w:rsid w:val="004C7B7F"/>
    <w:rsid w:val="004D2956"/>
    <w:rsid w:val="004D2C85"/>
    <w:rsid w:val="004D2E91"/>
    <w:rsid w:val="004D4BFA"/>
    <w:rsid w:val="004D4F75"/>
    <w:rsid w:val="004D71B8"/>
    <w:rsid w:val="004D7351"/>
    <w:rsid w:val="004E0B9B"/>
    <w:rsid w:val="004E20D7"/>
    <w:rsid w:val="004E2656"/>
    <w:rsid w:val="004E2CAB"/>
    <w:rsid w:val="004E5165"/>
    <w:rsid w:val="004E60AD"/>
    <w:rsid w:val="004E70BD"/>
    <w:rsid w:val="004E7311"/>
    <w:rsid w:val="004F22F4"/>
    <w:rsid w:val="004F2424"/>
    <w:rsid w:val="004F2CDD"/>
    <w:rsid w:val="004F356E"/>
    <w:rsid w:val="004F3D63"/>
    <w:rsid w:val="004F40D1"/>
    <w:rsid w:val="004F49C0"/>
    <w:rsid w:val="004F50F2"/>
    <w:rsid w:val="004F541B"/>
    <w:rsid w:val="004F5A28"/>
    <w:rsid w:val="004F6873"/>
    <w:rsid w:val="004F6D74"/>
    <w:rsid w:val="004F7562"/>
    <w:rsid w:val="00501005"/>
    <w:rsid w:val="00505AA0"/>
    <w:rsid w:val="00507613"/>
    <w:rsid w:val="00511802"/>
    <w:rsid w:val="00512DEC"/>
    <w:rsid w:val="00514843"/>
    <w:rsid w:val="00515579"/>
    <w:rsid w:val="0052022E"/>
    <w:rsid w:val="00521F83"/>
    <w:rsid w:val="00522737"/>
    <w:rsid w:val="00523028"/>
    <w:rsid w:val="00523259"/>
    <w:rsid w:val="00523532"/>
    <w:rsid w:val="005246D0"/>
    <w:rsid w:val="00524AA7"/>
    <w:rsid w:val="00525739"/>
    <w:rsid w:val="00526CE9"/>
    <w:rsid w:val="00526DE0"/>
    <w:rsid w:val="00527925"/>
    <w:rsid w:val="0053185A"/>
    <w:rsid w:val="00531E52"/>
    <w:rsid w:val="005322E5"/>
    <w:rsid w:val="00534316"/>
    <w:rsid w:val="00534ECE"/>
    <w:rsid w:val="00535078"/>
    <w:rsid w:val="005357DB"/>
    <w:rsid w:val="00535994"/>
    <w:rsid w:val="00540464"/>
    <w:rsid w:val="00540C8F"/>
    <w:rsid w:val="00547E42"/>
    <w:rsid w:val="005507DC"/>
    <w:rsid w:val="0055155E"/>
    <w:rsid w:val="00551CDC"/>
    <w:rsid w:val="00552090"/>
    <w:rsid w:val="00552204"/>
    <w:rsid w:val="005546D6"/>
    <w:rsid w:val="005557C7"/>
    <w:rsid w:val="00555F43"/>
    <w:rsid w:val="00557006"/>
    <w:rsid w:val="00557D6D"/>
    <w:rsid w:val="005609B2"/>
    <w:rsid w:val="00564D85"/>
    <w:rsid w:val="00564F82"/>
    <w:rsid w:val="00566108"/>
    <w:rsid w:val="00570DD3"/>
    <w:rsid w:val="005740E0"/>
    <w:rsid w:val="00574620"/>
    <w:rsid w:val="0057488E"/>
    <w:rsid w:val="005750D2"/>
    <w:rsid w:val="00580266"/>
    <w:rsid w:val="00580A8B"/>
    <w:rsid w:val="00582C03"/>
    <w:rsid w:val="00583D29"/>
    <w:rsid w:val="00583E6B"/>
    <w:rsid w:val="00586F24"/>
    <w:rsid w:val="005903CF"/>
    <w:rsid w:val="005904B0"/>
    <w:rsid w:val="00591CA0"/>
    <w:rsid w:val="00592092"/>
    <w:rsid w:val="00592DC1"/>
    <w:rsid w:val="00592E58"/>
    <w:rsid w:val="00592EED"/>
    <w:rsid w:val="005966DF"/>
    <w:rsid w:val="00596B0C"/>
    <w:rsid w:val="00596D6C"/>
    <w:rsid w:val="005972B2"/>
    <w:rsid w:val="005A0DB0"/>
    <w:rsid w:val="005A2F04"/>
    <w:rsid w:val="005B27FD"/>
    <w:rsid w:val="005B45AE"/>
    <w:rsid w:val="005B5B3C"/>
    <w:rsid w:val="005B6036"/>
    <w:rsid w:val="005B664B"/>
    <w:rsid w:val="005B710E"/>
    <w:rsid w:val="005B76AB"/>
    <w:rsid w:val="005C0490"/>
    <w:rsid w:val="005C2540"/>
    <w:rsid w:val="005C2B92"/>
    <w:rsid w:val="005C2C02"/>
    <w:rsid w:val="005C3B7C"/>
    <w:rsid w:val="005C3F38"/>
    <w:rsid w:val="005C40E5"/>
    <w:rsid w:val="005C5CF6"/>
    <w:rsid w:val="005D0114"/>
    <w:rsid w:val="005D0E23"/>
    <w:rsid w:val="005D4361"/>
    <w:rsid w:val="005D43E0"/>
    <w:rsid w:val="005D4E68"/>
    <w:rsid w:val="005D6816"/>
    <w:rsid w:val="005D717B"/>
    <w:rsid w:val="005D7844"/>
    <w:rsid w:val="005D7FF1"/>
    <w:rsid w:val="005E0E9F"/>
    <w:rsid w:val="005E76E1"/>
    <w:rsid w:val="005E7A6C"/>
    <w:rsid w:val="005F07A0"/>
    <w:rsid w:val="005F1920"/>
    <w:rsid w:val="005F37D1"/>
    <w:rsid w:val="005F430A"/>
    <w:rsid w:val="005F5471"/>
    <w:rsid w:val="005F5989"/>
    <w:rsid w:val="00600D8A"/>
    <w:rsid w:val="00602267"/>
    <w:rsid w:val="00602883"/>
    <w:rsid w:val="00602D49"/>
    <w:rsid w:val="00603091"/>
    <w:rsid w:val="00603B31"/>
    <w:rsid w:val="00603D55"/>
    <w:rsid w:val="00604031"/>
    <w:rsid w:val="0060782E"/>
    <w:rsid w:val="00610006"/>
    <w:rsid w:val="0061052F"/>
    <w:rsid w:val="0061257F"/>
    <w:rsid w:val="00612E48"/>
    <w:rsid w:val="00613527"/>
    <w:rsid w:val="006137BD"/>
    <w:rsid w:val="006154D1"/>
    <w:rsid w:val="006203AD"/>
    <w:rsid w:val="0062138E"/>
    <w:rsid w:val="00621F46"/>
    <w:rsid w:val="00622825"/>
    <w:rsid w:val="00624460"/>
    <w:rsid w:val="00624705"/>
    <w:rsid w:val="00630704"/>
    <w:rsid w:val="006311EC"/>
    <w:rsid w:val="00631374"/>
    <w:rsid w:val="00631461"/>
    <w:rsid w:val="006327C7"/>
    <w:rsid w:val="00636C95"/>
    <w:rsid w:val="0063703F"/>
    <w:rsid w:val="00640249"/>
    <w:rsid w:val="006426DD"/>
    <w:rsid w:val="00642789"/>
    <w:rsid w:val="00642D95"/>
    <w:rsid w:val="0064360B"/>
    <w:rsid w:val="00644B29"/>
    <w:rsid w:val="00644ED7"/>
    <w:rsid w:val="00647746"/>
    <w:rsid w:val="0065299D"/>
    <w:rsid w:val="00653094"/>
    <w:rsid w:val="0065602F"/>
    <w:rsid w:val="00656886"/>
    <w:rsid w:val="00656A62"/>
    <w:rsid w:val="00656C9D"/>
    <w:rsid w:val="00664024"/>
    <w:rsid w:val="00664B6E"/>
    <w:rsid w:val="00664CE4"/>
    <w:rsid w:val="0066500F"/>
    <w:rsid w:val="00665061"/>
    <w:rsid w:val="00665F6F"/>
    <w:rsid w:val="006704EB"/>
    <w:rsid w:val="006715F9"/>
    <w:rsid w:val="00674345"/>
    <w:rsid w:val="0068110A"/>
    <w:rsid w:val="00681B58"/>
    <w:rsid w:val="006824CF"/>
    <w:rsid w:val="00682E94"/>
    <w:rsid w:val="00683609"/>
    <w:rsid w:val="00685150"/>
    <w:rsid w:val="006865B1"/>
    <w:rsid w:val="00687334"/>
    <w:rsid w:val="00687C1E"/>
    <w:rsid w:val="00687D8E"/>
    <w:rsid w:val="00690FF6"/>
    <w:rsid w:val="00697F90"/>
    <w:rsid w:val="006A0E4A"/>
    <w:rsid w:val="006A1224"/>
    <w:rsid w:val="006A1E2C"/>
    <w:rsid w:val="006A21B5"/>
    <w:rsid w:val="006A2EA5"/>
    <w:rsid w:val="006A3376"/>
    <w:rsid w:val="006A7CC7"/>
    <w:rsid w:val="006B10CF"/>
    <w:rsid w:val="006B129A"/>
    <w:rsid w:val="006B1D43"/>
    <w:rsid w:val="006B2DDC"/>
    <w:rsid w:val="006B45A7"/>
    <w:rsid w:val="006B4702"/>
    <w:rsid w:val="006B52E7"/>
    <w:rsid w:val="006B57A2"/>
    <w:rsid w:val="006B5F90"/>
    <w:rsid w:val="006C0B7E"/>
    <w:rsid w:val="006C6B41"/>
    <w:rsid w:val="006C7403"/>
    <w:rsid w:val="006D0100"/>
    <w:rsid w:val="006D2A2B"/>
    <w:rsid w:val="006E048F"/>
    <w:rsid w:val="006E10FC"/>
    <w:rsid w:val="006E13E8"/>
    <w:rsid w:val="006E1A7C"/>
    <w:rsid w:val="006E28DC"/>
    <w:rsid w:val="006E396B"/>
    <w:rsid w:val="006E4B65"/>
    <w:rsid w:val="006F30B5"/>
    <w:rsid w:val="006F3AB6"/>
    <w:rsid w:val="006F3D74"/>
    <w:rsid w:val="006F41F1"/>
    <w:rsid w:val="006F5BEE"/>
    <w:rsid w:val="006F7770"/>
    <w:rsid w:val="007008E1"/>
    <w:rsid w:val="00700AF1"/>
    <w:rsid w:val="00701E1D"/>
    <w:rsid w:val="0070271B"/>
    <w:rsid w:val="007033DD"/>
    <w:rsid w:val="007036A4"/>
    <w:rsid w:val="00703BCC"/>
    <w:rsid w:val="0070449E"/>
    <w:rsid w:val="00705D13"/>
    <w:rsid w:val="007063F2"/>
    <w:rsid w:val="0071487A"/>
    <w:rsid w:val="00714EA3"/>
    <w:rsid w:val="0071681C"/>
    <w:rsid w:val="007169D4"/>
    <w:rsid w:val="00722A77"/>
    <w:rsid w:val="00722B76"/>
    <w:rsid w:val="0072316B"/>
    <w:rsid w:val="00723E14"/>
    <w:rsid w:val="00725C5F"/>
    <w:rsid w:val="00726C0D"/>
    <w:rsid w:val="00727796"/>
    <w:rsid w:val="00727FE0"/>
    <w:rsid w:val="00733485"/>
    <w:rsid w:val="007348C2"/>
    <w:rsid w:val="007364E5"/>
    <w:rsid w:val="0073657F"/>
    <w:rsid w:val="00736CA8"/>
    <w:rsid w:val="007374A9"/>
    <w:rsid w:val="007414B0"/>
    <w:rsid w:val="00742049"/>
    <w:rsid w:val="00744237"/>
    <w:rsid w:val="00745E3A"/>
    <w:rsid w:val="007503C7"/>
    <w:rsid w:val="00752999"/>
    <w:rsid w:val="00755E01"/>
    <w:rsid w:val="00756FBF"/>
    <w:rsid w:val="00757C14"/>
    <w:rsid w:val="007619AE"/>
    <w:rsid w:val="00763589"/>
    <w:rsid w:val="00770390"/>
    <w:rsid w:val="00770672"/>
    <w:rsid w:val="00770E13"/>
    <w:rsid w:val="00770ECA"/>
    <w:rsid w:val="00771945"/>
    <w:rsid w:val="00771E52"/>
    <w:rsid w:val="007760C4"/>
    <w:rsid w:val="00776D46"/>
    <w:rsid w:val="0077763A"/>
    <w:rsid w:val="00780310"/>
    <w:rsid w:val="0078271A"/>
    <w:rsid w:val="007829D9"/>
    <w:rsid w:val="00783457"/>
    <w:rsid w:val="007845EE"/>
    <w:rsid w:val="0079096F"/>
    <w:rsid w:val="007915B0"/>
    <w:rsid w:val="0079192B"/>
    <w:rsid w:val="0079234A"/>
    <w:rsid w:val="00793426"/>
    <w:rsid w:val="00796041"/>
    <w:rsid w:val="00797569"/>
    <w:rsid w:val="007A00A0"/>
    <w:rsid w:val="007A1572"/>
    <w:rsid w:val="007A4855"/>
    <w:rsid w:val="007A5B2C"/>
    <w:rsid w:val="007A7635"/>
    <w:rsid w:val="007B0650"/>
    <w:rsid w:val="007B0FC6"/>
    <w:rsid w:val="007B145C"/>
    <w:rsid w:val="007B1806"/>
    <w:rsid w:val="007B1DA4"/>
    <w:rsid w:val="007B260F"/>
    <w:rsid w:val="007B39BC"/>
    <w:rsid w:val="007B3B06"/>
    <w:rsid w:val="007B784E"/>
    <w:rsid w:val="007C1092"/>
    <w:rsid w:val="007C11A8"/>
    <w:rsid w:val="007C13BB"/>
    <w:rsid w:val="007C3535"/>
    <w:rsid w:val="007C3B32"/>
    <w:rsid w:val="007C5B3A"/>
    <w:rsid w:val="007C5F54"/>
    <w:rsid w:val="007D3157"/>
    <w:rsid w:val="007D5CF7"/>
    <w:rsid w:val="007D6601"/>
    <w:rsid w:val="007E043A"/>
    <w:rsid w:val="007E1A56"/>
    <w:rsid w:val="007E20BB"/>
    <w:rsid w:val="007E27AA"/>
    <w:rsid w:val="007E28B1"/>
    <w:rsid w:val="007E2DB4"/>
    <w:rsid w:val="007E3A1D"/>
    <w:rsid w:val="007E5372"/>
    <w:rsid w:val="007E66E9"/>
    <w:rsid w:val="007E7951"/>
    <w:rsid w:val="007E7A06"/>
    <w:rsid w:val="007F04C4"/>
    <w:rsid w:val="007F0BE5"/>
    <w:rsid w:val="007F17F3"/>
    <w:rsid w:val="007F2441"/>
    <w:rsid w:val="007F2B93"/>
    <w:rsid w:val="007F35F7"/>
    <w:rsid w:val="007F4CE4"/>
    <w:rsid w:val="007F6612"/>
    <w:rsid w:val="007F7A09"/>
    <w:rsid w:val="007F7E82"/>
    <w:rsid w:val="00800E68"/>
    <w:rsid w:val="00801715"/>
    <w:rsid w:val="008019A5"/>
    <w:rsid w:val="00801AE3"/>
    <w:rsid w:val="008023CA"/>
    <w:rsid w:val="00803DBB"/>
    <w:rsid w:val="00805703"/>
    <w:rsid w:val="00806EF1"/>
    <w:rsid w:val="00810FB9"/>
    <w:rsid w:val="00811F1C"/>
    <w:rsid w:val="00812861"/>
    <w:rsid w:val="00812D07"/>
    <w:rsid w:val="008143D1"/>
    <w:rsid w:val="00814A98"/>
    <w:rsid w:val="00817AEB"/>
    <w:rsid w:val="00820A23"/>
    <w:rsid w:val="008215A5"/>
    <w:rsid w:val="00822BA9"/>
    <w:rsid w:val="00823B10"/>
    <w:rsid w:val="0082562F"/>
    <w:rsid w:val="00825E34"/>
    <w:rsid w:val="00827F67"/>
    <w:rsid w:val="00833F50"/>
    <w:rsid w:val="00836E77"/>
    <w:rsid w:val="00837A25"/>
    <w:rsid w:val="00840449"/>
    <w:rsid w:val="00844BAC"/>
    <w:rsid w:val="00844F07"/>
    <w:rsid w:val="0084555B"/>
    <w:rsid w:val="00845D3C"/>
    <w:rsid w:val="00847330"/>
    <w:rsid w:val="008516B3"/>
    <w:rsid w:val="0085304F"/>
    <w:rsid w:val="008533CE"/>
    <w:rsid w:val="008540F5"/>
    <w:rsid w:val="00854346"/>
    <w:rsid w:val="00855739"/>
    <w:rsid w:val="00857031"/>
    <w:rsid w:val="00860672"/>
    <w:rsid w:val="00861669"/>
    <w:rsid w:val="008621CC"/>
    <w:rsid w:val="008640E8"/>
    <w:rsid w:val="008646B2"/>
    <w:rsid w:val="00867FE4"/>
    <w:rsid w:val="00873001"/>
    <w:rsid w:val="008732D5"/>
    <w:rsid w:val="00876724"/>
    <w:rsid w:val="00876C83"/>
    <w:rsid w:val="008824DF"/>
    <w:rsid w:val="00883826"/>
    <w:rsid w:val="00886062"/>
    <w:rsid w:val="0088693A"/>
    <w:rsid w:val="00887119"/>
    <w:rsid w:val="00891576"/>
    <w:rsid w:val="008915E2"/>
    <w:rsid w:val="00891BB3"/>
    <w:rsid w:val="008936FC"/>
    <w:rsid w:val="0089534F"/>
    <w:rsid w:val="008A14AF"/>
    <w:rsid w:val="008A6015"/>
    <w:rsid w:val="008B0A64"/>
    <w:rsid w:val="008B16A7"/>
    <w:rsid w:val="008B231E"/>
    <w:rsid w:val="008B3398"/>
    <w:rsid w:val="008B5AC5"/>
    <w:rsid w:val="008B5C44"/>
    <w:rsid w:val="008B7235"/>
    <w:rsid w:val="008C08BA"/>
    <w:rsid w:val="008C3F3F"/>
    <w:rsid w:val="008C4F4F"/>
    <w:rsid w:val="008C77D8"/>
    <w:rsid w:val="008D41B1"/>
    <w:rsid w:val="008D4757"/>
    <w:rsid w:val="008D620C"/>
    <w:rsid w:val="008D6292"/>
    <w:rsid w:val="008E0E1B"/>
    <w:rsid w:val="008E17F3"/>
    <w:rsid w:val="008E2ABA"/>
    <w:rsid w:val="008E39EF"/>
    <w:rsid w:val="008E4D1F"/>
    <w:rsid w:val="008E5FC0"/>
    <w:rsid w:val="008E6932"/>
    <w:rsid w:val="008E7289"/>
    <w:rsid w:val="008F04C1"/>
    <w:rsid w:val="008F10C8"/>
    <w:rsid w:val="008F126D"/>
    <w:rsid w:val="008F176C"/>
    <w:rsid w:val="008F2537"/>
    <w:rsid w:val="008F2B0A"/>
    <w:rsid w:val="008F368F"/>
    <w:rsid w:val="008F38A8"/>
    <w:rsid w:val="008F44A6"/>
    <w:rsid w:val="008F5A3F"/>
    <w:rsid w:val="008F6341"/>
    <w:rsid w:val="008F6DC1"/>
    <w:rsid w:val="00901550"/>
    <w:rsid w:val="00901E61"/>
    <w:rsid w:val="00902D29"/>
    <w:rsid w:val="00902D9F"/>
    <w:rsid w:val="00903B30"/>
    <w:rsid w:val="0090434C"/>
    <w:rsid w:val="0090484A"/>
    <w:rsid w:val="009051A4"/>
    <w:rsid w:val="00906BC5"/>
    <w:rsid w:val="009121CA"/>
    <w:rsid w:val="009135DD"/>
    <w:rsid w:val="009138B4"/>
    <w:rsid w:val="009139A7"/>
    <w:rsid w:val="0091405E"/>
    <w:rsid w:val="00915AC4"/>
    <w:rsid w:val="00921733"/>
    <w:rsid w:val="009229E3"/>
    <w:rsid w:val="00923A11"/>
    <w:rsid w:val="00924629"/>
    <w:rsid w:val="00925103"/>
    <w:rsid w:val="00925CBC"/>
    <w:rsid w:val="009264F0"/>
    <w:rsid w:val="009272BA"/>
    <w:rsid w:val="00930D72"/>
    <w:rsid w:val="00931280"/>
    <w:rsid w:val="009317A1"/>
    <w:rsid w:val="00933BA4"/>
    <w:rsid w:val="00936616"/>
    <w:rsid w:val="00937EBD"/>
    <w:rsid w:val="00940452"/>
    <w:rsid w:val="00941F43"/>
    <w:rsid w:val="00942389"/>
    <w:rsid w:val="00942ECC"/>
    <w:rsid w:val="0094313B"/>
    <w:rsid w:val="009442D1"/>
    <w:rsid w:val="0094467B"/>
    <w:rsid w:val="009451C0"/>
    <w:rsid w:val="0095031B"/>
    <w:rsid w:val="00950577"/>
    <w:rsid w:val="00950F85"/>
    <w:rsid w:val="00953428"/>
    <w:rsid w:val="0095346A"/>
    <w:rsid w:val="00954AB7"/>
    <w:rsid w:val="00954C46"/>
    <w:rsid w:val="00957B4B"/>
    <w:rsid w:val="00960EC8"/>
    <w:rsid w:val="009617E9"/>
    <w:rsid w:val="00962329"/>
    <w:rsid w:val="00962B4F"/>
    <w:rsid w:val="00963BB1"/>
    <w:rsid w:val="009665FC"/>
    <w:rsid w:val="00966BA4"/>
    <w:rsid w:val="00967E0D"/>
    <w:rsid w:val="009714EB"/>
    <w:rsid w:val="00977131"/>
    <w:rsid w:val="009808BD"/>
    <w:rsid w:val="00981943"/>
    <w:rsid w:val="00985ABA"/>
    <w:rsid w:val="0098720D"/>
    <w:rsid w:val="009902CB"/>
    <w:rsid w:val="0099067A"/>
    <w:rsid w:val="009935CA"/>
    <w:rsid w:val="0099416B"/>
    <w:rsid w:val="00995547"/>
    <w:rsid w:val="00995BF3"/>
    <w:rsid w:val="00996A7A"/>
    <w:rsid w:val="009A272B"/>
    <w:rsid w:val="009A4CA0"/>
    <w:rsid w:val="009B021A"/>
    <w:rsid w:val="009B09AC"/>
    <w:rsid w:val="009B1BEB"/>
    <w:rsid w:val="009B2B13"/>
    <w:rsid w:val="009B2D63"/>
    <w:rsid w:val="009B4FCE"/>
    <w:rsid w:val="009B576A"/>
    <w:rsid w:val="009B5B5F"/>
    <w:rsid w:val="009B7534"/>
    <w:rsid w:val="009C058C"/>
    <w:rsid w:val="009C1BF2"/>
    <w:rsid w:val="009C1D99"/>
    <w:rsid w:val="009C375E"/>
    <w:rsid w:val="009C666A"/>
    <w:rsid w:val="009D0F28"/>
    <w:rsid w:val="009D33BF"/>
    <w:rsid w:val="009D6A6C"/>
    <w:rsid w:val="009E0DE6"/>
    <w:rsid w:val="009E3BE9"/>
    <w:rsid w:val="009E6A0D"/>
    <w:rsid w:val="009F222A"/>
    <w:rsid w:val="009F2404"/>
    <w:rsid w:val="009F5DDE"/>
    <w:rsid w:val="009F6977"/>
    <w:rsid w:val="00A01D65"/>
    <w:rsid w:val="00A058E0"/>
    <w:rsid w:val="00A101A3"/>
    <w:rsid w:val="00A1061D"/>
    <w:rsid w:val="00A12044"/>
    <w:rsid w:val="00A12412"/>
    <w:rsid w:val="00A205C4"/>
    <w:rsid w:val="00A20C27"/>
    <w:rsid w:val="00A21D85"/>
    <w:rsid w:val="00A226D1"/>
    <w:rsid w:val="00A22C98"/>
    <w:rsid w:val="00A2541C"/>
    <w:rsid w:val="00A26E06"/>
    <w:rsid w:val="00A27444"/>
    <w:rsid w:val="00A27D7A"/>
    <w:rsid w:val="00A302D4"/>
    <w:rsid w:val="00A352E2"/>
    <w:rsid w:val="00A35C9C"/>
    <w:rsid w:val="00A37295"/>
    <w:rsid w:val="00A42F9F"/>
    <w:rsid w:val="00A43CF2"/>
    <w:rsid w:val="00A47B1E"/>
    <w:rsid w:val="00A50F55"/>
    <w:rsid w:val="00A51559"/>
    <w:rsid w:val="00A52FDD"/>
    <w:rsid w:val="00A55D5B"/>
    <w:rsid w:val="00A57BAE"/>
    <w:rsid w:val="00A617F3"/>
    <w:rsid w:val="00A62357"/>
    <w:rsid w:val="00A6529C"/>
    <w:rsid w:val="00A669BB"/>
    <w:rsid w:val="00A6743D"/>
    <w:rsid w:val="00A67C70"/>
    <w:rsid w:val="00A702F3"/>
    <w:rsid w:val="00A714E8"/>
    <w:rsid w:val="00A720F6"/>
    <w:rsid w:val="00A73D9C"/>
    <w:rsid w:val="00A74BE9"/>
    <w:rsid w:val="00A7504D"/>
    <w:rsid w:val="00A75447"/>
    <w:rsid w:val="00A76107"/>
    <w:rsid w:val="00A800F5"/>
    <w:rsid w:val="00A80498"/>
    <w:rsid w:val="00A80C5C"/>
    <w:rsid w:val="00A85852"/>
    <w:rsid w:val="00A85BE4"/>
    <w:rsid w:val="00A8775C"/>
    <w:rsid w:val="00A87F4D"/>
    <w:rsid w:val="00A91346"/>
    <w:rsid w:val="00A914C8"/>
    <w:rsid w:val="00A9233A"/>
    <w:rsid w:val="00A93361"/>
    <w:rsid w:val="00A93815"/>
    <w:rsid w:val="00A9452C"/>
    <w:rsid w:val="00A94A8A"/>
    <w:rsid w:val="00A954F6"/>
    <w:rsid w:val="00A96A88"/>
    <w:rsid w:val="00A96CB8"/>
    <w:rsid w:val="00AA0D63"/>
    <w:rsid w:val="00AA1A42"/>
    <w:rsid w:val="00AA2EB2"/>
    <w:rsid w:val="00AA3264"/>
    <w:rsid w:val="00AA3507"/>
    <w:rsid w:val="00AA3B2C"/>
    <w:rsid w:val="00AA40A9"/>
    <w:rsid w:val="00AA6FBB"/>
    <w:rsid w:val="00AA777E"/>
    <w:rsid w:val="00AB0014"/>
    <w:rsid w:val="00AB2F7B"/>
    <w:rsid w:val="00AB4DDC"/>
    <w:rsid w:val="00AB4EC2"/>
    <w:rsid w:val="00AB5901"/>
    <w:rsid w:val="00AB7BEB"/>
    <w:rsid w:val="00AC0598"/>
    <w:rsid w:val="00AC3BA4"/>
    <w:rsid w:val="00AD0179"/>
    <w:rsid w:val="00AD03DC"/>
    <w:rsid w:val="00AD313B"/>
    <w:rsid w:val="00AD33AB"/>
    <w:rsid w:val="00AE379B"/>
    <w:rsid w:val="00AE5E76"/>
    <w:rsid w:val="00AE696F"/>
    <w:rsid w:val="00AF0764"/>
    <w:rsid w:val="00AF19EC"/>
    <w:rsid w:val="00AF5FD0"/>
    <w:rsid w:val="00AF6BEE"/>
    <w:rsid w:val="00B01D8F"/>
    <w:rsid w:val="00B03BF7"/>
    <w:rsid w:val="00B049DF"/>
    <w:rsid w:val="00B054A5"/>
    <w:rsid w:val="00B06124"/>
    <w:rsid w:val="00B13F62"/>
    <w:rsid w:val="00B14089"/>
    <w:rsid w:val="00B16F1B"/>
    <w:rsid w:val="00B20409"/>
    <w:rsid w:val="00B20529"/>
    <w:rsid w:val="00B20B88"/>
    <w:rsid w:val="00B25CB6"/>
    <w:rsid w:val="00B2774A"/>
    <w:rsid w:val="00B30C64"/>
    <w:rsid w:val="00B32226"/>
    <w:rsid w:val="00B34240"/>
    <w:rsid w:val="00B3557C"/>
    <w:rsid w:val="00B35784"/>
    <w:rsid w:val="00B36657"/>
    <w:rsid w:val="00B36801"/>
    <w:rsid w:val="00B3726A"/>
    <w:rsid w:val="00B37E36"/>
    <w:rsid w:val="00B405D1"/>
    <w:rsid w:val="00B40D50"/>
    <w:rsid w:val="00B42EB8"/>
    <w:rsid w:val="00B43D09"/>
    <w:rsid w:val="00B43D51"/>
    <w:rsid w:val="00B442A5"/>
    <w:rsid w:val="00B469DB"/>
    <w:rsid w:val="00B47020"/>
    <w:rsid w:val="00B52416"/>
    <w:rsid w:val="00B52BF4"/>
    <w:rsid w:val="00B5465C"/>
    <w:rsid w:val="00B54BFA"/>
    <w:rsid w:val="00B54EA7"/>
    <w:rsid w:val="00B563F8"/>
    <w:rsid w:val="00B605F8"/>
    <w:rsid w:val="00B61DFD"/>
    <w:rsid w:val="00B6208F"/>
    <w:rsid w:val="00B647EE"/>
    <w:rsid w:val="00B6521C"/>
    <w:rsid w:val="00B70D92"/>
    <w:rsid w:val="00B7244F"/>
    <w:rsid w:val="00B7782F"/>
    <w:rsid w:val="00B802D0"/>
    <w:rsid w:val="00B80406"/>
    <w:rsid w:val="00B83166"/>
    <w:rsid w:val="00B8678F"/>
    <w:rsid w:val="00B86BF1"/>
    <w:rsid w:val="00B96049"/>
    <w:rsid w:val="00BA006F"/>
    <w:rsid w:val="00BA020F"/>
    <w:rsid w:val="00BA35DB"/>
    <w:rsid w:val="00BA42DB"/>
    <w:rsid w:val="00BA430F"/>
    <w:rsid w:val="00BA55D9"/>
    <w:rsid w:val="00BA7FDE"/>
    <w:rsid w:val="00BB4E80"/>
    <w:rsid w:val="00BB521B"/>
    <w:rsid w:val="00BB79E5"/>
    <w:rsid w:val="00BB7E1E"/>
    <w:rsid w:val="00BC4FA4"/>
    <w:rsid w:val="00BC5DCB"/>
    <w:rsid w:val="00BC600E"/>
    <w:rsid w:val="00BC68A9"/>
    <w:rsid w:val="00BC6AAE"/>
    <w:rsid w:val="00BC6C08"/>
    <w:rsid w:val="00BC6CC2"/>
    <w:rsid w:val="00BC794A"/>
    <w:rsid w:val="00BD0F2E"/>
    <w:rsid w:val="00BD2027"/>
    <w:rsid w:val="00BD258E"/>
    <w:rsid w:val="00BD3E49"/>
    <w:rsid w:val="00BD6893"/>
    <w:rsid w:val="00BD79DE"/>
    <w:rsid w:val="00BE1038"/>
    <w:rsid w:val="00BE424F"/>
    <w:rsid w:val="00BE68BE"/>
    <w:rsid w:val="00BE76EC"/>
    <w:rsid w:val="00BF15A3"/>
    <w:rsid w:val="00BF21AE"/>
    <w:rsid w:val="00BF29F8"/>
    <w:rsid w:val="00BF40ED"/>
    <w:rsid w:val="00BF650D"/>
    <w:rsid w:val="00BF6B7C"/>
    <w:rsid w:val="00BF7281"/>
    <w:rsid w:val="00C011DD"/>
    <w:rsid w:val="00C0280A"/>
    <w:rsid w:val="00C02B6D"/>
    <w:rsid w:val="00C041E4"/>
    <w:rsid w:val="00C049EE"/>
    <w:rsid w:val="00C04C5A"/>
    <w:rsid w:val="00C112AC"/>
    <w:rsid w:val="00C11376"/>
    <w:rsid w:val="00C11694"/>
    <w:rsid w:val="00C12BB8"/>
    <w:rsid w:val="00C13380"/>
    <w:rsid w:val="00C13427"/>
    <w:rsid w:val="00C179B1"/>
    <w:rsid w:val="00C17AE0"/>
    <w:rsid w:val="00C21110"/>
    <w:rsid w:val="00C222FF"/>
    <w:rsid w:val="00C2300D"/>
    <w:rsid w:val="00C25EF6"/>
    <w:rsid w:val="00C26CCF"/>
    <w:rsid w:val="00C2714E"/>
    <w:rsid w:val="00C27655"/>
    <w:rsid w:val="00C343FC"/>
    <w:rsid w:val="00C35848"/>
    <w:rsid w:val="00C36493"/>
    <w:rsid w:val="00C402F0"/>
    <w:rsid w:val="00C43EA6"/>
    <w:rsid w:val="00C46118"/>
    <w:rsid w:val="00C477AF"/>
    <w:rsid w:val="00C478C4"/>
    <w:rsid w:val="00C50631"/>
    <w:rsid w:val="00C55805"/>
    <w:rsid w:val="00C604F7"/>
    <w:rsid w:val="00C61B67"/>
    <w:rsid w:val="00C659F2"/>
    <w:rsid w:val="00C666A6"/>
    <w:rsid w:val="00C666AF"/>
    <w:rsid w:val="00C675B9"/>
    <w:rsid w:val="00C70C17"/>
    <w:rsid w:val="00C7127C"/>
    <w:rsid w:val="00C72EAB"/>
    <w:rsid w:val="00C74504"/>
    <w:rsid w:val="00C76E57"/>
    <w:rsid w:val="00C77747"/>
    <w:rsid w:val="00C80A40"/>
    <w:rsid w:val="00C84611"/>
    <w:rsid w:val="00C852BA"/>
    <w:rsid w:val="00C853F4"/>
    <w:rsid w:val="00C860FC"/>
    <w:rsid w:val="00C8667F"/>
    <w:rsid w:val="00C86793"/>
    <w:rsid w:val="00C90B2E"/>
    <w:rsid w:val="00C91226"/>
    <w:rsid w:val="00C9218E"/>
    <w:rsid w:val="00C934AB"/>
    <w:rsid w:val="00C94FC6"/>
    <w:rsid w:val="00C957D2"/>
    <w:rsid w:val="00C977C7"/>
    <w:rsid w:val="00CA045D"/>
    <w:rsid w:val="00CA11E5"/>
    <w:rsid w:val="00CA7C11"/>
    <w:rsid w:val="00CB0B02"/>
    <w:rsid w:val="00CB27C4"/>
    <w:rsid w:val="00CB2DB7"/>
    <w:rsid w:val="00CB4811"/>
    <w:rsid w:val="00CB527E"/>
    <w:rsid w:val="00CB619B"/>
    <w:rsid w:val="00CB693C"/>
    <w:rsid w:val="00CB76F6"/>
    <w:rsid w:val="00CC0C9B"/>
    <w:rsid w:val="00CC26A2"/>
    <w:rsid w:val="00CC2B26"/>
    <w:rsid w:val="00CC3E98"/>
    <w:rsid w:val="00CC454B"/>
    <w:rsid w:val="00CC5D52"/>
    <w:rsid w:val="00CD105D"/>
    <w:rsid w:val="00CD2236"/>
    <w:rsid w:val="00CD37FE"/>
    <w:rsid w:val="00CD3F86"/>
    <w:rsid w:val="00CD58B0"/>
    <w:rsid w:val="00CD642F"/>
    <w:rsid w:val="00CD65DB"/>
    <w:rsid w:val="00CD6FA6"/>
    <w:rsid w:val="00CE2215"/>
    <w:rsid w:val="00CE729F"/>
    <w:rsid w:val="00CF413F"/>
    <w:rsid w:val="00CF6824"/>
    <w:rsid w:val="00CF721A"/>
    <w:rsid w:val="00CF7478"/>
    <w:rsid w:val="00CF75FC"/>
    <w:rsid w:val="00D01D44"/>
    <w:rsid w:val="00D028FF"/>
    <w:rsid w:val="00D034E0"/>
    <w:rsid w:val="00D044A3"/>
    <w:rsid w:val="00D054E1"/>
    <w:rsid w:val="00D07CCD"/>
    <w:rsid w:val="00D10000"/>
    <w:rsid w:val="00D10260"/>
    <w:rsid w:val="00D11940"/>
    <w:rsid w:val="00D12E5A"/>
    <w:rsid w:val="00D13FA9"/>
    <w:rsid w:val="00D14486"/>
    <w:rsid w:val="00D157CB"/>
    <w:rsid w:val="00D15E3A"/>
    <w:rsid w:val="00D169D5"/>
    <w:rsid w:val="00D22319"/>
    <w:rsid w:val="00D2242B"/>
    <w:rsid w:val="00D23664"/>
    <w:rsid w:val="00D27AE5"/>
    <w:rsid w:val="00D315D5"/>
    <w:rsid w:val="00D34D34"/>
    <w:rsid w:val="00D354E8"/>
    <w:rsid w:val="00D37C28"/>
    <w:rsid w:val="00D40154"/>
    <w:rsid w:val="00D4022E"/>
    <w:rsid w:val="00D40638"/>
    <w:rsid w:val="00D42BEB"/>
    <w:rsid w:val="00D42D85"/>
    <w:rsid w:val="00D42FCE"/>
    <w:rsid w:val="00D460D6"/>
    <w:rsid w:val="00D5470C"/>
    <w:rsid w:val="00D552E8"/>
    <w:rsid w:val="00D575C6"/>
    <w:rsid w:val="00D57E97"/>
    <w:rsid w:val="00D601D2"/>
    <w:rsid w:val="00D611F4"/>
    <w:rsid w:val="00D64985"/>
    <w:rsid w:val="00D65580"/>
    <w:rsid w:val="00D655D7"/>
    <w:rsid w:val="00D67F72"/>
    <w:rsid w:val="00D72A48"/>
    <w:rsid w:val="00D73D9E"/>
    <w:rsid w:val="00D74857"/>
    <w:rsid w:val="00D76D82"/>
    <w:rsid w:val="00D80155"/>
    <w:rsid w:val="00D8025E"/>
    <w:rsid w:val="00D8242F"/>
    <w:rsid w:val="00D82FE9"/>
    <w:rsid w:val="00D85E41"/>
    <w:rsid w:val="00D869CA"/>
    <w:rsid w:val="00D874F1"/>
    <w:rsid w:val="00D901D7"/>
    <w:rsid w:val="00D90695"/>
    <w:rsid w:val="00D92420"/>
    <w:rsid w:val="00D949BE"/>
    <w:rsid w:val="00DA060F"/>
    <w:rsid w:val="00DA4941"/>
    <w:rsid w:val="00DA7C69"/>
    <w:rsid w:val="00DB130A"/>
    <w:rsid w:val="00DB3A78"/>
    <w:rsid w:val="00DB4A96"/>
    <w:rsid w:val="00DB6A9D"/>
    <w:rsid w:val="00DC1A9C"/>
    <w:rsid w:val="00DC201A"/>
    <w:rsid w:val="00DC2EF6"/>
    <w:rsid w:val="00DC48FA"/>
    <w:rsid w:val="00DC4FB1"/>
    <w:rsid w:val="00DC7B2C"/>
    <w:rsid w:val="00DD0209"/>
    <w:rsid w:val="00DD1A74"/>
    <w:rsid w:val="00DD46ED"/>
    <w:rsid w:val="00DD5130"/>
    <w:rsid w:val="00DD5B85"/>
    <w:rsid w:val="00DD72DD"/>
    <w:rsid w:val="00DD7E29"/>
    <w:rsid w:val="00DE02F9"/>
    <w:rsid w:val="00DE05BE"/>
    <w:rsid w:val="00DE077C"/>
    <w:rsid w:val="00DE16FC"/>
    <w:rsid w:val="00DE2D2A"/>
    <w:rsid w:val="00DE2D7A"/>
    <w:rsid w:val="00DE4541"/>
    <w:rsid w:val="00DE56CD"/>
    <w:rsid w:val="00DF0B6E"/>
    <w:rsid w:val="00DF37ED"/>
    <w:rsid w:val="00DF39FC"/>
    <w:rsid w:val="00DF3F09"/>
    <w:rsid w:val="00DF42CB"/>
    <w:rsid w:val="00DF60A5"/>
    <w:rsid w:val="00DF75B0"/>
    <w:rsid w:val="00DF7BA2"/>
    <w:rsid w:val="00DF7CBB"/>
    <w:rsid w:val="00E008A1"/>
    <w:rsid w:val="00E031D4"/>
    <w:rsid w:val="00E03260"/>
    <w:rsid w:val="00E03A3E"/>
    <w:rsid w:val="00E0508B"/>
    <w:rsid w:val="00E066ED"/>
    <w:rsid w:val="00E07624"/>
    <w:rsid w:val="00E10D1A"/>
    <w:rsid w:val="00E17A11"/>
    <w:rsid w:val="00E20625"/>
    <w:rsid w:val="00E20EA7"/>
    <w:rsid w:val="00E21FFE"/>
    <w:rsid w:val="00E23C6B"/>
    <w:rsid w:val="00E25634"/>
    <w:rsid w:val="00E328F6"/>
    <w:rsid w:val="00E3456E"/>
    <w:rsid w:val="00E34DDB"/>
    <w:rsid w:val="00E4111D"/>
    <w:rsid w:val="00E41EA8"/>
    <w:rsid w:val="00E425DC"/>
    <w:rsid w:val="00E43272"/>
    <w:rsid w:val="00E46829"/>
    <w:rsid w:val="00E50FC1"/>
    <w:rsid w:val="00E51848"/>
    <w:rsid w:val="00E559E6"/>
    <w:rsid w:val="00E56B71"/>
    <w:rsid w:val="00E5781C"/>
    <w:rsid w:val="00E601C8"/>
    <w:rsid w:val="00E61BE4"/>
    <w:rsid w:val="00E66A11"/>
    <w:rsid w:val="00E67149"/>
    <w:rsid w:val="00E7240E"/>
    <w:rsid w:val="00E72B5A"/>
    <w:rsid w:val="00E739DA"/>
    <w:rsid w:val="00E74A25"/>
    <w:rsid w:val="00E75C39"/>
    <w:rsid w:val="00E765FC"/>
    <w:rsid w:val="00E802CA"/>
    <w:rsid w:val="00E8170B"/>
    <w:rsid w:val="00E82417"/>
    <w:rsid w:val="00E84EC3"/>
    <w:rsid w:val="00E85F86"/>
    <w:rsid w:val="00E86FF2"/>
    <w:rsid w:val="00E872EE"/>
    <w:rsid w:val="00E900ED"/>
    <w:rsid w:val="00E920AC"/>
    <w:rsid w:val="00E93D55"/>
    <w:rsid w:val="00E9491E"/>
    <w:rsid w:val="00E94E2A"/>
    <w:rsid w:val="00E95899"/>
    <w:rsid w:val="00E95B08"/>
    <w:rsid w:val="00E9647F"/>
    <w:rsid w:val="00E96F9E"/>
    <w:rsid w:val="00E96FC3"/>
    <w:rsid w:val="00EA45E1"/>
    <w:rsid w:val="00EA6138"/>
    <w:rsid w:val="00EA69F5"/>
    <w:rsid w:val="00EA7B83"/>
    <w:rsid w:val="00EB110B"/>
    <w:rsid w:val="00EB297C"/>
    <w:rsid w:val="00EB555F"/>
    <w:rsid w:val="00EB5949"/>
    <w:rsid w:val="00EB6391"/>
    <w:rsid w:val="00EB7F5E"/>
    <w:rsid w:val="00EC02BD"/>
    <w:rsid w:val="00EC083C"/>
    <w:rsid w:val="00EC1748"/>
    <w:rsid w:val="00EC18B0"/>
    <w:rsid w:val="00EC6619"/>
    <w:rsid w:val="00ED056B"/>
    <w:rsid w:val="00ED40F5"/>
    <w:rsid w:val="00ED4B05"/>
    <w:rsid w:val="00ED5460"/>
    <w:rsid w:val="00ED7EDF"/>
    <w:rsid w:val="00EE1304"/>
    <w:rsid w:val="00EE2A41"/>
    <w:rsid w:val="00EE59A2"/>
    <w:rsid w:val="00EE6ACC"/>
    <w:rsid w:val="00EE7B6D"/>
    <w:rsid w:val="00EF0DFD"/>
    <w:rsid w:val="00EF442F"/>
    <w:rsid w:val="00EF7530"/>
    <w:rsid w:val="00F00A65"/>
    <w:rsid w:val="00F0279A"/>
    <w:rsid w:val="00F05B1E"/>
    <w:rsid w:val="00F06FE1"/>
    <w:rsid w:val="00F12089"/>
    <w:rsid w:val="00F127FD"/>
    <w:rsid w:val="00F12CD2"/>
    <w:rsid w:val="00F13B02"/>
    <w:rsid w:val="00F157CD"/>
    <w:rsid w:val="00F16ED0"/>
    <w:rsid w:val="00F176F6"/>
    <w:rsid w:val="00F17D90"/>
    <w:rsid w:val="00F20B47"/>
    <w:rsid w:val="00F21274"/>
    <w:rsid w:val="00F21AA0"/>
    <w:rsid w:val="00F22E78"/>
    <w:rsid w:val="00F23D78"/>
    <w:rsid w:val="00F243DE"/>
    <w:rsid w:val="00F2453E"/>
    <w:rsid w:val="00F25490"/>
    <w:rsid w:val="00F2622F"/>
    <w:rsid w:val="00F26335"/>
    <w:rsid w:val="00F33138"/>
    <w:rsid w:val="00F335F6"/>
    <w:rsid w:val="00F33C2C"/>
    <w:rsid w:val="00F341F6"/>
    <w:rsid w:val="00F357C4"/>
    <w:rsid w:val="00F36C7B"/>
    <w:rsid w:val="00F371F1"/>
    <w:rsid w:val="00F409EE"/>
    <w:rsid w:val="00F41D7E"/>
    <w:rsid w:val="00F43DC3"/>
    <w:rsid w:val="00F44B92"/>
    <w:rsid w:val="00F4509F"/>
    <w:rsid w:val="00F477BD"/>
    <w:rsid w:val="00F478A1"/>
    <w:rsid w:val="00F51768"/>
    <w:rsid w:val="00F517F4"/>
    <w:rsid w:val="00F567D5"/>
    <w:rsid w:val="00F6159F"/>
    <w:rsid w:val="00F615FB"/>
    <w:rsid w:val="00F61DA3"/>
    <w:rsid w:val="00F621F1"/>
    <w:rsid w:val="00F62A43"/>
    <w:rsid w:val="00F6341A"/>
    <w:rsid w:val="00F63AB0"/>
    <w:rsid w:val="00F65D5F"/>
    <w:rsid w:val="00F66538"/>
    <w:rsid w:val="00F678B3"/>
    <w:rsid w:val="00F67F00"/>
    <w:rsid w:val="00F7058F"/>
    <w:rsid w:val="00F7614F"/>
    <w:rsid w:val="00F77D23"/>
    <w:rsid w:val="00F82606"/>
    <w:rsid w:val="00F828EE"/>
    <w:rsid w:val="00F82BE2"/>
    <w:rsid w:val="00F82F99"/>
    <w:rsid w:val="00F86721"/>
    <w:rsid w:val="00F86EC0"/>
    <w:rsid w:val="00F8717C"/>
    <w:rsid w:val="00F903F0"/>
    <w:rsid w:val="00F913AB"/>
    <w:rsid w:val="00F960F0"/>
    <w:rsid w:val="00FA114D"/>
    <w:rsid w:val="00FA3AD4"/>
    <w:rsid w:val="00FB07C5"/>
    <w:rsid w:val="00FB70C6"/>
    <w:rsid w:val="00FB7156"/>
    <w:rsid w:val="00FC1E85"/>
    <w:rsid w:val="00FC1FD4"/>
    <w:rsid w:val="00FC25FC"/>
    <w:rsid w:val="00FC3162"/>
    <w:rsid w:val="00FC614D"/>
    <w:rsid w:val="00FD1EE3"/>
    <w:rsid w:val="00FD6820"/>
    <w:rsid w:val="00FD7375"/>
    <w:rsid w:val="00FE002C"/>
    <w:rsid w:val="00FE0386"/>
    <w:rsid w:val="00FE1098"/>
    <w:rsid w:val="00FE1BBC"/>
    <w:rsid w:val="00FE3A46"/>
    <w:rsid w:val="00FE3C14"/>
    <w:rsid w:val="00FE7236"/>
    <w:rsid w:val="00FE729E"/>
    <w:rsid w:val="00FE77ED"/>
    <w:rsid w:val="00FE7848"/>
    <w:rsid w:val="00FF170A"/>
    <w:rsid w:val="00FF607B"/>
    <w:rsid w:val="00FF68C1"/>
    <w:rsid w:val="00FF72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0E"/>
    <w:rPr>
      <w:sz w:val="22"/>
    </w:rPr>
  </w:style>
  <w:style w:type="paragraph" w:styleId="Heading1">
    <w:name w:val="heading 1"/>
    <w:basedOn w:val="Normal"/>
    <w:next w:val="Normal"/>
    <w:qFormat/>
    <w:rsid w:val="00004A13"/>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004A13"/>
    <w:pPr>
      <w:keepNext/>
      <w:spacing w:before="240" w:after="60"/>
      <w:outlineLvl w:val="1"/>
    </w:pPr>
    <w:rPr>
      <w:rFonts w:ascii="Arial" w:hAnsi="Arial" w:cs="Arial"/>
      <w:b/>
      <w:bCs/>
      <w:i/>
      <w:iCs/>
      <w:sz w:val="24"/>
      <w:szCs w:val="28"/>
    </w:rPr>
  </w:style>
  <w:style w:type="paragraph" w:styleId="Heading3">
    <w:name w:val="heading 3"/>
    <w:basedOn w:val="Normal"/>
    <w:next w:val="Normal"/>
    <w:qFormat/>
    <w:rsid w:val="00004A13"/>
    <w:pPr>
      <w:keepNext/>
      <w:jc w:val="center"/>
      <w:outlineLvl w:val="2"/>
    </w:pPr>
    <w:rPr>
      <w:rFonts w:ascii="Arial" w:hAnsi="Arial" w:cs="Arial"/>
      <w:sz w:val="28"/>
    </w:rPr>
  </w:style>
  <w:style w:type="paragraph" w:styleId="Heading4">
    <w:name w:val="heading 4"/>
    <w:basedOn w:val="Normal"/>
    <w:next w:val="Normal"/>
    <w:qFormat/>
    <w:rsid w:val="00004A13"/>
    <w:pPr>
      <w:keepNext/>
      <w:outlineLvl w:val="3"/>
    </w:pPr>
    <w:rPr>
      <w:rFonts w:ascii="Arial" w:hAnsi="Arial" w:cs="Arial"/>
      <w:b/>
      <w:bCs/>
    </w:rPr>
  </w:style>
  <w:style w:type="paragraph" w:styleId="Heading5">
    <w:name w:val="heading 5"/>
    <w:basedOn w:val="Normal"/>
    <w:next w:val="Normal"/>
    <w:qFormat/>
    <w:rsid w:val="00004A13"/>
    <w:pPr>
      <w:keepNext/>
      <w:autoSpaceDE w:val="0"/>
      <w:autoSpaceDN w:val="0"/>
      <w:adjustRightInd w:val="0"/>
      <w:jc w:val="right"/>
      <w:outlineLvl w:val="4"/>
    </w:pPr>
    <w:rPr>
      <w:rFonts w:ascii="Arial" w:hAnsi="Arial" w:cs="Arial"/>
      <w:b/>
      <w:bCs/>
      <w:sz w:val="20"/>
    </w:rPr>
  </w:style>
  <w:style w:type="paragraph" w:styleId="Heading6">
    <w:name w:val="heading 6"/>
    <w:basedOn w:val="Normal"/>
    <w:next w:val="Normal"/>
    <w:qFormat/>
    <w:rsid w:val="00004A13"/>
    <w:pPr>
      <w:keepNext/>
      <w:jc w:val="center"/>
      <w:outlineLvl w:val="5"/>
    </w:pPr>
    <w:rPr>
      <w:rFonts w:ascii="Arial" w:hAnsi="Arial" w:cs="Arial"/>
      <w:b/>
      <w:bCs/>
      <w:sz w:val="20"/>
    </w:rPr>
  </w:style>
  <w:style w:type="paragraph" w:styleId="Heading7">
    <w:name w:val="heading 7"/>
    <w:basedOn w:val="Normal"/>
    <w:next w:val="Normal"/>
    <w:qFormat/>
    <w:rsid w:val="00004A13"/>
    <w:pPr>
      <w:keepNext/>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04A13"/>
    <w:pPr>
      <w:jc w:val="center"/>
    </w:pPr>
    <w:rPr>
      <w:rFonts w:ascii="Arial" w:hAnsi="Arial" w:cs="Arial"/>
      <w:sz w:val="28"/>
    </w:rPr>
  </w:style>
  <w:style w:type="paragraph" w:styleId="BodyText">
    <w:name w:val="Body Text"/>
    <w:basedOn w:val="Normal"/>
    <w:rsid w:val="00004A13"/>
    <w:pPr>
      <w:widowControl w:val="0"/>
    </w:pPr>
    <w:rPr>
      <w:rFonts w:ascii="Arial" w:hAnsi="Arial"/>
      <w:snapToGrid w:val="0"/>
    </w:rPr>
  </w:style>
  <w:style w:type="paragraph" w:styleId="TOC1">
    <w:name w:val="toc 1"/>
    <w:basedOn w:val="Normal"/>
    <w:next w:val="Normal"/>
    <w:autoRedefine/>
    <w:uiPriority w:val="39"/>
    <w:rsid w:val="00004A13"/>
    <w:rPr>
      <w:rFonts w:cs="Arial"/>
    </w:rPr>
  </w:style>
  <w:style w:type="paragraph" w:styleId="TOC2">
    <w:name w:val="toc 2"/>
    <w:basedOn w:val="Normal"/>
    <w:next w:val="Normal"/>
    <w:autoRedefine/>
    <w:uiPriority w:val="39"/>
    <w:rsid w:val="00AA3507"/>
    <w:pPr>
      <w:tabs>
        <w:tab w:val="right" w:leader="dot" w:pos="9403"/>
      </w:tabs>
      <w:bidi/>
      <w:ind w:left="220"/>
    </w:pPr>
    <w:rPr>
      <w:rFonts w:ascii="Simplified Arabic" w:hAnsi="Simplified Arabic" w:cs="Simplified Arabic"/>
      <w:b/>
      <w:bCs/>
      <w:smallCaps/>
      <w:noProof/>
      <w:sz w:val="24"/>
      <w:szCs w:val="24"/>
    </w:rPr>
  </w:style>
  <w:style w:type="paragraph" w:styleId="TOC3">
    <w:name w:val="toc 3"/>
    <w:basedOn w:val="Normal"/>
    <w:next w:val="Normal"/>
    <w:autoRedefine/>
    <w:uiPriority w:val="39"/>
    <w:rsid w:val="00AA3507"/>
    <w:pPr>
      <w:tabs>
        <w:tab w:val="right" w:leader="dot" w:pos="9403"/>
      </w:tabs>
      <w:bidi/>
      <w:ind w:left="440"/>
    </w:pPr>
    <w:rPr>
      <w:rFonts w:ascii="Simplified Arabic" w:hAnsi="Simplified Arabic" w:cs="Simplified Arabic"/>
      <w:b/>
      <w:bCs/>
      <w:noProof/>
      <w:sz w:val="24"/>
      <w:szCs w:val="24"/>
    </w:rPr>
  </w:style>
  <w:style w:type="paragraph" w:styleId="TOC4">
    <w:name w:val="toc 4"/>
    <w:basedOn w:val="Normal"/>
    <w:next w:val="Normal"/>
    <w:autoRedefine/>
    <w:semiHidden/>
    <w:rsid w:val="00004A13"/>
    <w:pPr>
      <w:ind w:left="660"/>
    </w:pPr>
  </w:style>
  <w:style w:type="paragraph" w:styleId="TOC5">
    <w:name w:val="toc 5"/>
    <w:basedOn w:val="Normal"/>
    <w:next w:val="Normal"/>
    <w:autoRedefine/>
    <w:semiHidden/>
    <w:rsid w:val="00004A13"/>
    <w:pPr>
      <w:ind w:left="880"/>
    </w:pPr>
  </w:style>
  <w:style w:type="paragraph" w:styleId="TOC6">
    <w:name w:val="toc 6"/>
    <w:basedOn w:val="Normal"/>
    <w:next w:val="Normal"/>
    <w:autoRedefine/>
    <w:semiHidden/>
    <w:rsid w:val="00004A13"/>
    <w:pPr>
      <w:ind w:left="1100"/>
    </w:pPr>
  </w:style>
  <w:style w:type="paragraph" w:styleId="TOC7">
    <w:name w:val="toc 7"/>
    <w:basedOn w:val="Normal"/>
    <w:next w:val="Normal"/>
    <w:autoRedefine/>
    <w:semiHidden/>
    <w:rsid w:val="00004A13"/>
    <w:pPr>
      <w:ind w:left="1320"/>
    </w:pPr>
  </w:style>
  <w:style w:type="paragraph" w:styleId="TOC8">
    <w:name w:val="toc 8"/>
    <w:basedOn w:val="Normal"/>
    <w:next w:val="Normal"/>
    <w:autoRedefine/>
    <w:semiHidden/>
    <w:rsid w:val="00004A13"/>
    <w:pPr>
      <w:ind w:left="1540"/>
    </w:pPr>
  </w:style>
  <w:style w:type="paragraph" w:styleId="TOC9">
    <w:name w:val="toc 9"/>
    <w:basedOn w:val="Normal"/>
    <w:next w:val="Normal"/>
    <w:autoRedefine/>
    <w:semiHidden/>
    <w:rsid w:val="00004A13"/>
    <w:pPr>
      <w:ind w:left="1760"/>
    </w:pPr>
  </w:style>
  <w:style w:type="character" w:styleId="Hyperlink">
    <w:name w:val="Hyperlink"/>
    <w:basedOn w:val="DefaultParagraphFont"/>
    <w:uiPriority w:val="99"/>
    <w:rsid w:val="00004A13"/>
    <w:rPr>
      <w:color w:val="0000FF"/>
      <w:u w:val="single"/>
    </w:rPr>
  </w:style>
  <w:style w:type="paragraph" w:styleId="Caption">
    <w:name w:val="caption"/>
    <w:basedOn w:val="Normal"/>
    <w:next w:val="Normal"/>
    <w:autoRedefine/>
    <w:uiPriority w:val="99"/>
    <w:qFormat/>
    <w:rsid w:val="000720E3"/>
    <w:pPr>
      <w:jc w:val="center"/>
    </w:pPr>
    <w:rPr>
      <w:b/>
      <w:smallCaps/>
      <w:sz w:val="40"/>
      <w:szCs w:val="40"/>
      <w:lang w:val="en-GB"/>
    </w:rPr>
  </w:style>
  <w:style w:type="paragraph" w:styleId="TableofFigures">
    <w:name w:val="table of figures"/>
    <w:basedOn w:val="Normal"/>
    <w:next w:val="Normal"/>
    <w:semiHidden/>
    <w:rsid w:val="00004A13"/>
    <w:pPr>
      <w:ind w:left="440" w:hanging="440"/>
    </w:pPr>
  </w:style>
  <w:style w:type="paragraph" w:styleId="Footer">
    <w:name w:val="footer"/>
    <w:basedOn w:val="Normal"/>
    <w:link w:val="FooterChar"/>
    <w:uiPriority w:val="99"/>
    <w:rsid w:val="00004A13"/>
    <w:pPr>
      <w:tabs>
        <w:tab w:val="center" w:pos="4320"/>
        <w:tab w:val="right" w:pos="8640"/>
      </w:tabs>
    </w:pPr>
  </w:style>
  <w:style w:type="character" w:styleId="PageNumber">
    <w:name w:val="page number"/>
    <w:basedOn w:val="DefaultParagraphFont"/>
    <w:rsid w:val="00004A13"/>
  </w:style>
  <w:style w:type="paragraph" w:customStyle="1" w:styleId="xl25">
    <w:name w:val="xl25"/>
    <w:basedOn w:val="Normal"/>
    <w:rsid w:val="00004A13"/>
    <w:pPr>
      <w:spacing w:before="100" w:beforeAutospacing="1" w:after="100" w:afterAutospacing="1"/>
      <w:jc w:val="right"/>
      <w:textAlignment w:val="top"/>
    </w:pPr>
    <w:rPr>
      <w:szCs w:val="22"/>
    </w:rPr>
  </w:style>
  <w:style w:type="paragraph" w:customStyle="1" w:styleId="xl26">
    <w:name w:val="xl26"/>
    <w:basedOn w:val="Normal"/>
    <w:rsid w:val="00004A13"/>
    <w:pPr>
      <w:spacing w:before="100" w:beforeAutospacing="1" w:after="100" w:afterAutospacing="1"/>
      <w:textAlignment w:val="top"/>
    </w:pPr>
    <w:rPr>
      <w:szCs w:val="22"/>
    </w:rPr>
  </w:style>
  <w:style w:type="paragraph" w:customStyle="1" w:styleId="xl27">
    <w:name w:val="xl27"/>
    <w:basedOn w:val="Normal"/>
    <w:rsid w:val="00004A13"/>
    <w:pPr>
      <w:spacing w:before="100" w:beforeAutospacing="1" w:after="100" w:afterAutospacing="1"/>
      <w:jc w:val="right"/>
    </w:pPr>
    <w:rPr>
      <w:szCs w:val="22"/>
    </w:rPr>
  </w:style>
  <w:style w:type="paragraph" w:customStyle="1" w:styleId="xl28">
    <w:name w:val="xl28"/>
    <w:basedOn w:val="Normal"/>
    <w:rsid w:val="00004A13"/>
    <w:pPr>
      <w:spacing w:before="100" w:beforeAutospacing="1" w:after="100" w:afterAutospacing="1"/>
      <w:jc w:val="right"/>
    </w:pPr>
    <w:rPr>
      <w:rFonts w:ascii="Arial" w:hAnsi="Arial" w:cs="Arial"/>
      <w:sz w:val="24"/>
      <w:szCs w:val="24"/>
    </w:rPr>
  </w:style>
  <w:style w:type="paragraph" w:customStyle="1" w:styleId="xl29">
    <w:name w:val="xl29"/>
    <w:basedOn w:val="Normal"/>
    <w:rsid w:val="00004A13"/>
    <w:pPr>
      <w:pBdr>
        <w:bottom w:val="single" w:sz="12" w:space="0" w:color="auto"/>
      </w:pBdr>
      <w:spacing w:before="100" w:beforeAutospacing="1" w:after="100" w:afterAutospacing="1"/>
      <w:jc w:val="right"/>
      <w:textAlignment w:val="top"/>
    </w:pPr>
    <w:rPr>
      <w:rFonts w:ascii="Arial" w:hAnsi="Arial" w:cs="Arial"/>
      <w:sz w:val="24"/>
      <w:szCs w:val="24"/>
    </w:rPr>
  </w:style>
  <w:style w:type="paragraph" w:styleId="BodyText2">
    <w:name w:val="Body Text 2"/>
    <w:basedOn w:val="Normal"/>
    <w:rsid w:val="00004A13"/>
    <w:pPr>
      <w:autoSpaceDE w:val="0"/>
      <w:autoSpaceDN w:val="0"/>
      <w:adjustRightInd w:val="0"/>
      <w:jc w:val="center"/>
    </w:pPr>
    <w:rPr>
      <w:rFonts w:ascii="Arial" w:hAnsi="Arial" w:cs="Arial"/>
      <w:sz w:val="20"/>
    </w:rPr>
  </w:style>
  <w:style w:type="paragraph" w:styleId="PlainText">
    <w:name w:val="Plain Text"/>
    <w:basedOn w:val="Normal"/>
    <w:rsid w:val="00004A13"/>
    <w:rPr>
      <w:rFonts w:ascii="Courier New" w:hAnsi="Courier New"/>
      <w:sz w:val="20"/>
      <w:lang w:val="en-GB"/>
    </w:rPr>
  </w:style>
  <w:style w:type="paragraph" w:styleId="Header">
    <w:name w:val="header"/>
    <w:basedOn w:val="Normal"/>
    <w:link w:val="HeaderChar"/>
    <w:uiPriority w:val="99"/>
    <w:rsid w:val="00004A13"/>
    <w:pPr>
      <w:tabs>
        <w:tab w:val="center" w:pos="4320"/>
        <w:tab w:val="right" w:pos="8640"/>
      </w:tabs>
    </w:pPr>
  </w:style>
  <w:style w:type="character" w:styleId="FollowedHyperlink">
    <w:name w:val="FollowedHyperlink"/>
    <w:basedOn w:val="DefaultParagraphFont"/>
    <w:rsid w:val="00004A13"/>
    <w:rPr>
      <w:color w:val="800080"/>
      <w:u w:val="single"/>
    </w:rPr>
  </w:style>
  <w:style w:type="character" w:customStyle="1" w:styleId="2H">
    <w:name w:val="2H"/>
    <w:rsid w:val="004E5165"/>
    <w:rPr>
      <w:b/>
      <w:sz w:val="24"/>
    </w:rPr>
  </w:style>
  <w:style w:type="paragraph" w:styleId="FootnoteText">
    <w:name w:val="footnote text"/>
    <w:basedOn w:val="Normal"/>
    <w:link w:val="FootnoteTextChar"/>
    <w:rsid w:val="00F960F0"/>
    <w:pPr>
      <w:widowControl w:val="0"/>
    </w:pPr>
    <w:rPr>
      <w:sz w:val="20"/>
    </w:rPr>
  </w:style>
  <w:style w:type="character" w:customStyle="1" w:styleId="1H">
    <w:name w:val="1H"/>
    <w:rsid w:val="00DC4FB1"/>
    <w:rPr>
      <w:b/>
      <w:sz w:val="28"/>
    </w:rPr>
  </w:style>
  <w:style w:type="paragraph" w:styleId="BalloonText">
    <w:name w:val="Balloon Text"/>
    <w:basedOn w:val="Normal"/>
    <w:semiHidden/>
    <w:rsid w:val="006203AD"/>
    <w:rPr>
      <w:rFonts w:ascii="Tahoma" w:hAnsi="Tahoma" w:cs="Tahoma"/>
      <w:sz w:val="16"/>
      <w:szCs w:val="16"/>
    </w:rPr>
  </w:style>
  <w:style w:type="paragraph" w:customStyle="1" w:styleId="TL">
    <w:name w:val="TL"/>
    <w:rsid w:val="00276C8D"/>
    <w:pPr>
      <w:widowControl w:val="0"/>
      <w:tabs>
        <w:tab w:val="left" w:pos="-1440"/>
        <w:tab w:val="left" w:pos="-720"/>
        <w:tab w:val="left" w:pos="0"/>
        <w:tab w:val="left" w:pos="199"/>
        <w:tab w:val="left" w:pos="399"/>
        <w:tab w:val="left" w:pos="600"/>
        <w:tab w:val="left" w:pos="720"/>
        <w:tab w:val="left" w:pos="799"/>
        <w:tab w:val="left" w:pos="999"/>
        <w:tab w:val="left" w:pos="1200"/>
        <w:tab w:val="left" w:pos="1399"/>
        <w:tab w:val="left" w:pos="1440"/>
        <w:tab w:val="left" w:pos="1599"/>
        <w:tab w:val="left" w:pos="1800"/>
        <w:tab w:val="left" w:pos="1999"/>
        <w:tab w:val="left" w:pos="2160"/>
        <w:tab w:val="left" w:pos="2199"/>
        <w:tab w:val="left" w:pos="2400"/>
        <w:tab w:val="left" w:pos="2880"/>
      </w:tabs>
    </w:pPr>
    <w:rPr>
      <w:sz w:val="24"/>
    </w:rPr>
  </w:style>
  <w:style w:type="character" w:customStyle="1" w:styleId="BT">
    <w:name w:val="BT"/>
    <w:rsid w:val="00276C8D"/>
    <w:rPr>
      <w:rFonts w:ascii="Univers" w:hAnsi="Univers"/>
      <w:sz w:val="21"/>
    </w:rPr>
  </w:style>
  <w:style w:type="table" w:styleId="TableGrid">
    <w:name w:val="Table Grid"/>
    <w:basedOn w:val="TableNormal"/>
    <w:uiPriority w:val="59"/>
    <w:rsid w:val="0012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E5A95"/>
    <w:rPr>
      <w:sz w:val="16"/>
      <w:szCs w:val="16"/>
    </w:rPr>
  </w:style>
  <w:style w:type="paragraph" w:styleId="CommentText">
    <w:name w:val="annotation text"/>
    <w:basedOn w:val="Normal"/>
    <w:semiHidden/>
    <w:rsid w:val="003E5A95"/>
    <w:rPr>
      <w:sz w:val="20"/>
    </w:rPr>
  </w:style>
  <w:style w:type="paragraph" w:styleId="CommentSubject">
    <w:name w:val="annotation subject"/>
    <w:basedOn w:val="CommentText"/>
    <w:next w:val="CommentText"/>
    <w:semiHidden/>
    <w:rsid w:val="003E5A95"/>
    <w:rPr>
      <w:b/>
      <w:bCs/>
    </w:rPr>
  </w:style>
  <w:style w:type="paragraph" w:styleId="BodyTextIndent2">
    <w:name w:val="Body Text Indent 2"/>
    <w:basedOn w:val="Normal"/>
    <w:rsid w:val="00891BB3"/>
    <w:pPr>
      <w:spacing w:after="120" w:line="480" w:lineRule="auto"/>
      <w:ind w:left="360"/>
    </w:pPr>
  </w:style>
  <w:style w:type="character" w:styleId="FootnoteReference">
    <w:name w:val="footnote reference"/>
    <w:basedOn w:val="DefaultParagraphFont"/>
    <w:semiHidden/>
    <w:rsid w:val="004F356E"/>
    <w:rPr>
      <w:vertAlign w:val="superscript"/>
    </w:rPr>
  </w:style>
  <w:style w:type="character" w:customStyle="1" w:styleId="FooterChar">
    <w:name w:val="Footer Char"/>
    <w:basedOn w:val="DefaultParagraphFont"/>
    <w:link w:val="Footer"/>
    <w:uiPriority w:val="99"/>
    <w:rsid w:val="00F7614F"/>
    <w:rPr>
      <w:sz w:val="22"/>
    </w:rPr>
  </w:style>
  <w:style w:type="paragraph" w:customStyle="1" w:styleId="DecimalAligned">
    <w:name w:val="Decimal Aligned"/>
    <w:basedOn w:val="Normal"/>
    <w:uiPriority w:val="40"/>
    <w:qFormat/>
    <w:rsid w:val="00C90B2E"/>
    <w:pPr>
      <w:tabs>
        <w:tab w:val="decimal" w:pos="360"/>
      </w:tabs>
      <w:spacing w:after="200" w:line="276" w:lineRule="auto"/>
    </w:pPr>
    <w:rPr>
      <w:rFonts w:ascii="Calibri" w:hAnsi="Calibri" w:cs="Arial"/>
      <w:szCs w:val="22"/>
    </w:rPr>
  </w:style>
  <w:style w:type="character" w:customStyle="1" w:styleId="FootnoteTextChar">
    <w:name w:val="Footnote Text Char"/>
    <w:basedOn w:val="DefaultParagraphFont"/>
    <w:link w:val="FootnoteText"/>
    <w:rsid w:val="00C90B2E"/>
  </w:style>
  <w:style w:type="character" w:styleId="SubtleEmphasis">
    <w:name w:val="Subtle Emphasis"/>
    <w:basedOn w:val="DefaultParagraphFont"/>
    <w:uiPriority w:val="19"/>
    <w:qFormat/>
    <w:rsid w:val="00C90B2E"/>
    <w:rPr>
      <w:rFonts w:eastAsia="Times New Roman" w:cs="Arial"/>
      <w:bCs w:val="0"/>
      <w:i/>
      <w:iCs/>
      <w:color w:val="808080"/>
      <w:szCs w:val="22"/>
      <w:lang w:val="en-US"/>
    </w:rPr>
  </w:style>
  <w:style w:type="table" w:customStyle="1" w:styleId="LightShading-Accent11">
    <w:name w:val="Light Shading - Accent 11"/>
    <w:basedOn w:val="TableNormal"/>
    <w:uiPriority w:val="60"/>
    <w:rsid w:val="00C90B2E"/>
    <w:rPr>
      <w:rFonts w:ascii="Calibri" w:hAnsi="Calibri" w:cs="Arial"/>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C90B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0B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0B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0B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C90B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Spacing">
    <w:name w:val="No Spacing"/>
    <w:link w:val="NoSpacingChar"/>
    <w:uiPriority w:val="1"/>
    <w:qFormat/>
    <w:rsid w:val="00631461"/>
    <w:rPr>
      <w:rFonts w:ascii="Calibri" w:hAnsi="Calibri" w:cs="Arial"/>
      <w:sz w:val="22"/>
      <w:szCs w:val="22"/>
    </w:rPr>
  </w:style>
  <w:style w:type="character" w:customStyle="1" w:styleId="NoSpacingChar">
    <w:name w:val="No Spacing Char"/>
    <w:basedOn w:val="DefaultParagraphFont"/>
    <w:link w:val="NoSpacing"/>
    <w:uiPriority w:val="1"/>
    <w:rsid w:val="00631461"/>
    <w:rPr>
      <w:rFonts w:ascii="Calibri" w:eastAsia="Times New Roman" w:hAnsi="Calibri" w:cs="Arial"/>
      <w:sz w:val="22"/>
      <w:szCs w:val="22"/>
      <w:lang w:val="en-US" w:eastAsia="en-US" w:bidi="ar-SA"/>
    </w:rPr>
  </w:style>
  <w:style w:type="character" w:styleId="Emphasis">
    <w:name w:val="Emphasis"/>
    <w:basedOn w:val="DefaultParagraphFont"/>
    <w:qFormat/>
    <w:rsid w:val="000720E3"/>
    <w:rPr>
      <w:i/>
      <w:iCs/>
    </w:rPr>
  </w:style>
  <w:style w:type="character" w:styleId="BookTitle">
    <w:name w:val="Book Title"/>
    <w:basedOn w:val="DefaultParagraphFont"/>
    <w:uiPriority w:val="33"/>
    <w:qFormat/>
    <w:rsid w:val="007A1572"/>
    <w:rPr>
      <w:b/>
      <w:bCs/>
      <w:smallCaps/>
      <w:spacing w:val="5"/>
    </w:rPr>
  </w:style>
  <w:style w:type="character" w:customStyle="1" w:styleId="HeaderChar">
    <w:name w:val="Header Char"/>
    <w:basedOn w:val="DefaultParagraphFont"/>
    <w:link w:val="Header"/>
    <w:uiPriority w:val="99"/>
    <w:rsid w:val="007A5B2C"/>
    <w:rPr>
      <w:sz w:val="22"/>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DC48FA"/>
    <w:pPr>
      <w:ind w:left="720"/>
      <w:contextualSpacing/>
    </w:pPr>
    <w:rPr>
      <w:lang/>
    </w:rPr>
  </w:style>
  <w:style w:type="table" w:customStyle="1" w:styleId="GridTable6Colorful-Accent11">
    <w:name w:val="Grid Table 6 Colorful - Accent 11"/>
    <w:basedOn w:val="TableNormal"/>
    <w:uiPriority w:val="51"/>
    <w:rsid w:val="00A8775C"/>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EndnoteText">
    <w:name w:val="endnote text"/>
    <w:basedOn w:val="Normal"/>
    <w:link w:val="EndnoteTextChar"/>
    <w:semiHidden/>
    <w:unhideWhenUsed/>
    <w:rsid w:val="00F127FD"/>
    <w:rPr>
      <w:sz w:val="20"/>
    </w:rPr>
  </w:style>
  <w:style w:type="character" w:customStyle="1" w:styleId="EndnoteTextChar">
    <w:name w:val="Endnote Text Char"/>
    <w:basedOn w:val="DefaultParagraphFont"/>
    <w:link w:val="EndnoteText"/>
    <w:semiHidden/>
    <w:rsid w:val="00F127FD"/>
  </w:style>
  <w:style w:type="character" w:styleId="EndnoteReference">
    <w:name w:val="endnote reference"/>
    <w:basedOn w:val="DefaultParagraphFont"/>
    <w:semiHidden/>
    <w:unhideWhenUsed/>
    <w:rsid w:val="00F127FD"/>
    <w:rPr>
      <w:vertAlign w:val="superscript"/>
    </w:rPr>
  </w:style>
  <w:style w:type="character" w:customStyle="1" w:styleId="T">
    <w:name w:val="T"/>
    <w:rsid w:val="00DD5130"/>
    <w:rPr>
      <w:rFonts w:ascii="Univers" w:hAnsi="Univers"/>
      <w:sz w:val="20"/>
    </w:r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locked/>
    <w:rsid w:val="007B784E"/>
    <w:rPr>
      <w:sz w:val="22"/>
    </w:rPr>
  </w:style>
  <w:style w:type="paragraph" w:styleId="NormalWeb">
    <w:name w:val="Normal (Web)"/>
    <w:basedOn w:val="Normal"/>
    <w:uiPriority w:val="99"/>
    <w:unhideWhenUsed/>
    <w:rsid w:val="007374A9"/>
    <w:pPr>
      <w:spacing w:before="100" w:beforeAutospacing="1" w:after="100" w:afterAutospacing="1"/>
    </w:pPr>
    <w:rPr>
      <w:sz w:val="24"/>
      <w:szCs w:val="24"/>
    </w:rPr>
  </w:style>
  <w:style w:type="paragraph" w:styleId="TOCHeading">
    <w:name w:val="TOC Heading"/>
    <w:basedOn w:val="Heading1"/>
    <w:next w:val="Normal"/>
    <w:uiPriority w:val="39"/>
    <w:unhideWhenUsed/>
    <w:qFormat/>
    <w:rsid w:val="004725C1"/>
    <w:pPr>
      <w:keepLines/>
      <w:spacing w:after="0" w:line="259" w:lineRule="auto"/>
      <w:outlineLvl w:val="9"/>
    </w:pPr>
    <w:rPr>
      <w:rFonts w:ascii="Cambria" w:hAnsi="Cambria" w:cs="Times New Roman"/>
      <w:b w:val="0"/>
      <w:bCs w:val="0"/>
      <w:color w:val="365F91"/>
      <w:kern w:val="0"/>
      <w:sz w:val="32"/>
    </w:rPr>
  </w:style>
</w:styles>
</file>

<file path=word/webSettings.xml><?xml version="1.0" encoding="utf-8"?>
<w:webSettings xmlns:r="http://schemas.openxmlformats.org/officeDocument/2006/relationships" xmlns:w="http://schemas.openxmlformats.org/wordprocessingml/2006/main">
  <w:divs>
    <w:div w:id="6949575">
      <w:bodyDiv w:val="1"/>
      <w:marLeft w:val="0"/>
      <w:marRight w:val="0"/>
      <w:marTop w:val="0"/>
      <w:marBottom w:val="0"/>
      <w:divBdr>
        <w:top w:val="none" w:sz="0" w:space="0" w:color="auto"/>
        <w:left w:val="none" w:sz="0" w:space="0" w:color="auto"/>
        <w:bottom w:val="none" w:sz="0" w:space="0" w:color="auto"/>
        <w:right w:val="none" w:sz="0" w:space="0" w:color="auto"/>
      </w:divBdr>
    </w:div>
    <w:div w:id="10572963">
      <w:bodyDiv w:val="1"/>
      <w:marLeft w:val="0"/>
      <w:marRight w:val="0"/>
      <w:marTop w:val="0"/>
      <w:marBottom w:val="0"/>
      <w:divBdr>
        <w:top w:val="none" w:sz="0" w:space="0" w:color="auto"/>
        <w:left w:val="none" w:sz="0" w:space="0" w:color="auto"/>
        <w:bottom w:val="none" w:sz="0" w:space="0" w:color="auto"/>
        <w:right w:val="none" w:sz="0" w:space="0" w:color="auto"/>
      </w:divBdr>
    </w:div>
    <w:div w:id="26835219">
      <w:bodyDiv w:val="1"/>
      <w:marLeft w:val="0"/>
      <w:marRight w:val="0"/>
      <w:marTop w:val="0"/>
      <w:marBottom w:val="0"/>
      <w:divBdr>
        <w:top w:val="none" w:sz="0" w:space="0" w:color="auto"/>
        <w:left w:val="none" w:sz="0" w:space="0" w:color="auto"/>
        <w:bottom w:val="none" w:sz="0" w:space="0" w:color="auto"/>
        <w:right w:val="none" w:sz="0" w:space="0" w:color="auto"/>
      </w:divBdr>
    </w:div>
    <w:div w:id="60563889">
      <w:bodyDiv w:val="1"/>
      <w:marLeft w:val="0"/>
      <w:marRight w:val="0"/>
      <w:marTop w:val="0"/>
      <w:marBottom w:val="0"/>
      <w:divBdr>
        <w:top w:val="none" w:sz="0" w:space="0" w:color="auto"/>
        <w:left w:val="none" w:sz="0" w:space="0" w:color="auto"/>
        <w:bottom w:val="none" w:sz="0" w:space="0" w:color="auto"/>
        <w:right w:val="none" w:sz="0" w:space="0" w:color="auto"/>
      </w:divBdr>
    </w:div>
    <w:div w:id="70323764">
      <w:bodyDiv w:val="1"/>
      <w:marLeft w:val="0"/>
      <w:marRight w:val="0"/>
      <w:marTop w:val="0"/>
      <w:marBottom w:val="0"/>
      <w:divBdr>
        <w:top w:val="none" w:sz="0" w:space="0" w:color="auto"/>
        <w:left w:val="none" w:sz="0" w:space="0" w:color="auto"/>
        <w:bottom w:val="none" w:sz="0" w:space="0" w:color="auto"/>
        <w:right w:val="none" w:sz="0" w:space="0" w:color="auto"/>
      </w:divBdr>
    </w:div>
    <w:div w:id="89981811">
      <w:bodyDiv w:val="1"/>
      <w:marLeft w:val="0"/>
      <w:marRight w:val="0"/>
      <w:marTop w:val="0"/>
      <w:marBottom w:val="0"/>
      <w:divBdr>
        <w:top w:val="none" w:sz="0" w:space="0" w:color="auto"/>
        <w:left w:val="none" w:sz="0" w:space="0" w:color="auto"/>
        <w:bottom w:val="none" w:sz="0" w:space="0" w:color="auto"/>
        <w:right w:val="none" w:sz="0" w:space="0" w:color="auto"/>
      </w:divBdr>
    </w:div>
    <w:div w:id="95566566">
      <w:bodyDiv w:val="1"/>
      <w:marLeft w:val="0"/>
      <w:marRight w:val="0"/>
      <w:marTop w:val="0"/>
      <w:marBottom w:val="0"/>
      <w:divBdr>
        <w:top w:val="none" w:sz="0" w:space="0" w:color="auto"/>
        <w:left w:val="none" w:sz="0" w:space="0" w:color="auto"/>
        <w:bottom w:val="none" w:sz="0" w:space="0" w:color="auto"/>
        <w:right w:val="none" w:sz="0" w:space="0" w:color="auto"/>
      </w:divBdr>
    </w:div>
    <w:div w:id="118230971">
      <w:bodyDiv w:val="1"/>
      <w:marLeft w:val="0"/>
      <w:marRight w:val="0"/>
      <w:marTop w:val="0"/>
      <w:marBottom w:val="0"/>
      <w:divBdr>
        <w:top w:val="none" w:sz="0" w:space="0" w:color="auto"/>
        <w:left w:val="none" w:sz="0" w:space="0" w:color="auto"/>
        <w:bottom w:val="none" w:sz="0" w:space="0" w:color="auto"/>
        <w:right w:val="none" w:sz="0" w:space="0" w:color="auto"/>
      </w:divBdr>
    </w:div>
    <w:div w:id="180752873">
      <w:bodyDiv w:val="1"/>
      <w:marLeft w:val="0"/>
      <w:marRight w:val="0"/>
      <w:marTop w:val="0"/>
      <w:marBottom w:val="0"/>
      <w:divBdr>
        <w:top w:val="none" w:sz="0" w:space="0" w:color="auto"/>
        <w:left w:val="none" w:sz="0" w:space="0" w:color="auto"/>
        <w:bottom w:val="none" w:sz="0" w:space="0" w:color="auto"/>
        <w:right w:val="none" w:sz="0" w:space="0" w:color="auto"/>
      </w:divBdr>
    </w:div>
    <w:div w:id="196085502">
      <w:bodyDiv w:val="1"/>
      <w:marLeft w:val="0"/>
      <w:marRight w:val="0"/>
      <w:marTop w:val="0"/>
      <w:marBottom w:val="0"/>
      <w:divBdr>
        <w:top w:val="none" w:sz="0" w:space="0" w:color="auto"/>
        <w:left w:val="none" w:sz="0" w:space="0" w:color="auto"/>
        <w:bottom w:val="none" w:sz="0" w:space="0" w:color="auto"/>
        <w:right w:val="none" w:sz="0" w:space="0" w:color="auto"/>
      </w:divBdr>
    </w:div>
    <w:div w:id="290212256">
      <w:bodyDiv w:val="1"/>
      <w:marLeft w:val="0"/>
      <w:marRight w:val="0"/>
      <w:marTop w:val="0"/>
      <w:marBottom w:val="0"/>
      <w:divBdr>
        <w:top w:val="none" w:sz="0" w:space="0" w:color="auto"/>
        <w:left w:val="none" w:sz="0" w:space="0" w:color="auto"/>
        <w:bottom w:val="none" w:sz="0" w:space="0" w:color="auto"/>
        <w:right w:val="none" w:sz="0" w:space="0" w:color="auto"/>
      </w:divBdr>
    </w:div>
    <w:div w:id="296878814">
      <w:bodyDiv w:val="1"/>
      <w:marLeft w:val="0"/>
      <w:marRight w:val="0"/>
      <w:marTop w:val="0"/>
      <w:marBottom w:val="0"/>
      <w:divBdr>
        <w:top w:val="none" w:sz="0" w:space="0" w:color="auto"/>
        <w:left w:val="none" w:sz="0" w:space="0" w:color="auto"/>
        <w:bottom w:val="none" w:sz="0" w:space="0" w:color="auto"/>
        <w:right w:val="none" w:sz="0" w:space="0" w:color="auto"/>
      </w:divBdr>
    </w:div>
    <w:div w:id="319847204">
      <w:bodyDiv w:val="1"/>
      <w:marLeft w:val="0"/>
      <w:marRight w:val="0"/>
      <w:marTop w:val="0"/>
      <w:marBottom w:val="0"/>
      <w:divBdr>
        <w:top w:val="none" w:sz="0" w:space="0" w:color="auto"/>
        <w:left w:val="none" w:sz="0" w:space="0" w:color="auto"/>
        <w:bottom w:val="none" w:sz="0" w:space="0" w:color="auto"/>
        <w:right w:val="none" w:sz="0" w:space="0" w:color="auto"/>
      </w:divBdr>
    </w:div>
    <w:div w:id="320934734">
      <w:bodyDiv w:val="1"/>
      <w:marLeft w:val="0"/>
      <w:marRight w:val="0"/>
      <w:marTop w:val="0"/>
      <w:marBottom w:val="0"/>
      <w:divBdr>
        <w:top w:val="none" w:sz="0" w:space="0" w:color="auto"/>
        <w:left w:val="none" w:sz="0" w:space="0" w:color="auto"/>
        <w:bottom w:val="none" w:sz="0" w:space="0" w:color="auto"/>
        <w:right w:val="none" w:sz="0" w:space="0" w:color="auto"/>
      </w:divBdr>
    </w:div>
    <w:div w:id="330765770">
      <w:bodyDiv w:val="1"/>
      <w:marLeft w:val="0"/>
      <w:marRight w:val="0"/>
      <w:marTop w:val="0"/>
      <w:marBottom w:val="0"/>
      <w:divBdr>
        <w:top w:val="none" w:sz="0" w:space="0" w:color="auto"/>
        <w:left w:val="none" w:sz="0" w:space="0" w:color="auto"/>
        <w:bottom w:val="none" w:sz="0" w:space="0" w:color="auto"/>
        <w:right w:val="none" w:sz="0" w:space="0" w:color="auto"/>
      </w:divBdr>
    </w:div>
    <w:div w:id="347678005">
      <w:bodyDiv w:val="1"/>
      <w:marLeft w:val="0"/>
      <w:marRight w:val="0"/>
      <w:marTop w:val="0"/>
      <w:marBottom w:val="0"/>
      <w:divBdr>
        <w:top w:val="none" w:sz="0" w:space="0" w:color="auto"/>
        <w:left w:val="none" w:sz="0" w:space="0" w:color="auto"/>
        <w:bottom w:val="none" w:sz="0" w:space="0" w:color="auto"/>
        <w:right w:val="none" w:sz="0" w:space="0" w:color="auto"/>
      </w:divBdr>
    </w:div>
    <w:div w:id="373579769">
      <w:bodyDiv w:val="1"/>
      <w:marLeft w:val="0"/>
      <w:marRight w:val="0"/>
      <w:marTop w:val="0"/>
      <w:marBottom w:val="0"/>
      <w:divBdr>
        <w:top w:val="none" w:sz="0" w:space="0" w:color="auto"/>
        <w:left w:val="none" w:sz="0" w:space="0" w:color="auto"/>
        <w:bottom w:val="none" w:sz="0" w:space="0" w:color="auto"/>
        <w:right w:val="none" w:sz="0" w:space="0" w:color="auto"/>
      </w:divBdr>
    </w:div>
    <w:div w:id="373651213">
      <w:bodyDiv w:val="1"/>
      <w:marLeft w:val="0"/>
      <w:marRight w:val="0"/>
      <w:marTop w:val="0"/>
      <w:marBottom w:val="0"/>
      <w:divBdr>
        <w:top w:val="none" w:sz="0" w:space="0" w:color="auto"/>
        <w:left w:val="none" w:sz="0" w:space="0" w:color="auto"/>
        <w:bottom w:val="none" w:sz="0" w:space="0" w:color="auto"/>
        <w:right w:val="none" w:sz="0" w:space="0" w:color="auto"/>
      </w:divBdr>
    </w:div>
    <w:div w:id="409432066">
      <w:bodyDiv w:val="1"/>
      <w:marLeft w:val="0"/>
      <w:marRight w:val="0"/>
      <w:marTop w:val="0"/>
      <w:marBottom w:val="0"/>
      <w:divBdr>
        <w:top w:val="none" w:sz="0" w:space="0" w:color="auto"/>
        <w:left w:val="none" w:sz="0" w:space="0" w:color="auto"/>
        <w:bottom w:val="none" w:sz="0" w:space="0" w:color="auto"/>
        <w:right w:val="none" w:sz="0" w:space="0" w:color="auto"/>
      </w:divBdr>
    </w:div>
    <w:div w:id="456490150">
      <w:bodyDiv w:val="1"/>
      <w:marLeft w:val="0"/>
      <w:marRight w:val="0"/>
      <w:marTop w:val="0"/>
      <w:marBottom w:val="0"/>
      <w:divBdr>
        <w:top w:val="none" w:sz="0" w:space="0" w:color="auto"/>
        <w:left w:val="none" w:sz="0" w:space="0" w:color="auto"/>
        <w:bottom w:val="none" w:sz="0" w:space="0" w:color="auto"/>
        <w:right w:val="none" w:sz="0" w:space="0" w:color="auto"/>
      </w:divBdr>
    </w:div>
    <w:div w:id="465977569">
      <w:bodyDiv w:val="1"/>
      <w:marLeft w:val="0"/>
      <w:marRight w:val="0"/>
      <w:marTop w:val="0"/>
      <w:marBottom w:val="0"/>
      <w:divBdr>
        <w:top w:val="none" w:sz="0" w:space="0" w:color="auto"/>
        <w:left w:val="none" w:sz="0" w:space="0" w:color="auto"/>
        <w:bottom w:val="none" w:sz="0" w:space="0" w:color="auto"/>
        <w:right w:val="none" w:sz="0" w:space="0" w:color="auto"/>
      </w:divBdr>
    </w:div>
    <w:div w:id="468281509">
      <w:bodyDiv w:val="1"/>
      <w:marLeft w:val="0"/>
      <w:marRight w:val="0"/>
      <w:marTop w:val="0"/>
      <w:marBottom w:val="0"/>
      <w:divBdr>
        <w:top w:val="none" w:sz="0" w:space="0" w:color="auto"/>
        <w:left w:val="none" w:sz="0" w:space="0" w:color="auto"/>
        <w:bottom w:val="none" w:sz="0" w:space="0" w:color="auto"/>
        <w:right w:val="none" w:sz="0" w:space="0" w:color="auto"/>
      </w:divBdr>
    </w:div>
    <w:div w:id="468941512">
      <w:bodyDiv w:val="1"/>
      <w:marLeft w:val="0"/>
      <w:marRight w:val="0"/>
      <w:marTop w:val="0"/>
      <w:marBottom w:val="0"/>
      <w:divBdr>
        <w:top w:val="none" w:sz="0" w:space="0" w:color="auto"/>
        <w:left w:val="none" w:sz="0" w:space="0" w:color="auto"/>
        <w:bottom w:val="none" w:sz="0" w:space="0" w:color="auto"/>
        <w:right w:val="none" w:sz="0" w:space="0" w:color="auto"/>
      </w:divBdr>
    </w:div>
    <w:div w:id="469516051">
      <w:bodyDiv w:val="1"/>
      <w:marLeft w:val="0"/>
      <w:marRight w:val="0"/>
      <w:marTop w:val="0"/>
      <w:marBottom w:val="0"/>
      <w:divBdr>
        <w:top w:val="none" w:sz="0" w:space="0" w:color="auto"/>
        <w:left w:val="none" w:sz="0" w:space="0" w:color="auto"/>
        <w:bottom w:val="none" w:sz="0" w:space="0" w:color="auto"/>
        <w:right w:val="none" w:sz="0" w:space="0" w:color="auto"/>
      </w:divBdr>
    </w:div>
    <w:div w:id="519507791">
      <w:bodyDiv w:val="1"/>
      <w:marLeft w:val="0"/>
      <w:marRight w:val="0"/>
      <w:marTop w:val="0"/>
      <w:marBottom w:val="0"/>
      <w:divBdr>
        <w:top w:val="none" w:sz="0" w:space="0" w:color="auto"/>
        <w:left w:val="none" w:sz="0" w:space="0" w:color="auto"/>
        <w:bottom w:val="none" w:sz="0" w:space="0" w:color="auto"/>
        <w:right w:val="none" w:sz="0" w:space="0" w:color="auto"/>
      </w:divBdr>
    </w:div>
    <w:div w:id="523909985">
      <w:bodyDiv w:val="1"/>
      <w:marLeft w:val="0"/>
      <w:marRight w:val="0"/>
      <w:marTop w:val="0"/>
      <w:marBottom w:val="0"/>
      <w:divBdr>
        <w:top w:val="none" w:sz="0" w:space="0" w:color="auto"/>
        <w:left w:val="none" w:sz="0" w:space="0" w:color="auto"/>
        <w:bottom w:val="none" w:sz="0" w:space="0" w:color="auto"/>
        <w:right w:val="none" w:sz="0" w:space="0" w:color="auto"/>
      </w:divBdr>
    </w:div>
    <w:div w:id="557591962">
      <w:bodyDiv w:val="1"/>
      <w:marLeft w:val="0"/>
      <w:marRight w:val="0"/>
      <w:marTop w:val="0"/>
      <w:marBottom w:val="0"/>
      <w:divBdr>
        <w:top w:val="none" w:sz="0" w:space="0" w:color="auto"/>
        <w:left w:val="none" w:sz="0" w:space="0" w:color="auto"/>
        <w:bottom w:val="none" w:sz="0" w:space="0" w:color="auto"/>
        <w:right w:val="none" w:sz="0" w:space="0" w:color="auto"/>
      </w:divBdr>
    </w:div>
    <w:div w:id="562567068">
      <w:bodyDiv w:val="1"/>
      <w:marLeft w:val="0"/>
      <w:marRight w:val="0"/>
      <w:marTop w:val="0"/>
      <w:marBottom w:val="0"/>
      <w:divBdr>
        <w:top w:val="none" w:sz="0" w:space="0" w:color="auto"/>
        <w:left w:val="none" w:sz="0" w:space="0" w:color="auto"/>
        <w:bottom w:val="none" w:sz="0" w:space="0" w:color="auto"/>
        <w:right w:val="none" w:sz="0" w:space="0" w:color="auto"/>
      </w:divBdr>
    </w:div>
    <w:div w:id="564608484">
      <w:bodyDiv w:val="1"/>
      <w:marLeft w:val="0"/>
      <w:marRight w:val="0"/>
      <w:marTop w:val="0"/>
      <w:marBottom w:val="0"/>
      <w:divBdr>
        <w:top w:val="none" w:sz="0" w:space="0" w:color="auto"/>
        <w:left w:val="none" w:sz="0" w:space="0" w:color="auto"/>
        <w:bottom w:val="none" w:sz="0" w:space="0" w:color="auto"/>
        <w:right w:val="none" w:sz="0" w:space="0" w:color="auto"/>
      </w:divBdr>
    </w:div>
    <w:div w:id="568929357">
      <w:bodyDiv w:val="1"/>
      <w:marLeft w:val="0"/>
      <w:marRight w:val="0"/>
      <w:marTop w:val="0"/>
      <w:marBottom w:val="0"/>
      <w:divBdr>
        <w:top w:val="none" w:sz="0" w:space="0" w:color="auto"/>
        <w:left w:val="none" w:sz="0" w:space="0" w:color="auto"/>
        <w:bottom w:val="none" w:sz="0" w:space="0" w:color="auto"/>
        <w:right w:val="none" w:sz="0" w:space="0" w:color="auto"/>
      </w:divBdr>
    </w:div>
    <w:div w:id="580139478">
      <w:bodyDiv w:val="1"/>
      <w:marLeft w:val="0"/>
      <w:marRight w:val="0"/>
      <w:marTop w:val="0"/>
      <w:marBottom w:val="0"/>
      <w:divBdr>
        <w:top w:val="none" w:sz="0" w:space="0" w:color="auto"/>
        <w:left w:val="none" w:sz="0" w:space="0" w:color="auto"/>
        <w:bottom w:val="none" w:sz="0" w:space="0" w:color="auto"/>
        <w:right w:val="none" w:sz="0" w:space="0" w:color="auto"/>
      </w:divBdr>
    </w:div>
    <w:div w:id="619186326">
      <w:bodyDiv w:val="1"/>
      <w:marLeft w:val="0"/>
      <w:marRight w:val="0"/>
      <w:marTop w:val="0"/>
      <w:marBottom w:val="0"/>
      <w:divBdr>
        <w:top w:val="none" w:sz="0" w:space="0" w:color="auto"/>
        <w:left w:val="none" w:sz="0" w:space="0" w:color="auto"/>
        <w:bottom w:val="none" w:sz="0" w:space="0" w:color="auto"/>
        <w:right w:val="none" w:sz="0" w:space="0" w:color="auto"/>
      </w:divBdr>
    </w:div>
    <w:div w:id="622619726">
      <w:bodyDiv w:val="1"/>
      <w:marLeft w:val="0"/>
      <w:marRight w:val="0"/>
      <w:marTop w:val="0"/>
      <w:marBottom w:val="0"/>
      <w:divBdr>
        <w:top w:val="none" w:sz="0" w:space="0" w:color="auto"/>
        <w:left w:val="none" w:sz="0" w:space="0" w:color="auto"/>
        <w:bottom w:val="none" w:sz="0" w:space="0" w:color="auto"/>
        <w:right w:val="none" w:sz="0" w:space="0" w:color="auto"/>
      </w:divBdr>
      <w:divsChild>
        <w:div w:id="1365205467">
          <w:marLeft w:val="0"/>
          <w:marRight w:val="0"/>
          <w:marTop w:val="0"/>
          <w:marBottom w:val="0"/>
          <w:divBdr>
            <w:top w:val="none" w:sz="0" w:space="0" w:color="auto"/>
            <w:left w:val="none" w:sz="0" w:space="0" w:color="auto"/>
            <w:bottom w:val="none" w:sz="0" w:space="0" w:color="auto"/>
            <w:right w:val="none" w:sz="0" w:space="0" w:color="auto"/>
          </w:divBdr>
        </w:div>
      </w:divsChild>
    </w:div>
    <w:div w:id="672804404">
      <w:bodyDiv w:val="1"/>
      <w:marLeft w:val="0"/>
      <w:marRight w:val="0"/>
      <w:marTop w:val="0"/>
      <w:marBottom w:val="0"/>
      <w:divBdr>
        <w:top w:val="none" w:sz="0" w:space="0" w:color="auto"/>
        <w:left w:val="none" w:sz="0" w:space="0" w:color="auto"/>
        <w:bottom w:val="none" w:sz="0" w:space="0" w:color="auto"/>
        <w:right w:val="none" w:sz="0" w:space="0" w:color="auto"/>
      </w:divBdr>
    </w:div>
    <w:div w:id="676808783">
      <w:bodyDiv w:val="1"/>
      <w:marLeft w:val="0"/>
      <w:marRight w:val="0"/>
      <w:marTop w:val="0"/>
      <w:marBottom w:val="0"/>
      <w:divBdr>
        <w:top w:val="none" w:sz="0" w:space="0" w:color="auto"/>
        <w:left w:val="none" w:sz="0" w:space="0" w:color="auto"/>
        <w:bottom w:val="none" w:sz="0" w:space="0" w:color="auto"/>
        <w:right w:val="none" w:sz="0" w:space="0" w:color="auto"/>
      </w:divBdr>
    </w:div>
    <w:div w:id="689646228">
      <w:bodyDiv w:val="1"/>
      <w:marLeft w:val="0"/>
      <w:marRight w:val="0"/>
      <w:marTop w:val="0"/>
      <w:marBottom w:val="0"/>
      <w:divBdr>
        <w:top w:val="none" w:sz="0" w:space="0" w:color="auto"/>
        <w:left w:val="none" w:sz="0" w:space="0" w:color="auto"/>
        <w:bottom w:val="none" w:sz="0" w:space="0" w:color="auto"/>
        <w:right w:val="none" w:sz="0" w:space="0" w:color="auto"/>
      </w:divBdr>
    </w:div>
    <w:div w:id="691491100">
      <w:bodyDiv w:val="1"/>
      <w:marLeft w:val="0"/>
      <w:marRight w:val="0"/>
      <w:marTop w:val="0"/>
      <w:marBottom w:val="0"/>
      <w:divBdr>
        <w:top w:val="none" w:sz="0" w:space="0" w:color="auto"/>
        <w:left w:val="none" w:sz="0" w:space="0" w:color="auto"/>
        <w:bottom w:val="none" w:sz="0" w:space="0" w:color="auto"/>
        <w:right w:val="none" w:sz="0" w:space="0" w:color="auto"/>
      </w:divBdr>
    </w:div>
    <w:div w:id="744571126">
      <w:bodyDiv w:val="1"/>
      <w:marLeft w:val="0"/>
      <w:marRight w:val="0"/>
      <w:marTop w:val="0"/>
      <w:marBottom w:val="0"/>
      <w:divBdr>
        <w:top w:val="none" w:sz="0" w:space="0" w:color="auto"/>
        <w:left w:val="none" w:sz="0" w:space="0" w:color="auto"/>
        <w:bottom w:val="none" w:sz="0" w:space="0" w:color="auto"/>
        <w:right w:val="none" w:sz="0" w:space="0" w:color="auto"/>
      </w:divBdr>
    </w:div>
    <w:div w:id="772287344">
      <w:bodyDiv w:val="1"/>
      <w:marLeft w:val="0"/>
      <w:marRight w:val="0"/>
      <w:marTop w:val="0"/>
      <w:marBottom w:val="0"/>
      <w:divBdr>
        <w:top w:val="none" w:sz="0" w:space="0" w:color="auto"/>
        <w:left w:val="none" w:sz="0" w:space="0" w:color="auto"/>
        <w:bottom w:val="none" w:sz="0" w:space="0" w:color="auto"/>
        <w:right w:val="none" w:sz="0" w:space="0" w:color="auto"/>
      </w:divBdr>
    </w:div>
    <w:div w:id="777454358">
      <w:bodyDiv w:val="1"/>
      <w:marLeft w:val="0"/>
      <w:marRight w:val="0"/>
      <w:marTop w:val="0"/>
      <w:marBottom w:val="0"/>
      <w:divBdr>
        <w:top w:val="none" w:sz="0" w:space="0" w:color="auto"/>
        <w:left w:val="none" w:sz="0" w:space="0" w:color="auto"/>
        <w:bottom w:val="none" w:sz="0" w:space="0" w:color="auto"/>
        <w:right w:val="none" w:sz="0" w:space="0" w:color="auto"/>
      </w:divBdr>
    </w:div>
    <w:div w:id="805439912">
      <w:bodyDiv w:val="1"/>
      <w:marLeft w:val="0"/>
      <w:marRight w:val="0"/>
      <w:marTop w:val="0"/>
      <w:marBottom w:val="0"/>
      <w:divBdr>
        <w:top w:val="none" w:sz="0" w:space="0" w:color="auto"/>
        <w:left w:val="none" w:sz="0" w:space="0" w:color="auto"/>
        <w:bottom w:val="none" w:sz="0" w:space="0" w:color="auto"/>
        <w:right w:val="none" w:sz="0" w:space="0" w:color="auto"/>
      </w:divBdr>
    </w:div>
    <w:div w:id="809977256">
      <w:bodyDiv w:val="1"/>
      <w:marLeft w:val="0"/>
      <w:marRight w:val="0"/>
      <w:marTop w:val="0"/>
      <w:marBottom w:val="0"/>
      <w:divBdr>
        <w:top w:val="none" w:sz="0" w:space="0" w:color="auto"/>
        <w:left w:val="none" w:sz="0" w:space="0" w:color="auto"/>
        <w:bottom w:val="none" w:sz="0" w:space="0" w:color="auto"/>
        <w:right w:val="none" w:sz="0" w:space="0" w:color="auto"/>
      </w:divBdr>
    </w:div>
    <w:div w:id="818959613">
      <w:bodyDiv w:val="1"/>
      <w:marLeft w:val="0"/>
      <w:marRight w:val="0"/>
      <w:marTop w:val="0"/>
      <w:marBottom w:val="0"/>
      <w:divBdr>
        <w:top w:val="none" w:sz="0" w:space="0" w:color="auto"/>
        <w:left w:val="none" w:sz="0" w:space="0" w:color="auto"/>
        <w:bottom w:val="none" w:sz="0" w:space="0" w:color="auto"/>
        <w:right w:val="none" w:sz="0" w:space="0" w:color="auto"/>
      </w:divBdr>
    </w:div>
    <w:div w:id="850341611">
      <w:bodyDiv w:val="1"/>
      <w:marLeft w:val="0"/>
      <w:marRight w:val="0"/>
      <w:marTop w:val="0"/>
      <w:marBottom w:val="0"/>
      <w:divBdr>
        <w:top w:val="none" w:sz="0" w:space="0" w:color="auto"/>
        <w:left w:val="none" w:sz="0" w:space="0" w:color="auto"/>
        <w:bottom w:val="none" w:sz="0" w:space="0" w:color="auto"/>
        <w:right w:val="none" w:sz="0" w:space="0" w:color="auto"/>
      </w:divBdr>
    </w:div>
    <w:div w:id="862934154">
      <w:bodyDiv w:val="1"/>
      <w:marLeft w:val="0"/>
      <w:marRight w:val="0"/>
      <w:marTop w:val="0"/>
      <w:marBottom w:val="0"/>
      <w:divBdr>
        <w:top w:val="none" w:sz="0" w:space="0" w:color="auto"/>
        <w:left w:val="none" w:sz="0" w:space="0" w:color="auto"/>
        <w:bottom w:val="none" w:sz="0" w:space="0" w:color="auto"/>
        <w:right w:val="none" w:sz="0" w:space="0" w:color="auto"/>
      </w:divBdr>
    </w:div>
    <w:div w:id="896359227">
      <w:bodyDiv w:val="1"/>
      <w:marLeft w:val="0"/>
      <w:marRight w:val="0"/>
      <w:marTop w:val="0"/>
      <w:marBottom w:val="0"/>
      <w:divBdr>
        <w:top w:val="none" w:sz="0" w:space="0" w:color="auto"/>
        <w:left w:val="none" w:sz="0" w:space="0" w:color="auto"/>
        <w:bottom w:val="none" w:sz="0" w:space="0" w:color="auto"/>
        <w:right w:val="none" w:sz="0" w:space="0" w:color="auto"/>
      </w:divBdr>
    </w:div>
    <w:div w:id="915090213">
      <w:bodyDiv w:val="1"/>
      <w:marLeft w:val="0"/>
      <w:marRight w:val="0"/>
      <w:marTop w:val="0"/>
      <w:marBottom w:val="0"/>
      <w:divBdr>
        <w:top w:val="none" w:sz="0" w:space="0" w:color="auto"/>
        <w:left w:val="none" w:sz="0" w:space="0" w:color="auto"/>
        <w:bottom w:val="none" w:sz="0" w:space="0" w:color="auto"/>
        <w:right w:val="none" w:sz="0" w:space="0" w:color="auto"/>
      </w:divBdr>
    </w:div>
    <w:div w:id="917638526">
      <w:bodyDiv w:val="1"/>
      <w:marLeft w:val="0"/>
      <w:marRight w:val="0"/>
      <w:marTop w:val="0"/>
      <w:marBottom w:val="0"/>
      <w:divBdr>
        <w:top w:val="none" w:sz="0" w:space="0" w:color="auto"/>
        <w:left w:val="none" w:sz="0" w:space="0" w:color="auto"/>
        <w:bottom w:val="none" w:sz="0" w:space="0" w:color="auto"/>
        <w:right w:val="none" w:sz="0" w:space="0" w:color="auto"/>
      </w:divBdr>
    </w:div>
    <w:div w:id="975137713">
      <w:bodyDiv w:val="1"/>
      <w:marLeft w:val="0"/>
      <w:marRight w:val="0"/>
      <w:marTop w:val="0"/>
      <w:marBottom w:val="0"/>
      <w:divBdr>
        <w:top w:val="none" w:sz="0" w:space="0" w:color="auto"/>
        <w:left w:val="none" w:sz="0" w:space="0" w:color="auto"/>
        <w:bottom w:val="none" w:sz="0" w:space="0" w:color="auto"/>
        <w:right w:val="none" w:sz="0" w:space="0" w:color="auto"/>
      </w:divBdr>
    </w:div>
    <w:div w:id="996960687">
      <w:bodyDiv w:val="1"/>
      <w:marLeft w:val="0"/>
      <w:marRight w:val="0"/>
      <w:marTop w:val="0"/>
      <w:marBottom w:val="0"/>
      <w:divBdr>
        <w:top w:val="none" w:sz="0" w:space="0" w:color="auto"/>
        <w:left w:val="none" w:sz="0" w:space="0" w:color="auto"/>
        <w:bottom w:val="none" w:sz="0" w:space="0" w:color="auto"/>
        <w:right w:val="none" w:sz="0" w:space="0" w:color="auto"/>
      </w:divBdr>
    </w:div>
    <w:div w:id="1021509682">
      <w:bodyDiv w:val="1"/>
      <w:marLeft w:val="0"/>
      <w:marRight w:val="0"/>
      <w:marTop w:val="0"/>
      <w:marBottom w:val="0"/>
      <w:divBdr>
        <w:top w:val="none" w:sz="0" w:space="0" w:color="auto"/>
        <w:left w:val="none" w:sz="0" w:space="0" w:color="auto"/>
        <w:bottom w:val="none" w:sz="0" w:space="0" w:color="auto"/>
        <w:right w:val="none" w:sz="0" w:space="0" w:color="auto"/>
      </w:divBdr>
    </w:div>
    <w:div w:id="1034888261">
      <w:bodyDiv w:val="1"/>
      <w:marLeft w:val="0"/>
      <w:marRight w:val="0"/>
      <w:marTop w:val="0"/>
      <w:marBottom w:val="0"/>
      <w:divBdr>
        <w:top w:val="none" w:sz="0" w:space="0" w:color="auto"/>
        <w:left w:val="none" w:sz="0" w:space="0" w:color="auto"/>
        <w:bottom w:val="none" w:sz="0" w:space="0" w:color="auto"/>
        <w:right w:val="none" w:sz="0" w:space="0" w:color="auto"/>
      </w:divBdr>
    </w:div>
    <w:div w:id="1050421759">
      <w:bodyDiv w:val="1"/>
      <w:marLeft w:val="0"/>
      <w:marRight w:val="0"/>
      <w:marTop w:val="0"/>
      <w:marBottom w:val="0"/>
      <w:divBdr>
        <w:top w:val="none" w:sz="0" w:space="0" w:color="auto"/>
        <w:left w:val="none" w:sz="0" w:space="0" w:color="auto"/>
        <w:bottom w:val="none" w:sz="0" w:space="0" w:color="auto"/>
        <w:right w:val="none" w:sz="0" w:space="0" w:color="auto"/>
      </w:divBdr>
    </w:div>
    <w:div w:id="1055547292">
      <w:bodyDiv w:val="1"/>
      <w:marLeft w:val="0"/>
      <w:marRight w:val="0"/>
      <w:marTop w:val="0"/>
      <w:marBottom w:val="0"/>
      <w:divBdr>
        <w:top w:val="none" w:sz="0" w:space="0" w:color="auto"/>
        <w:left w:val="none" w:sz="0" w:space="0" w:color="auto"/>
        <w:bottom w:val="none" w:sz="0" w:space="0" w:color="auto"/>
        <w:right w:val="none" w:sz="0" w:space="0" w:color="auto"/>
      </w:divBdr>
    </w:div>
    <w:div w:id="1065682396">
      <w:bodyDiv w:val="1"/>
      <w:marLeft w:val="0"/>
      <w:marRight w:val="0"/>
      <w:marTop w:val="0"/>
      <w:marBottom w:val="0"/>
      <w:divBdr>
        <w:top w:val="none" w:sz="0" w:space="0" w:color="auto"/>
        <w:left w:val="none" w:sz="0" w:space="0" w:color="auto"/>
        <w:bottom w:val="none" w:sz="0" w:space="0" w:color="auto"/>
        <w:right w:val="none" w:sz="0" w:space="0" w:color="auto"/>
      </w:divBdr>
    </w:div>
    <w:div w:id="1082723743">
      <w:bodyDiv w:val="1"/>
      <w:marLeft w:val="0"/>
      <w:marRight w:val="0"/>
      <w:marTop w:val="0"/>
      <w:marBottom w:val="0"/>
      <w:divBdr>
        <w:top w:val="none" w:sz="0" w:space="0" w:color="auto"/>
        <w:left w:val="none" w:sz="0" w:space="0" w:color="auto"/>
        <w:bottom w:val="none" w:sz="0" w:space="0" w:color="auto"/>
        <w:right w:val="none" w:sz="0" w:space="0" w:color="auto"/>
      </w:divBdr>
    </w:div>
    <w:div w:id="1100101317">
      <w:bodyDiv w:val="1"/>
      <w:marLeft w:val="0"/>
      <w:marRight w:val="0"/>
      <w:marTop w:val="0"/>
      <w:marBottom w:val="0"/>
      <w:divBdr>
        <w:top w:val="none" w:sz="0" w:space="0" w:color="auto"/>
        <w:left w:val="none" w:sz="0" w:space="0" w:color="auto"/>
        <w:bottom w:val="none" w:sz="0" w:space="0" w:color="auto"/>
        <w:right w:val="none" w:sz="0" w:space="0" w:color="auto"/>
      </w:divBdr>
    </w:div>
    <w:div w:id="1100948949">
      <w:bodyDiv w:val="1"/>
      <w:marLeft w:val="0"/>
      <w:marRight w:val="0"/>
      <w:marTop w:val="0"/>
      <w:marBottom w:val="0"/>
      <w:divBdr>
        <w:top w:val="none" w:sz="0" w:space="0" w:color="auto"/>
        <w:left w:val="none" w:sz="0" w:space="0" w:color="auto"/>
        <w:bottom w:val="none" w:sz="0" w:space="0" w:color="auto"/>
        <w:right w:val="none" w:sz="0" w:space="0" w:color="auto"/>
      </w:divBdr>
    </w:div>
    <w:div w:id="1104494572">
      <w:bodyDiv w:val="1"/>
      <w:marLeft w:val="0"/>
      <w:marRight w:val="0"/>
      <w:marTop w:val="0"/>
      <w:marBottom w:val="0"/>
      <w:divBdr>
        <w:top w:val="none" w:sz="0" w:space="0" w:color="auto"/>
        <w:left w:val="none" w:sz="0" w:space="0" w:color="auto"/>
        <w:bottom w:val="none" w:sz="0" w:space="0" w:color="auto"/>
        <w:right w:val="none" w:sz="0" w:space="0" w:color="auto"/>
      </w:divBdr>
    </w:div>
    <w:div w:id="1121147641">
      <w:bodyDiv w:val="1"/>
      <w:marLeft w:val="0"/>
      <w:marRight w:val="0"/>
      <w:marTop w:val="0"/>
      <w:marBottom w:val="0"/>
      <w:divBdr>
        <w:top w:val="none" w:sz="0" w:space="0" w:color="auto"/>
        <w:left w:val="none" w:sz="0" w:space="0" w:color="auto"/>
        <w:bottom w:val="none" w:sz="0" w:space="0" w:color="auto"/>
        <w:right w:val="none" w:sz="0" w:space="0" w:color="auto"/>
      </w:divBdr>
    </w:div>
    <w:div w:id="1144547403">
      <w:bodyDiv w:val="1"/>
      <w:marLeft w:val="0"/>
      <w:marRight w:val="0"/>
      <w:marTop w:val="0"/>
      <w:marBottom w:val="0"/>
      <w:divBdr>
        <w:top w:val="none" w:sz="0" w:space="0" w:color="auto"/>
        <w:left w:val="none" w:sz="0" w:space="0" w:color="auto"/>
        <w:bottom w:val="none" w:sz="0" w:space="0" w:color="auto"/>
        <w:right w:val="none" w:sz="0" w:space="0" w:color="auto"/>
      </w:divBdr>
    </w:div>
    <w:div w:id="1164978882">
      <w:bodyDiv w:val="1"/>
      <w:marLeft w:val="0"/>
      <w:marRight w:val="0"/>
      <w:marTop w:val="0"/>
      <w:marBottom w:val="0"/>
      <w:divBdr>
        <w:top w:val="none" w:sz="0" w:space="0" w:color="auto"/>
        <w:left w:val="none" w:sz="0" w:space="0" w:color="auto"/>
        <w:bottom w:val="none" w:sz="0" w:space="0" w:color="auto"/>
        <w:right w:val="none" w:sz="0" w:space="0" w:color="auto"/>
      </w:divBdr>
    </w:div>
    <w:div w:id="1198784944">
      <w:bodyDiv w:val="1"/>
      <w:marLeft w:val="0"/>
      <w:marRight w:val="0"/>
      <w:marTop w:val="0"/>
      <w:marBottom w:val="0"/>
      <w:divBdr>
        <w:top w:val="none" w:sz="0" w:space="0" w:color="auto"/>
        <w:left w:val="none" w:sz="0" w:space="0" w:color="auto"/>
        <w:bottom w:val="none" w:sz="0" w:space="0" w:color="auto"/>
        <w:right w:val="none" w:sz="0" w:space="0" w:color="auto"/>
      </w:divBdr>
    </w:div>
    <w:div w:id="1199316593">
      <w:bodyDiv w:val="1"/>
      <w:marLeft w:val="0"/>
      <w:marRight w:val="0"/>
      <w:marTop w:val="0"/>
      <w:marBottom w:val="0"/>
      <w:divBdr>
        <w:top w:val="none" w:sz="0" w:space="0" w:color="auto"/>
        <w:left w:val="none" w:sz="0" w:space="0" w:color="auto"/>
        <w:bottom w:val="none" w:sz="0" w:space="0" w:color="auto"/>
        <w:right w:val="none" w:sz="0" w:space="0" w:color="auto"/>
      </w:divBdr>
    </w:div>
    <w:div w:id="1200630766">
      <w:bodyDiv w:val="1"/>
      <w:marLeft w:val="0"/>
      <w:marRight w:val="0"/>
      <w:marTop w:val="0"/>
      <w:marBottom w:val="0"/>
      <w:divBdr>
        <w:top w:val="none" w:sz="0" w:space="0" w:color="auto"/>
        <w:left w:val="none" w:sz="0" w:space="0" w:color="auto"/>
        <w:bottom w:val="none" w:sz="0" w:space="0" w:color="auto"/>
        <w:right w:val="none" w:sz="0" w:space="0" w:color="auto"/>
      </w:divBdr>
    </w:div>
    <w:div w:id="1233082415">
      <w:bodyDiv w:val="1"/>
      <w:marLeft w:val="0"/>
      <w:marRight w:val="0"/>
      <w:marTop w:val="0"/>
      <w:marBottom w:val="0"/>
      <w:divBdr>
        <w:top w:val="none" w:sz="0" w:space="0" w:color="auto"/>
        <w:left w:val="none" w:sz="0" w:space="0" w:color="auto"/>
        <w:bottom w:val="none" w:sz="0" w:space="0" w:color="auto"/>
        <w:right w:val="none" w:sz="0" w:space="0" w:color="auto"/>
      </w:divBdr>
    </w:div>
    <w:div w:id="1247884998">
      <w:bodyDiv w:val="1"/>
      <w:marLeft w:val="0"/>
      <w:marRight w:val="0"/>
      <w:marTop w:val="0"/>
      <w:marBottom w:val="0"/>
      <w:divBdr>
        <w:top w:val="none" w:sz="0" w:space="0" w:color="auto"/>
        <w:left w:val="none" w:sz="0" w:space="0" w:color="auto"/>
        <w:bottom w:val="none" w:sz="0" w:space="0" w:color="auto"/>
        <w:right w:val="none" w:sz="0" w:space="0" w:color="auto"/>
      </w:divBdr>
    </w:div>
    <w:div w:id="1371491919">
      <w:bodyDiv w:val="1"/>
      <w:marLeft w:val="0"/>
      <w:marRight w:val="0"/>
      <w:marTop w:val="0"/>
      <w:marBottom w:val="0"/>
      <w:divBdr>
        <w:top w:val="none" w:sz="0" w:space="0" w:color="auto"/>
        <w:left w:val="none" w:sz="0" w:space="0" w:color="auto"/>
        <w:bottom w:val="none" w:sz="0" w:space="0" w:color="auto"/>
        <w:right w:val="none" w:sz="0" w:space="0" w:color="auto"/>
      </w:divBdr>
    </w:div>
    <w:div w:id="1395542046">
      <w:bodyDiv w:val="1"/>
      <w:marLeft w:val="0"/>
      <w:marRight w:val="0"/>
      <w:marTop w:val="0"/>
      <w:marBottom w:val="0"/>
      <w:divBdr>
        <w:top w:val="none" w:sz="0" w:space="0" w:color="auto"/>
        <w:left w:val="none" w:sz="0" w:space="0" w:color="auto"/>
        <w:bottom w:val="none" w:sz="0" w:space="0" w:color="auto"/>
        <w:right w:val="none" w:sz="0" w:space="0" w:color="auto"/>
      </w:divBdr>
    </w:div>
    <w:div w:id="1492796217">
      <w:bodyDiv w:val="1"/>
      <w:marLeft w:val="0"/>
      <w:marRight w:val="0"/>
      <w:marTop w:val="0"/>
      <w:marBottom w:val="0"/>
      <w:divBdr>
        <w:top w:val="none" w:sz="0" w:space="0" w:color="auto"/>
        <w:left w:val="none" w:sz="0" w:space="0" w:color="auto"/>
        <w:bottom w:val="none" w:sz="0" w:space="0" w:color="auto"/>
        <w:right w:val="none" w:sz="0" w:space="0" w:color="auto"/>
      </w:divBdr>
    </w:div>
    <w:div w:id="1497187942">
      <w:bodyDiv w:val="1"/>
      <w:marLeft w:val="0"/>
      <w:marRight w:val="0"/>
      <w:marTop w:val="0"/>
      <w:marBottom w:val="0"/>
      <w:divBdr>
        <w:top w:val="none" w:sz="0" w:space="0" w:color="auto"/>
        <w:left w:val="none" w:sz="0" w:space="0" w:color="auto"/>
        <w:bottom w:val="none" w:sz="0" w:space="0" w:color="auto"/>
        <w:right w:val="none" w:sz="0" w:space="0" w:color="auto"/>
      </w:divBdr>
    </w:div>
    <w:div w:id="1520583140">
      <w:bodyDiv w:val="1"/>
      <w:marLeft w:val="0"/>
      <w:marRight w:val="0"/>
      <w:marTop w:val="0"/>
      <w:marBottom w:val="0"/>
      <w:divBdr>
        <w:top w:val="none" w:sz="0" w:space="0" w:color="auto"/>
        <w:left w:val="none" w:sz="0" w:space="0" w:color="auto"/>
        <w:bottom w:val="none" w:sz="0" w:space="0" w:color="auto"/>
        <w:right w:val="none" w:sz="0" w:space="0" w:color="auto"/>
      </w:divBdr>
    </w:div>
    <w:div w:id="1653488582">
      <w:bodyDiv w:val="1"/>
      <w:marLeft w:val="0"/>
      <w:marRight w:val="0"/>
      <w:marTop w:val="0"/>
      <w:marBottom w:val="0"/>
      <w:divBdr>
        <w:top w:val="none" w:sz="0" w:space="0" w:color="auto"/>
        <w:left w:val="none" w:sz="0" w:space="0" w:color="auto"/>
        <w:bottom w:val="none" w:sz="0" w:space="0" w:color="auto"/>
        <w:right w:val="none" w:sz="0" w:space="0" w:color="auto"/>
      </w:divBdr>
    </w:div>
    <w:div w:id="1661930144">
      <w:bodyDiv w:val="1"/>
      <w:marLeft w:val="0"/>
      <w:marRight w:val="0"/>
      <w:marTop w:val="0"/>
      <w:marBottom w:val="0"/>
      <w:divBdr>
        <w:top w:val="none" w:sz="0" w:space="0" w:color="auto"/>
        <w:left w:val="none" w:sz="0" w:space="0" w:color="auto"/>
        <w:bottom w:val="none" w:sz="0" w:space="0" w:color="auto"/>
        <w:right w:val="none" w:sz="0" w:space="0" w:color="auto"/>
      </w:divBdr>
    </w:div>
    <w:div w:id="1694258196">
      <w:bodyDiv w:val="1"/>
      <w:marLeft w:val="0"/>
      <w:marRight w:val="0"/>
      <w:marTop w:val="0"/>
      <w:marBottom w:val="0"/>
      <w:divBdr>
        <w:top w:val="none" w:sz="0" w:space="0" w:color="auto"/>
        <w:left w:val="none" w:sz="0" w:space="0" w:color="auto"/>
        <w:bottom w:val="none" w:sz="0" w:space="0" w:color="auto"/>
        <w:right w:val="none" w:sz="0" w:space="0" w:color="auto"/>
      </w:divBdr>
    </w:div>
    <w:div w:id="1700812593">
      <w:bodyDiv w:val="1"/>
      <w:marLeft w:val="0"/>
      <w:marRight w:val="0"/>
      <w:marTop w:val="0"/>
      <w:marBottom w:val="0"/>
      <w:divBdr>
        <w:top w:val="none" w:sz="0" w:space="0" w:color="auto"/>
        <w:left w:val="none" w:sz="0" w:space="0" w:color="auto"/>
        <w:bottom w:val="none" w:sz="0" w:space="0" w:color="auto"/>
        <w:right w:val="none" w:sz="0" w:space="0" w:color="auto"/>
      </w:divBdr>
    </w:div>
    <w:div w:id="1719668389">
      <w:bodyDiv w:val="1"/>
      <w:marLeft w:val="0"/>
      <w:marRight w:val="0"/>
      <w:marTop w:val="0"/>
      <w:marBottom w:val="0"/>
      <w:divBdr>
        <w:top w:val="none" w:sz="0" w:space="0" w:color="auto"/>
        <w:left w:val="none" w:sz="0" w:space="0" w:color="auto"/>
        <w:bottom w:val="none" w:sz="0" w:space="0" w:color="auto"/>
        <w:right w:val="none" w:sz="0" w:space="0" w:color="auto"/>
      </w:divBdr>
    </w:div>
    <w:div w:id="1757286924">
      <w:bodyDiv w:val="1"/>
      <w:marLeft w:val="0"/>
      <w:marRight w:val="0"/>
      <w:marTop w:val="0"/>
      <w:marBottom w:val="0"/>
      <w:divBdr>
        <w:top w:val="none" w:sz="0" w:space="0" w:color="auto"/>
        <w:left w:val="none" w:sz="0" w:space="0" w:color="auto"/>
        <w:bottom w:val="none" w:sz="0" w:space="0" w:color="auto"/>
        <w:right w:val="none" w:sz="0" w:space="0" w:color="auto"/>
      </w:divBdr>
    </w:div>
    <w:div w:id="1765490563">
      <w:bodyDiv w:val="1"/>
      <w:marLeft w:val="0"/>
      <w:marRight w:val="0"/>
      <w:marTop w:val="0"/>
      <w:marBottom w:val="0"/>
      <w:divBdr>
        <w:top w:val="none" w:sz="0" w:space="0" w:color="auto"/>
        <w:left w:val="none" w:sz="0" w:space="0" w:color="auto"/>
        <w:bottom w:val="none" w:sz="0" w:space="0" w:color="auto"/>
        <w:right w:val="none" w:sz="0" w:space="0" w:color="auto"/>
      </w:divBdr>
    </w:div>
    <w:div w:id="1879706426">
      <w:bodyDiv w:val="1"/>
      <w:marLeft w:val="0"/>
      <w:marRight w:val="0"/>
      <w:marTop w:val="0"/>
      <w:marBottom w:val="0"/>
      <w:divBdr>
        <w:top w:val="none" w:sz="0" w:space="0" w:color="auto"/>
        <w:left w:val="none" w:sz="0" w:space="0" w:color="auto"/>
        <w:bottom w:val="none" w:sz="0" w:space="0" w:color="auto"/>
        <w:right w:val="none" w:sz="0" w:space="0" w:color="auto"/>
      </w:divBdr>
    </w:div>
    <w:div w:id="1894534651">
      <w:bodyDiv w:val="1"/>
      <w:marLeft w:val="0"/>
      <w:marRight w:val="0"/>
      <w:marTop w:val="0"/>
      <w:marBottom w:val="0"/>
      <w:divBdr>
        <w:top w:val="none" w:sz="0" w:space="0" w:color="auto"/>
        <w:left w:val="none" w:sz="0" w:space="0" w:color="auto"/>
        <w:bottom w:val="none" w:sz="0" w:space="0" w:color="auto"/>
        <w:right w:val="none" w:sz="0" w:space="0" w:color="auto"/>
      </w:divBdr>
    </w:div>
    <w:div w:id="1940914638">
      <w:bodyDiv w:val="1"/>
      <w:marLeft w:val="0"/>
      <w:marRight w:val="0"/>
      <w:marTop w:val="0"/>
      <w:marBottom w:val="0"/>
      <w:divBdr>
        <w:top w:val="none" w:sz="0" w:space="0" w:color="auto"/>
        <w:left w:val="none" w:sz="0" w:space="0" w:color="auto"/>
        <w:bottom w:val="none" w:sz="0" w:space="0" w:color="auto"/>
        <w:right w:val="none" w:sz="0" w:space="0" w:color="auto"/>
      </w:divBdr>
    </w:div>
    <w:div w:id="1953244222">
      <w:bodyDiv w:val="1"/>
      <w:marLeft w:val="0"/>
      <w:marRight w:val="0"/>
      <w:marTop w:val="0"/>
      <w:marBottom w:val="0"/>
      <w:divBdr>
        <w:top w:val="none" w:sz="0" w:space="0" w:color="auto"/>
        <w:left w:val="none" w:sz="0" w:space="0" w:color="auto"/>
        <w:bottom w:val="none" w:sz="0" w:space="0" w:color="auto"/>
        <w:right w:val="none" w:sz="0" w:space="0" w:color="auto"/>
      </w:divBdr>
    </w:div>
    <w:div w:id="1992100921">
      <w:bodyDiv w:val="1"/>
      <w:marLeft w:val="0"/>
      <w:marRight w:val="0"/>
      <w:marTop w:val="0"/>
      <w:marBottom w:val="0"/>
      <w:divBdr>
        <w:top w:val="none" w:sz="0" w:space="0" w:color="auto"/>
        <w:left w:val="none" w:sz="0" w:space="0" w:color="auto"/>
        <w:bottom w:val="none" w:sz="0" w:space="0" w:color="auto"/>
        <w:right w:val="none" w:sz="0" w:space="0" w:color="auto"/>
      </w:divBdr>
    </w:div>
    <w:div w:id="2023969365">
      <w:bodyDiv w:val="1"/>
      <w:marLeft w:val="0"/>
      <w:marRight w:val="0"/>
      <w:marTop w:val="0"/>
      <w:marBottom w:val="0"/>
      <w:divBdr>
        <w:top w:val="none" w:sz="0" w:space="0" w:color="auto"/>
        <w:left w:val="none" w:sz="0" w:space="0" w:color="auto"/>
        <w:bottom w:val="none" w:sz="0" w:space="0" w:color="auto"/>
        <w:right w:val="none" w:sz="0" w:space="0" w:color="auto"/>
      </w:divBdr>
    </w:div>
    <w:div w:id="2028480416">
      <w:bodyDiv w:val="1"/>
      <w:marLeft w:val="0"/>
      <w:marRight w:val="0"/>
      <w:marTop w:val="0"/>
      <w:marBottom w:val="0"/>
      <w:divBdr>
        <w:top w:val="none" w:sz="0" w:space="0" w:color="auto"/>
        <w:left w:val="none" w:sz="0" w:space="0" w:color="auto"/>
        <w:bottom w:val="none" w:sz="0" w:space="0" w:color="auto"/>
        <w:right w:val="none" w:sz="0" w:space="0" w:color="auto"/>
      </w:divBdr>
    </w:div>
    <w:div w:id="2043706527">
      <w:bodyDiv w:val="1"/>
      <w:marLeft w:val="0"/>
      <w:marRight w:val="0"/>
      <w:marTop w:val="0"/>
      <w:marBottom w:val="0"/>
      <w:divBdr>
        <w:top w:val="none" w:sz="0" w:space="0" w:color="auto"/>
        <w:left w:val="none" w:sz="0" w:space="0" w:color="auto"/>
        <w:bottom w:val="none" w:sz="0" w:space="0" w:color="auto"/>
        <w:right w:val="none" w:sz="0" w:space="0" w:color="auto"/>
      </w:divBdr>
    </w:div>
    <w:div w:id="2056925495">
      <w:bodyDiv w:val="1"/>
      <w:marLeft w:val="0"/>
      <w:marRight w:val="0"/>
      <w:marTop w:val="0"/>
      <w:marBottom w:val="0"/>
      <w:divBdr>
        <w:top w:val="none" w:sz="0" w:space="0" w:color="auto"/>
        <w:left w:val="none" w:sz="0" w:space="0" w:color="auto"/>
        <w:bottom w:val="none" w:sz="0" w:space="0" w:color="auto"/>
        <w:right w:val="none" w:sz="0" w:space="0" w:color="auto"/>
      </w:divBdr>
    </w:div>
    <w:div w:id="2065719053">
      <w:bodyDiv w:val="1"/>
      <w:marLeft w:val="0"/>
      <w:marRight w:val="0"/>
      <w:marTop w:val="0"/>
      <w:marBottom w:val="0"/>
      <w:divBdr>
        <w:top w:val="none" w:sz="0" w:space="0" w:color="auto"/>
        <w:left w:val="none" w:sz="0" w:space="0" w:color="auto"/>
        <w:bottom w:val="none" w:sz="0" w:space="0" w:color="auto"/>
        <w:right w:val="none" w:sz="0" w:space="0" w:color="auto"/>
      </w:divBdr>
    </w:div>
    <w:div w:id="2079479977">
      <w:bodyDiv w:val="1"/>
      <w:marLeft w:val="0"/>
      <w:marRight w:val="0"/>
      <w:marTop w:val="0"/>
      <w:marBottom w:val="0"/>
      <w:divBdr>
        <w:top w:val="none" w:sz="0" w:space="0" w:color="auto"/>
        <w:left w:val="none" w:sz="0" w:space="0" w:color="auto"/>
        <w:bottom w:val="none" w:sz="0" w:space="0" w:color="auto"/>
        <w:right w:val="none" w:sz="0" w:space="0" w:color="auto"/>
      </w:divBdr>
    </w:div>
    <w:div w:id="2090927604">
      <w:bodyDiv w:val="1"/>
      <w:marLeft w:val="0"/>
      <w:marRight w:val="0"/>
      <w:marTop w:val="0"/>
      <w:marBottom w:val="0"/>
      <w:divBdr>
        <w:top w:val="none" w:sz="0" w:space="0" w:color="auto"/>
        <w:left w:val="none" w:sz="0" w:space="0" w:color="auto"/>
        <w:bottom w:val="none" w:sz="0" w:space="0" w:color="auto"/>
        <w:right w:val="none" w:sz="0" w:space="0" w:color="auto"/>
      </w:divBdr>
    </w:div>
    <w:div w:id="2097824102">
      <w:bodyDiv w:val="1"/>
      <w:marLeft w:val="0"/>
      <w:marRight w:val="0"/>
      <w:marTop w:val="0"/>
      <w:marBottom w:val="0"/>
      <w:divBdr>
        <w:top w:val="none" w:sz="0" w:space="0" w:color="auto"/>
        <w:left w:val="none" w:sz="0" w:space="0" w:color="auto"/>
        <w:bottom w:val="none" w:sz="0" w:space="0" w:color="auto"/>
        <w:right w:val="none" w:sz="0" w:space="0" w:color="auto"/>
      </w:divBdr>
    </w:div>
    <w:div w:id="2101290663">
      <w:bodyDiv w:val="1"/>
      <w:marLeft w:val="0"/>
      <w:marRight w:val="0"/>
      <w:marTop w:val="0"/>
      <w:marBottom w:val="0"/>
      <w:divBdr>
        <w:top w:val="none" w:sz="0" w:space="0" w:color="auto"/>
        <w:left w:val="none" w:sz="0" w:space="0" w:color="auto"/>
        <w:bottom w:val="none" w:sz="0" w:space="0" w:color="auto"/>
        <w:right w:val="none" w:sz="0" w:space="0" w:color="auto"/>
      </w:divBdr>
    </w:div>
    <w:div w:id="21449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2.4403968065476768E-2"/>
          <c:y val="2.5786572217506281E-2"/>
          <c:w val="0.97559605440709363"/>
          <c:h val="0.77824785415336672"/>
        </c:manualLayout>
      </c:layout>
      <c:bubbleChart>
        <c:ser>
          <c:idx val="0"/>
          <c:order val="0"/>
          <c:tx>
            <c:strRef>
              <c:f>Sheet1!$B$1</c:f>
              <c:strCache>
                <c:ptCount val="1"/>
                <c:pt idx="0">
                  <c:v>Y-Values</c:v>
                </c:pt>
              </c:strCache>
            </c:strRef>
          </c:tx>
          <c:spPr>
            <a:solidFill>
              <a:srgbClr val="FF0000"/>
            </a:solidFill>
            <a:ln w="13780">
              <a:noFill/>
            </a:ln>
          </c:spPr>
          <c:dLbls>
            <c:spPr>
              <a:noFill/>
              <a:ln w="13780">
                <a:noFill/>
              </a:ln>
            </c:spPr>
            <c:txPr>
              <a:bodyPr rot="0" spcFirstLastPara="1" vertOverflow="ellipsis" vert="horz" wrap="square" lIns="38100" tIns="19050" rIns="38100" bIns="19050" anchor="ctr" anchorCtr="1">
                <a:spAutoFit/>
              </a:bodyPr>
              <a:lstStyle/>
              <a:p>
                <a:pPr>
                  <a:defRPr sz="760" b="0" i="0" u="none" strike="noStrike" kern="1200" baseline="0">
                    <a:solidFill>
                      <a:schemeClr val="bg1"/>
                    </a:solidFill>
                    <a:latin typeface="+mn-lt"/>
                    <a:ea typeface="+mn-ea"/>
                    <a:cs typeface="+mn-cs"/>
                  </a:defRPr>
                </a:pPr>
                <a:endParaRPr lang="ar-SA"/>
              </a:p>
            </c:txPr>
            <c:dLblPos val="ctr"/>
            <c:showVal val="1"/>
          </c:dLbls>
          <c:xVal>
            <c:strRef>
              <c:f>Sheet1!$A$2:$A$17</c:f>
              <c:strCache>
                <c:ptCount val="16"/>
                <c:pt idx="0">
                  <c:v>جنين</c:v>
                </c:pt>
                <c:pt idx="1">
                  <c:v>طوباس والاغوار الشمالية</c:v>
                </c:pt>
                <c:pt idx="2">
                  <c:v>طولكرم</c:v>
                </c:pt>
                <c:pt idx="3">
                  <c:v>نابلس</c:v>
                </c:pt>
                <c:pt idx="4">
                  <c:v>قلقيلية</c:v>
                </c:pt>
                <c:pt idx="5">
                  <c:v>سلفيت</c:v>
                </c:pt>
                <c:pt idx="6">
                  <c:v>رام الله والبيرة</c:v>
                </c:pt>
                <c:pt idx="7">
                  <c:v>أريحا والأغوار</c:v>
                </c:pt>
                <c:pt idx="8">
                  <c:v>القدس</c:v>
                </c:pt>
                <c:pt idx="9">
                  <c:v>بيت لحم</c:v>
                </c:pt>
                <c:pt idx="10">
                  <c:v>الخليل</c:v>
                </c:pt>
                <c:pt idx="11">
                  <c:v>شمال غزة</c:v>
                </c:pt>
                <c:pt idx="12">
                  <c:v>غزة</c:v>
                </c:pt>
                <c:pt idx="13">
                  <c:v>دير البلح</c:v>
                </c:pt>
                <c:pt idx="14">
                  <c:v>خانيونس</c:v>
                </c:pt>
                <c:pt idx="15">
                  <c:v>رفح</c:v>
                </c:pt>
              </c:strCache>
            </c:strRef>
          </c:xVal>
          <c:yVal>
            <c:numRef>
              <c:f>Sheet1!$B$2:$B$17</c:f>
              <c:numCache>
                <c:formatCode>###0%</c:formatCode>
                <c:ptCount val="16"/>
                <c:pt idx="0">
                  <c:v>0.48383855745373339</c:v>
                </c:pt>
                <c:pt idx="1">
                  <c:v>0.49177491044026117</c:v>
                </c:pt>
                <c:pt idx="2">
                  <c:v>0.4703376760939138</c:v>
                </c:pt>
                <c:pt idx="3">
                  <c:v>0.49505285841972257</c:v>
                </c:pt>
                <c:pt idx="4">
                  <c:v>0.40398317887830432</c:v>
                </c:pt>
                <c:pt idx="5">
                  <c:v>0.42634671920267964</c:v>
                </c:pt>
                <c:pt idx="6">
                  <c:v>0.64244553501516843</c:v>
                </c:pt>
                <c:pt idx="7">
                  <c:v>0.43724160849706595</c:v>
                </c:pt>
                <c:pt idx="8">
                  <c:v>0.84796368696992319</c:v>
                </c:pt>
                <c:pt idx="9">
                  <c:v>0.44523872640717455</c:v>
                </c:pt>
                <c:pt idx="10">
                  <c:v>0.38882856606168492</c:v>
                </c:pt>
                <c:pt idx="11">
                  <c:v>0.53927060360313916</c:v>
                </c:pt>
                <c:pt idx="12">
                  <c:v>0.47599391665412422</c:v>
                </c:pt>
                <c:pt idx="13">
                  <c:v>0.41376103782147522</c:v>
                </c:pt>
                <c:pt idx="14">
                  <c:v>0.45362167848323243</c:v>
                </c:pt>
                <c:pt idx="15">
                  <c:v>0.55072371572808465</c:v>
                </c:pt>
              </c:numCache>
            </c:numRef>
          </c:yVal>
          <c:bubbleSize>
            <c:numRef>
              <c:f>Sheet1!$C$2:$C$17</c:f>
              <c:numCache>
                <c:formatCode>0</c:formatCode>
                <c:ptCount val="16"/>
                <c:pt idx="0">
                  <c:v>24.191927872686676</c:v>
                </c:pt>
                <c:pt idx="1">
                  <c:v>24.588745522013046</c:v>
                </c:pt>
                <c:pt idx="2">
                  <c:v>23.516883804695691</c:v>
                </c:pt>
                <c:pt idx="3">
                  <c:v>24.752642920986119</c:v>
                </c:pt>
                <c:pt idx="4">
                  <c:v>20.199158943915211</c:v>
                </c:pt>
                <c:pt idx="5">
                  <c:v>21.31733596013397</c:v>
                </c:pt>
                <c:pt idx="6">
                  <c:v>32.122276750758409</c:v>
                </c:pt>
                <c:pt idx="7">
                  <c:v>21.862080424853296</c:v>
                </c:pt>
                <c:pt idx="8">
                  <c:v>42.398184348496159</c:v>
                </c:pt>
                <c:pt idx="9">
                  <c:v>22.261936320358732</c:v>
                </c:pt>
                <c:pt idx="10">
                  <c:v>19.441428303084226</c:v>
                </c:pt>
                <c:pt idx="11">
                  <c:v>26.963530180156933</c:v>
                </c:pt>
                <c:pt idx="12">
                  <c:v>23.799695832706202</c:v>
                </c:pt>
                <c:pt idx="13">
                  <c:v>20.688051891073762</c:v>
                </c:pt>
                <c:pt idx="14">
                  <c:v>22.681083924161623</c:v>
                </c:pt>
                <c:pt idx="15">
                  <c:v>27.536185786404239</c:v>
                </c:pt>
              </c:numCache>
            </c:numRef>
          </c:bubbleSize>
          <c:bubble3D val="1"/>
        </c:ser>
        <c:bubbleScale val="100"/>
        <c:axId val="47929600"/>
        <c:axId val="47968256"/>
      </c:bubbleChart>
      <c:valAx>
        <c:axId val="47929600"/>
        <c:scaling>
          <c:orientation val="minMax"/>
        </c:scaling>
        <c:delete val="1"/>
        <c:axPos val="b"/>
        <c:tickLblPos val="none"/>
        <c:crossAx val="47968256"/>
        <c:crosses val="autoZero"/>
        <c:crossBetween val="midCat"/>
      </c:valAx>
      <c:valAx>
        <c:axId val="47968256"/>
        <c:scaling>
          <c:orientation val="minMax"/>
        </c:scaling>
        <c:delete val="1"/>
        <c:axPos val="l"/>
        <c:numFmt formatCode="###0%" sourceLinked="1"/>
        <c:tickLblPos val="none"/>
        <c:crossAx val="47929600"/>
        <c:crosses val="autoZero"/>
        <c:crossBetween val="midCat"/>
      </c:valAx>
      <c:spPr>
        <a:noFill/>
        <a:ln w="13780">
          <a:noFill/>
        </a:ln>
      </c:spPr>
    </c:plotArea>
    <c:plotVisOnly val="1"/>
    <c:dispBlanksAs val="gap"/>
  </c:chart>
  <c:spPr>
    <a:noFill/>
    <a:ln>
      <a:noFill/>
    </a:ln>
  </c:spPr>
  <c:txPr>
    <a:bodyPr/>
    <a:lstStyle/>
    <a:p>
      <a:pPr>
        <a:defRPr/>
      </a:pPr>
      <a:endParaRPr lang="ar-S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7.3702734454924146E-2"/>
          <c:y val="7.3520658306846232E-2"/>
          <c:w val="0.90534169136234333"/>
          <c:h val="0.55721801357268763"/>
        </c:manualLayout>
      </c:layout>
      <c:barChart>
        <c:barDir val="col"/>
        <c:grouping val="clustered"/>
        <c:ser>
          <c:idx val="0"/>
          <c:order val="0"/>
          <c:tx>
            <c:strRef>
              <c:f>Sheet1!$B$1</c:f>
              <c:strCache>
                <c:ptCount val="1"/>
                <c:pt idx="0">
                  <c:v>نسبة الاسر في فلسطين والذي شارك أطفالهم في أي أنشطة تعليمية خلال فترة الاغلاقات (آذار- أيار، 2020) حسب المحافظة</c:v>
                </c:pt>
              </c:strCache>
            </c:strRef>
          </c:tx>
          <c:spPr>
            <a:noFill/>
            <a:ln>
              <a:noFill/>
            </a:ln>
            <a:effectLst>
              <a:innerShdw blurRad="114300">
                <a:schemeClr val="accent1"/>
              </a:innerShdw>
            </a:effectLst>
          </c:spPr>
          <c:cat>
            <c:strRef>
              <c:f>Sheet1!$A$2:$A$17</c:f>
              <c:strCache>
                <c:ptCount val="16"/>
                <c:pt idx="0">
                  <c:v>Jenin</c:v>
                </c:pt>
                <c:pt idx="1">
                  <c:v>Tubas &amp; Northern Valleys </c:v>
                </c:pt>
                <c:pt idx="2">
                  <c:v>Tulkarm</c:v>
                </c:pt>
                <c:pt idx="3">
                  <c:v>Nablus</c:v>
                </c:pt>
                <c:pt idx="4">
                  <c:v>Qalqiliya</c:v>
                </c:pt>
                <c:pt idx="5">
                  <c:v>Salfit</c:v>
                </c:pt>
                <c:pt idx="6">
                  <c:v>Ramallah &amp; Al-Bireh </c:v>
                </c:pt>
                <c:pt idx="7">
                  <c:v>Jericho &amp; Al Aghwar</c:v>
                </c:pt>
                <c:pt idx="8">
                  <c:v>Jerusalem </c:v>
                </c:pt>
                <c:pt idx="9">
                  <c:v>Bethlehem </c:v>
                </c:pt>
                <c:pt idx="10">
                  <c:v>Hebron</c:v>
                </c:pt>
                <c:pt idx="11">
                  <c:v>North Gaza</c:v>
                </c:pt>
                <c:pt idx="12">
                  <c:v>Gaza</c:v>
                </c:pt>
                <c:pt idx="13">
                  <c:v>Dier Al-Balah</c:v>
                </c:pt>
                <c:pt idx="14">
                  <c:v>Khan Yunis</c:v>
                </c:pt>
                <c:pt idx="15">
                  <c:v>Rafah</c:v>
                </c:pt>
              </c:strCache>
            </c:strRef>
          </c:cat>
          <c:val>
            <c:numRef>
              <c:f>Sheet1!$B$2:$B$17</c:f>
              <c:numCache>
                <c:formatCode>###0%</c:formatCode>
                <c:ptCount val="16"/>
                <c:pt idx="0">
                  <c:v>0.48383855745373339</c:v>
                </c:pt>
                <c:pt idx="1">
                  <c:v>0.49177491044026117</c:v>
                </c:pt>
                <c:pt idx="2">
                  <c:v>0.4703376760939138</c:v>
                </c:pt>
                <c:pt idx="3">
                  <c:v>0.49505285841972257</c:v>
                </c:pt>
                <c:pt idx="4">
                  <c:v>0.40398317887830432</c:v>
                </c:pt>
                <c:pt idx="5">
                  <c:v>0.42634671920267964</c:v>
                </c:pt>
                <c:pt idx="6">
                  <c:v>0.64244553501516843</c:v>
                </c:pt>
                <c:pt idx="7">
                  <c:v>0.43724160849706595</c:v>
                </c:pt>
                <c:pt idx="8">
                  <c:v>0.84796368696992319</c:v>
                </c:pt>
                <c:pt idx="9">
                  <c:v>0.44523872640717455</c:v>
                </c:pt>
                <c:pt idx="10">
                  <c:v>0.38882856606168492</c:v>
                </c:pt>
                <c:pt idx="11">
                  <c:v>0.53927060360313916</c:v>
                </c:pt>
                <c:pt idx="12">
                  <c:v>0.47599391665412422</c:v>
                </c:pt>
                <c:pt idx="13">
                  <c:v>0.41376103782147522</c:v>
                </c:pt>
                <c:pt idx="14">
                  <c:v>0.45362167848323243</c:v>
                </c:pt>
                <c:pt idx="15">
                  <c:v>0.55072371572808465</c:v>
                </c:pt>
              </c:numCache>
            </c:numRef>
          </c:val>
        </c:ser>
        <c:gapWidth val="164"/>
        <c:overlap val="-22"/>
        <c:axId val="47987328"/>
        <c:axId val="48021888"/>
      </c:barChart>
      <c:catAx>
        <c:axId val="47987328"/>
        <c:scaling>
          <c:orientation val="minMax"/>
        </c:scaling>
        <c:axPos val="b"/>
        <c:numFmt formatCode="General" sourceLinked="1"/>
        <c:majorTickMark val="none"/>
        <c:tickLblPos val="nextTo"/>
        <c:spPr>
          <a:noFill/>
          <a:ln w="1906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plified Arabic" panose="02020603050405020304" pitchFamily="18" charset="-78"/>
                <a:ea typeface="+mn-ea"/>
                <a:cs typeface="Simplified Arabic" panose="02020603050405020304" pitchFamily="18" charset="-78"/>
              </a:defRPr>
            </a:pPr>
            <a:endParaRPr lang="ar-SA"/>
          </a:p>
        </c:txPr>
        <c:crossAx val="48021888"/>
        <c:crosses val="autoZero"/>
        <c:auto val="1"/>
        <c:lblAlgn val="ctr"/>
        <c:lblOffset val="100"/>
      </c:catAx>
      <c:valAx>
        <c:axId val="48021888"/>
        <c:scaling>
          <c:orientation val="minMax"/>
        </c:scaling>
        <c:axPos val="l"/>
        <c:majorGridlines>
          <c:spPr>
            <a:ln>
              <a:solidFill>
                <a:schemeClr val="tx1">
                  <a:lumMod val="15000"/>
                  <a:lumOff val="85000"/>
                </a:schemeClr>
              </a:solidFill>
            </a:ln>
            <a:effectLst/>
          </c:spPr>
        </c:majorGridlines>
        <c:numFmt formatCode="###0%" sourceLinked="1"/>
        <c:majorTickMark val="none"/>
        <c:tickLblPos val="nextTo"/>
        <c:spPr>
          <a:ln w="953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plified Arabic" panose="02020603050405020304" pitchFamily="18" charset="-78"/>
                <a:ea typeface="+mn-ea"/>
                <a:cs typeface="Simplified Arabic" panose="02020603050405020304" pitchFamily="18" charset="-78"/>
              </a:defRPr>
            </a:pPr>
            <a:endParaRPr lang="ar-SA"/>
          </a:p>
        </c:txPr>
        <c:crossAx val="47987328"/>
        <c:crosses val="autoZero"/>
        <c:crossBetween val="between"/>
      </c:valAx>
      <c:spPr>
        <a:noFill/>
        <a:ln w="25413">
          <a:noFill/>
        </a:ln>
      </c:spPr>
    </c:plotArea>
    <c:plotVisOnly val="1"/>
    <c:dispBlanksAs val="gap"/>
  </c:chart>
  <c:spPr>
    <a:solidFill>
      <a:schemeClr val="tx2">
        <a:lumMod val="20000"/>
        <a:lumOff val="80000"/>
      </a:schemeClr>
    </a:solidFill>
    <a:ln w="9530" cap="flat" cmpd="sng" algn="ctr">
      <a:solidFill>
        <a:schemeClr val="tx1">
          <a:lumMod val="15000"/>
          <a:lumOff val="85000"/>
        </a:schemeClr>
      </a:solidFill>
      <a:round/>
    </a:ln>
    <a:effectLst/>
  </c:spPr>
  <c:txPr>
    <a:bodyPr/>
    <a:lstStyle/>
    <a:p>
      <a:pPr>
        <a:defRPr>
          <a:latin typeface="Simplified Arabic" panose="02020603050405020304" pitchFamily="18" charset="-78"/>
          <a:cs typeface="Simplified Arabic" panose="02020603050405020304" pitchFamily="18" charset="-78"/>
        </a:defRPr>
      </a:pPr>
      <a:endParaRPr lang="ar-S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chart>
    <c:title>
      <c:tx>
        <c:rich>
          <a:bodyPr rot="0" spcFirstLastPara="1" vertOverflow="ellipsis" vert="horz" wrap="square" anchor="ctr" anchorCtr="1"/>
          <a:lstStyle/>
          <a:p>
            <a:pPr>
              <a:defRPr sz="1102"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2"/>
              <a:t>The Top Three Priorities for Citizens to Reduce the Impact of COVID-19 by region</a:t>
            </a:r>
          </a:p>
        </c:rich>
      </c:tx>
      <c:spPr>
        <a:noFill/>
        <a:ln w="25446">
          <a:noFill/>
        </a:ln>
      </c:spPr>
    </c:title>
    <c:plotArea>
      <c:layout>
        <c:manualLayout>
          <c:layoutTarget val="inner"/>
          <c:xMode val="edge"/>
          <c:yMode val="edge"/>
          <c:x val="2.3661799556608822E-2"/>
          <c:y val="0.17898795613109431"/>
          <c:w val="0.97633817355564367"/>
          <c:h val="0.54430853495456311"/>
        </c:manualLayout>
      </c:layout>
      <c:barChart>
        <c:barDir val="col"/>
        <c:grouping val="clustered"/>
        <c:ser>
          <c:idx val="0"/>
          <c:order val="0"/>
          <c:tx>
            <c:strRef>
              <c:f>Sheet1!$B$1</c:f>
              <c:strCache>
                <c:ptCount val="1"/>
                <c:pt idx="0">
                  <c:v>Palestine</c:v>
                </c:pt>
              </c:strCache>
            </c:strRef>
          </c:tx>
          <c:spPr>
            <a:solidFill>
              <a:srgbClr val="4F81BD"/>
            </a:solidFill>
            <a:ln w="25446">
              <a:noFill/>
            </a:ln>
          </c:spPr>
          <c:dLbls>
            <c:spPr>
              <a:noFill/>
              <a:ln w="25446">
                <a:noFill/>
              </a:ln>
            </c:spPr>
            <c:txPr>
              <a:bodyPr rot="5400000" spcFirstLastPara="1" vertOverflow="ellipsis" wrap="square" anchor="ctr" anchorCtr="1"/>
              <a:lstStyle/>
              <a:p>
                <a:pPr>
                  <a:defRPr sz="1002"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ar-SA"/>
              </a:p>
            </c:txPr>
            <c:dLblPos val="ctr"/>
            <c:showVal val="1"/>
          </c:dLbls>
          <c:cat>
            <c:strRef>
              <c:f>Sheet1!$A$2:$A$4</c:f>
              <c:strCache>
                <c:ptCount val="3"/>
                <c:pt idx="0">
                  <c:v>Cash transfer assistance</c:v>
                </c:pt>
                <c:pt idx="1">
                  <c:v>Job opportunity creation/employment</c:v>
                </c:pt>
                <c:pt idx="2">
                  <c:v>Food /food supplies vouchers/procurement coupons </c:v>
                </c:pt>
              </c:strCache>
            </c:strRef>
          </c:cat>
          <c:val>
            <c:numRef>
              <c:f>Sheet1!$B$2:$B$4</c:f>
              <c:numCache>
                <c:formatCode>0</c:formatCode>
                <c:ptCount val="3"/>
                <c:pt idx="0">
                  <c:v>28.5</c:v>
                </c:pt>
                <c:pt idx="1">
                  <c:v>20.6</c:v>
                </c:pt>
                <c:pt idx="2">
                  <c:v>18.8</c:v>
                </c:pt>
              </c:numCache>
            </c:numRef>
          </c:val>
        </c:ser>
        <c:ser>
          <c:idx val="1"/>
          <c:order val="1"/>
          <c:tx>
            <c:strRef>
              <c:f>Sheet1!$C$1</c:f>
              <c:strCache>
                <c:ptCount val="1"/>
                <c:pt idx="0">
                  <c:v>West Bank</c:v>
                </c:pt>
              </c:strCache>
            </c:strRef>
          </c:tx>
          <c:spPr>
            <a:solidFill>
              <a:schemeClr val="bg1">
                <a:lumMod val="75000"/>
              </a:schemeClr>
            </a:solidFill>
            <a:ln>
              <a:noFill/>
            </a:ln>
            <a:effectLst/>
          </c:spPr>
          <c:dLbls>
            <c:spPr>
              <a:noFill/>
              <a:ln w="25446">
                <a:noFill/>
              </a:ln>
            </c:spPr>
            <c:txPr>
              <a:bodyPr rot="5400000" spcFirstLastPara="1" vertOverflow="ellipsis" wrap="square" anchor="ctr" anchorCtr="1"/>
              <a:lstStyle/>
              <a:p>
                <a:pPr>
                  <a:defRPr sz="1002"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ar-SA"/>
              </a:p>
            </c:txPr>
            <c:dLblPos val="ctr"/>
            <c:showVal val="1"/>
          </c:dLbls>
          <c:cat>
            <c:strRef>
              <c:f>Sheet1!$A$2:$A$4</c:f>
              <c:strCache>
                <c:ptCount val="3"/>
                <c:pt idx="0">
                  <c:v>Cash transfer assistance</c:v>
                </c:pt>
                <c:pt idx="1">
                  <c:v>Job opportunity creation/employment</c:v>
                </c:pt>
                <c:pt idx="2">
                  <c:v>Food /food supplies vouchers/procurement coupons </c:v>
                </c:pt>
              </c:strCache>
            </c:strRef>
          </c:cat>
          <c:val>
            <c:numRef>
              <c:f>Sheet1!$C$2:$C$4</c:f>
              <c:numCache>
                <c:formatCode>0</c:formatCode>
                <c:ptCount val="3"/>
                <c:pt idx="0">
                  <c:v>31</c:v>
                </c:pt>
                <c:pt idx="1">
                  <c:v>7.5</c:v>
                </c:pt>
                <c:pt idx="2">
                  <c:v>22</c:v>
                </c:pt>
              </c:numCache>
            </c:numRef>
          </c:val>
        </c:ser>
        <c:ser>
          <c:idx val="2"/>
          <c:order val="2"/>
          <c:tx>
            <c:strRef>
              <c:f>Sheet1!$D$1</c:f>
              <c:strCache>
                <c:ptCount val="1"/>
                <c:pt idx="0">
                  <c:v>Gaza Strip</c:v>
                </c:pt>
              </c:strCache>
            </c:strRef>
          </c:tx>
          <c:spPr>
            <a:solidFill>
              <a:srgbClr val="9BBB59"/>
            </a:solidFill>
            <a:ln w="25446">
              <a:noFill/>
            </a:ln>
          </c:spPr>
          <c:dLbls>
            <c:spPr>
              <a:noFill/>
              <a:ln w="25446">
                <a:noFill/>
              </a:ln>
            </c:spPr>
            <c:txPr>
              <a:bodyPr rot="5400000" spcFirstLastPara="1" vertOverflow="ellipsis" wrap="square" anchor="ctr" anchorCtr="1"/>
              <a:lstStyle/>
              <a:p>
                <a:pPr>
                  <a:defRPr sz="1002"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ar-SA"/>
              </a:p>
            </c:txPr>
            <c:dLblPos val="ctr"/>
            <c:showVal val="1"/>
          </c:dLbls>
          <c:cat>
            <c:strRef>
              <c:f>Sheet1!$A$2:$A$4</c:f>
              <c:strCache>
                <c:ptCount val="3"/>
                <c:pt idx="0">
                  <c:v>Cash transfer assistance</c:v>
                </c:pt>
                <c:pt idx="1">
                  <c:v>Job opportunity creation/employment</c:v>
                </c:pt>
                <c:pt idx="2">
                  <c:v>Food /food supplies vouchers/procurement coupons </c:v>
                </c:pt>
              </c:strCache>
            </c:strRef>
          </c:cat>
          <c:val>
            <c:numRef>
              <c:f>Sheet1!$D$2:$D$4</c:f>
              <c:numCache>
                <c:formatCode>0</c:formatCode>
                <c:ptCount val="3"/>
                <c:pt idx="0">
                  <c:v>25.3</c:v>
                </c:pt>
                <c:pt idx="1">
                  <c:v>37.700000000000003</c:v>
                </c:pt>
                <c:pt idx="2">
                  <c:v>14.6</c:v>
                </c:pt>
              </c:numCache>
            </c:numRef>
          </c:val>
        </c:ser>
        <c:dLbls>
          <c:showVal val="1"/>
        </c:dLbls>
        <c:axId val="48121728"/>
        <c:axId val="48123264"/>
      </c:barChart>
      <c:catAx>
        <c:axId val="48121728"/>
        <c:scaling>
          <c:orientation val="minMax"/>
        </c:scaling>
        <c:axPos val="b"/>
        <c:numFmt formatCode="General" sourceLinked="1"/>
        <c:majorTickMark val="none"/>
        <c:tickLblPos val="nextTo"/>
        <c:spPr>
          <a:noFill/>
          <a:ln w="9542" cap="flat" cmpd="sng" algn="ctr">
            <a:solidFill>
              <a:schemeClr val="tx1">
                <a:lumMod val="15000"/>
                <a:lumOff val="85000"/>
              </a:schemeClr>
            </a:solidFill>
            <a:round/>
          </a:ln>
          <a:effectLst/>
        </c:spPr>
        <c:txPr>
          <a:bodyPr rot="-60000000" spcFirstLastPara="1" vertOverflow="ellipsis" vert="horz" wrap="square" anchor="ctr" anchorCtr="1"/>
          <a:lstStyle/>
          <a:p>
            <a:pPr>
              <a:defRPr sz="1002"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48123264"/>
        <c:crosses val="autoZero"/>
        <c:auto val="1"/>
        <c:lblAlgn val="ctr"/>
        <c:lblOffset val="100"/>
      </c:catAx>
      <c:valAx>
        <c:axId val="48123264"/>
        <c:scaling>
          <c:orientation val="minMax"/>
        </c:scaling>
        <c:delete val="1"/>
        <c:axPos val="l"/>
        <c:numFmt formatCode="0" sourceLinked="1"/>
        <c:tickLblPos val="none"/>
        <c:crossAx val="48121728"/>
        <c:crosses val="autoZero"/>
        <c:crossBetween val="between"/>
      </c:valAx>
      <c:spPr>
        <a:noFill/>
        <a:ln w="25446">
          <a:noFill/>
        </a:ln>
      </c:spPr>
    </c:plotArea>
    <c:legend>
      <c:legendPos val="b"/>
      <c:layout>
        <c:manualLayout>
          <c:xMode val="edge"/>
          <c:yMode val="edge"/>
          <c:wMode val="edge"/>
          <c:hMode val="edge"/>
          <c:x val="5.1424575217571475E-2"/>
          <c:y val="0.88525724253120397"/>
          <c:w val="0.99647465119491641"/>
          <c:h val="1"/>
        </c:manualLayout>
      </c:layout>
      <c:spPr>
        <a:noFill/>
        <a:ln w="25446">
          <a:noFill/>
        </a:ln>
      </c:spPr>
      <c:txPr>
        <a:bodyPr rot="0" spcFirstLastPara="1" vertOverflow="ellipsis" vert="horz" wrap="square" anchor="ctr" anchorCtr="1"/>
        <a:lstStyle/>
        <a:p>
          <a:pPr rtl="1">
            <a:defRPr sz="1002"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legend>
    <c:plotVisOnly val="1"/>
    <c:dispBlanksAs val="gap"/>
  </c:chart>
  <c:spPr>
    <a:solidFill>
      <a:schemeClr val="accent1">
        <a:lumMod val="20000"/>
        <a:lumOff val="80000"/>
      </a:schemeClr>
    </a:solidFill>
    <a:ln w="9542" cap="flat" cmpd="sng" algn="ctr">
      <a:solidFill>
        <a:schemeClr val="tx1">
          <a:lumMod val="15000"/>
          <a:lumOff val="85000"/>
        </a:schemeClr>
      </a:solidFill>
      <a:round/>
    </a:ln>
    <a:effectLst/>
  </c:spPr>
  <c:txPr>
    <a:bodyPr/>
    <a:lstStyle/>
    <a:p>
      <a:pPr>
        <a:defRPr sz="1002" b="1">
          <a:latin typeface="Times New Roman" panose="02020603050405020304" pitchFamily="18" charset="0"/>
          <a:cs typeface="Times New Roman" panose="02020603050405020304" pitchFamily="18" charset="0"/>
        </a:defRPr>
      </a:pPr>
      <a:endParaRPr lang="ar-SA"/>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421F-AD0D-4E27-B2E9-947AED01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Key Findings Report</vt:lpstr>
    </vt:vector>
  </TitlesOfParts>
  <Company>UNICEF</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Findings Report</dc:title>
  <dc:creator>maen salhab</dc:creator>
  <cp:lastModifiedBy>adwikat</cp:lastModifiedBy>
  <cp:revision>2</cp:revision>
  <cp:lastPrinted>2020-10-04T06:15:00Z</cp:lastPrinted>
  <dcterms:created xsi:type="dcterms:W3CDTF">2020-10-04T08:50:00Z</dcterms:created>
  <dcterms:modified xsi:type="dcterms:W3CDTF">2020-10-04T08:50:00Z</dcterms:modified>
</cp:coreProperties>
</file>