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AD" w:rsidRPr="006647EB" w:rsidRDefault="00B76FAD" w:rsidP="00B76FAD">
      <w:pPr>
        <w:pStyle w:val="Heading3"/>
        <w:bidi w:val="0"/>
        <w:jc w:val="center"/>
        <w:rPr>
          <w:sz w:val="32"/>
          <w:szCs w:val="32"/>
          <w:u w:val="none"/>
          <w:rtl/>
          <w:lang w:val="en-US" w:bidi="ar-SA"/>
        </w:rPr>
      </w:pPr>
      <w:r w:rsidRPr="006647EB">
        <w:rPr>
          <w:sz w:val="32"/>
          <w:szCs w:val="32"/>
          <w:u w:val="none"/>
        </w:rPr>
        <w:t>Palestinian Central Bureau of Statistics</w:t>
      </w:r>
      <w:r>
        <w:rPr>
          <w:sz w:val="32"/>
          <w:szCs w:val="32"/>
          <w:u w:val="none"/>
          <w:lang w:val="en-US" w:bidi="ar-SA"/>
        </w:rPr>
        <w:t xml:space="preserve"> (PCBS)</w:t>
      </w:r>
    </w:p>
    <w:p w:rsidR="00B76FAD" w:rsidRDefault="00B76FAD" w:rsidP="00B76FAD">
      <w:pPr>
        <w:pStyle w:val="NormalWeb"/>
        <w:spacing w:before="0" w:beforeAutospacing="0" w:after="0" w:afterAutospacing="0"/>
        <w:ind w:hanging="142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B76FAD" w:rsidRDefault="00B76FAD" w:rsidP="00EA2CE5">
      <w:pPr>
        <w:pStyle w:val="NormalWeb"/>
        <w:spacing w:before="0" w:beforeAutospacing="0" w:after="0" w:afterAutospacing="0"/>
        <w:ind w:hanging="142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PCBS:  Labour Force Survey </w:t>
      </w:r>
      <w:r w:rsidR="00EA2CE5" w:rsidRPr="00EA2CE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Preliminary</w:t>
      </w:r>
      <w:r w:rsidR="00EA2CE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Results </w:t>
      </w:r>
    </w:p>
    <w:p w:rsidR="00B76FAD" w:rsidRDefault="00B76FAD" w:rsidP="00B76FAD">
      <w:pPr>
        <w:pStyle w:val="NormalWeb"/>
        <w:spacing w:before="0" w:beforeAutospacing="0" w:after="0" w:afterAutospacing="0"/>
        <w:ind w:hanging="142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First quarter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January – March 2020)</w:t>
      </w:r>
    </w:p>
    <w:p w:rsidR="00B76FAD" w:rsidRDefault="00B76FAD" w:rsidP="00B76FAD">
      <w:pPr>
        <w:pStyle w:val="NormalWeb"/>
        <w:spacing w:before="0" w:beforeAutospacing="0" w:after="0" w:afterAutospacing="0"/>
        <w:ind w:hanging="142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76FAD" w:rsidRDefault="00B76FAD" w:rsidP="00B76FAD">
      <w:pPr>
        <w:bidi w:val="0"/>
        <w:jc w:val="center"/>
        <w:rPr>
          <w:b/>
          <w:bCs/>
        </w:rPr>
      </w:pPr>
    </w:p>
    <w:p w:rsidR="00B76FAD" w:rsidRPr="00B76FAD" w:rsidRDefault="00B76FAD" w:rsidP="00B76FAD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B76FAD">
        <w:rPr>
          <w:b/>
          <w:bCs/>
          <w:sz w:val="28"/>
          <w:szCs w:val="28"/>
        </w:rPr>
        <w:t xml:space="preserve">Unemployment Rate in Gaza Strip is Three Times Higher than in the West Bank </w:t>
      </w:r>
    </w:p>
    <w:p w:rsidR="00B76FAD" w:rsidRPr="00B76FAD" w:rsidRDefault="00B76FAD" w:rsidP="00EF7D2C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</w:rPr>
      </w:pPr>
    </w:p>
    <w:p w:rsidR="00EF7D2C" w:rsidRDefault="002C77E7" w:rsidP="00B76FAD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lang w:val="en-GB"/>
        </w:rPr>
      </w:pPr>
      <w:r>
        <w:rPr>
          <w:b/>
          <w:bCs/>
          <w:lang w:val="en-GB"/>
        </w:rPr>
        <w:t>(</w:t>
      </w:r>
      <w:r w:rsidR="00E3564A">
        <w:rPr>
          <w:b/>
          <w:bCs/>
          <w:lang w:val="en-GB"/>
        </w:rPr>
        <w:t xml:space="preserve">Revised ILO Standards </w:t>
      </w:r>
      <w:r w:rsidR="008A3D5F" w:rsidRPr="008A3D5F">
        <w:rPr>
          <w:b/>
          <w:bCs/>
          <w:lang w:val="en-GB"/>
        </w:rPr>
        <w:t>ICLS 19</w:t>
      </w:r>
      <w:r w:rsidR="008A3D5F" w:rsidRPr="008A3D5F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>)</w:t>
      </w:r>
      <w:r w:rsidRPr="002C77E7">
        <w:rPr>
          <w:b/>
          <w:bCs/>
          <w:lang w:val="en-GB"/>
        </w:rPr>
        <w:t xml:space="preserve"> </w:t>
      </w:r>
    </w:p>
    <w:p w:rsidR="002C77E7" w:rsidRDefault="00EF7D2C" w:rsidP="00691491">
      <w:pPr>
        <w:tabs>
          <w:tab w:val="right" w:pos="142"/>
          <w:tab w:val="num" w:pos="900"/>
        </w:tabs>
        <w:bidi w:val="0"/>
        <w:ind w:right="-1"/>
        <w:jc w:val="both"/>
      </w:pPr>
      <w:r w:rsidRPr="00EF7D2C">
        <w:rPr>
          <w:lang w:val="en-GB"/>
        </w:rPr>
        <w:t>2</w:t>
      </w:r>
      <w:r w:rsidR="00081227">
        <w:rPr>
          <w:lang w:val="en-GB"/>
        </w:rPr>
        <w:t>5</w:t>
      </w:r>
      <w:r w:rsidRPr="00EF7D2C">
        <w:rPr>
          <w:lang w:val="en-GB"/>
        </w:rPr>
        <w:t>%</w:t>
      </w:r>
      <w:r>
        <w:rPr>
          <w:b/>
          <w:bCs/>
          <w:lang w:val="en-GB"/>
        </w:rPr>
        <w:t xml:space="preserve"> </w:t>
      </w:r>
      <w:r w:rsidR="00F156DC">
        <w:t>was</w:t>
      </w:r>
      <w:r w:rsidR="00E437DD">
        <w:t xml:space="preserve"> </w:t>
      </w:r>
      <w:r w:rsidR="002C77E7" w:rsidRPr="002C77E7">
        <w:t>the unemployment rate among labour force participants in Palestine, total labour</w:t>
      </w:r>
      <w:r w:rsidR="001C6908">
        <w:t xml:space="preserve"> underutilization stands at </w:t>
      </w:r>
      <w:r w:rsidR="00691491">
        <w:t>33</w:t>
      </w:r>
      <w:r w:rsidR="001C6908">
        <w:t>%.</w:t>
      </w:r>
    </w:p>
    <w:p w:rsidR="001C6908" w:rsidRPr="00633E9D" w:rsidRDefault="001C6908" w:rsidP="007F3BE5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</w:rPr>
      </w:pPr>
    </w:p>
    <w:p w:rsidR="007F3BE5" w:rsidRDefault="002C77E7" w:rsidP="00511BF8">
      <w:pPr>
        <w:tabs>
          <w:tab w:val="right" w:pos="142"/>
          <w:tab w:val="num" w:pos="900"/>
        </w:tabs>
        <w:bidi w:val="0"/>
        <w:ind w:right="-1"/>
        <w:jc w:val="both"/>
      </w:pPr>
      <w:r w:rsidRPr="00E3564A">
        <w:t xml:space="preserve">Using the latest </w:t>
      </w:r>
      <w:r w:rsidR="00E3564A" w:rsidRPr="00E3564A">
        <w:t xml:space="preserve">Revised </w:t>
      </w:r>
      <w:r w:rsidRPr="00E3564A">
        <w:t>ILO standards</w:t>
      </w:r>
      <w:r w:rsidR="00E3564A" w:rsidRPr="00E3564A">
        <w:t xml:space="preserve"> </w:t>
      </w:r>
      <w:r w:rsidR="008A3D5F" w:rsidRPr="00E3564A">
        <w:t>ICLS 19</w:t>
      </w:r>
      <w:r w:rsidR="008A3D5F">
        <w:rPr>
          <w:vertAlign w:val="superscript"/>
        </w:rPr>
        <w:t>th</w:t>
      </w:r>
      <w:r w:rsidRPr="00E3564A">
        <w:t xml:space="preserve">, the number of unemployed was </w:t>
      </w:r>
      <w:r w:rsidR="003101AD">
        <w:rPr>
          <w:rFonts w:hint="cs"/>
          <w:rtl/>
        </w:rPr>
        <w:t>3</w:t>
      </w:r>
      <w:r w:rsidR="00081227">
        <w:t>36</w:t>
      </w:r>
      <w:r w:rsidRPr="00E3564A">
        <w:t>,</w:t>
      </w:r>
      <w:r w:rsidR="00081227">
        <w:t>3</w:t>
      </w:r>
      <w:r w:rsidR="001E3110">
        <w:t>00</w:t>
      </w:r>
      <w:r w:rsidRPr="00E3564A">
        <w:t xml:space="preserve"> in the </w:t>
      </w:r>
      <w:r w:rsidR="00081227">
        <w:t>1</w:t>
      </w:r>
      <w:r w:rsidR="00511BF8">
        <w:rPr>
          <w:vertAlign w:val="superscript"/>
        </w:rPr>
        <w:t>st</w:t>
      </w:r>
      <w:r w:rsidR="00F156DC">
        <w:rPr>
          <w:vertAlign w:val="superscript"/>
        </w:rPr>
        <w:t xml:space="preserve"> </w:t>
      </w:r>
      <w:r w:rsidRPr="00E3564A">
        <w:t xml:space="preserve">quarter of </w:t>
      </w:r>
      <w:r w:rsidR="00081227">
        <w:t>2020</w:t>
      </w:r>
      <w:r w:rsidR="00A5677E">
        <w:t>,</w:t>
      </w:r>
      <w:r w:rsidRPr="00E3564A">
        <w:t xml:space="preserve"> distributed as </w:t>
      </w:r>
      <w:r w:rsidR="003101AD">
        <w:t>2</w:t>
      </w:r>
      <w:r w:rsidR="00081227">
        <w:t>11</w:t>
      </w:r>
      <w:r w:rsidRPr="00E3564A">
        <w:t>,</w:t>
      </w:r>
      <w:r w:rsidR="00081227">
        <w:t>3</w:t>
      </w:r>
      <w:r w:rsidR="001E3110">
        <w:t>00</w:t>
      </w:r>
      <w:r w:rsidRPr="00E3564A">
        <w:t xml:space="preserve"> in Gaza Strip and </w:t>
      </w:r>
      <w:r w:rsidR="001E3110">
        <w:t>1</w:t>
      </w:r>
      <w:r w:rsidR="00F156DC">
        <w:t>2</w:t>
      </w:r>
      <w:r w:rsidR="00081227">
        <w:t>5</w:t>
      </w:r>
      <w:r w:rsidRPr="00E3564A">
        <w:t>,</w:t>
      </w:r>
      <w:r w:rsidR="00081227">
        <w:t>0</w:t>
      </w:r>
      <w:r w:rsidR="001E3110">
        <w:t>00</w:t>
      </w:r>
      <w:r w:rsidRPr="00E3564A">
        <w:t xml:space="preserve"> in the West Bank. The unemployment rate in Gaza Strip was </w:t>
      </w:r>
      <w:r w:rsidR="00081227">
        <w:t>46</w:t>
      </w:r>
      <w:r w:rsidRPr="00E3564A">
        <w:t xml:space="preserve">% compared with </w:t>
      </w:r>
      <w:r w:rsidR="0044490F">
        <w:t>1</w:t>
      </w:r>
      <w:r w:rsidR="00F156DC">
        <w:t>4</w:t>
      </w:r>
      <w:r w:rsidRPr="00E3564A">
        <w:t xml:space="preserve">% in the West Bank, while the unemployment rate for males in Palestine was </w:t>
      </w:r>
      <w:r w:rsidR="005369E6">
        <w:t>2</w:t>
      </w:r>
      <w:r w:rsidR="00F156DC">
        <w:t>1</w:t>
      </w:r>
      <w:r w:rsidRPr="00E3564A">
        <w:t xml:space="preserve">% compared with </w:t>
      </w:r>
      <w:r w:rsidR="009F72A7">
        <w:t>40</w:t>
      </w:r>
      <w:r w:rsidRPr="00E3564A">
        <w:t>% for females.</w:t>
      </w:r>
    </w:p>
    <w:p w:rsidR="00945C88" w:rsidRDefault="00945C88" w:rsidP="005369E6">
      <w:pPr>
        <w:tabs>
          <w:tab w:val="right" w:pos="142"/>
          <w:tab w:val="num" w:pos="900"/>
        </w:tabs>
        <w:bidi w:val="0"/>
        <w:ind w:right="-1"/>
        <w:jc w:val="both"/>
      </w:pPr>
    </w:p>
    <w:p w:rsidR="002C77E7" w:rsidRPr="002C77E7" w:rsidRDefault="002C77E7" w:rsidP="00511BF8">
      <w:pPr>
        <w:tabs>
          <w:tab w:val="right" w:pos="142"/>
          <w:tab w:val="num" w:pos="900"/>
        </w:tabs>
        <w:bidi w:val="0"/>
        <w:ind w:right="-1"/>
        <w:jc w:val="both"/>
      </w:pPr>
      <w:r w:rsidRPr="00E3564A">
        <w:t xml:space="preserve">Total labour underutilization </w:t>
      </w:r>
      <w:r w:rsidR="005369E6">
        <w:t>was</w:t>
      </w:r>
      <w:r w:rsidRPr="00E3564A">
        <w:t xml:space="preserve"> </w:t>
      </w:r>
      <w:r w:rsidR="005369E6">
        <w:t>4</w:t>
      </w:r>
      <w:r w:rsidR="00736E88">
        <w:t>83</w:t>
      </w:r>
      <w:r w:rsidRPr="00E3564A">
        <w:t>,</w:t>
      </w:r>
      <w:r w:rsidR="00736E88">
        <w:t>7</w:t>
      </w:r>
      <w:r w:rsidRPr="00E3564A">
        <w:t>00</w:t>
      </w:r>
      <w:r w:rsidR="00B8210D" w:rsidRPr="00E3564A">
        <w:t xml:space="preserve"> </w:t>
      </w:r>
      <w:r w:rsidR="00511BF8">
        <w:t>individual</w:t>
      </w:r>
      <w:r w:rsidRPr="00E3564A">
        <w:t xml:space="preserve"> including </w:t>
      </w:r>
      <w:r w:rsidR="00736E88">
        <w:t>81</w:t>
      </w:r>
      <w:r w:rsidRPr="00E3564A">
        <w:t>,</w:t>
      </w:r>
      <w:r w:rsidR="00736E88">
        <w:t>5</w:t>
      </w:r>
      <w:r w:rsidRPr="00E3564A">
        <w:t xml:space="preserve">00 discouraged jobseekers and </w:t>
      </w:r>
      <w:r w:rsidR="00736E88">
        <w:t>15</w:t>
      </w:r>
      <w:r w:rsidRPr="00E3564A">
        <w:t>,</w:t>
      </w:r>
      <w:r w:rsidR="0050386E">
        <w:t>6</w:t>
      </w:r>
      <w:r w:rsidRPr="00E3564A">
        <w:t>00 in time-related underemployment.</w:t>
      </w:r>
    </w:p>
    <w:p w:rsidR="00AA3435" w:rsidRPr="00277BC7" w:rsidRDefault="00AA3435" w:rsidP="00B80FE3">
      <w:pPr>
        <w:bidi w:val="0"/>
        <w:ind w:right="-1"/>
        <w:jc w:val="both"/>
        <w:rPr>
          <w:b/>
          <w:bCs/>
          <w:sz w:val="16"/>
          <w:szCs w:val="16"/>
        </w:rPr>
      </w:pPr>
    </w:p>
    <w:p w:rsidR="00AA3435" w:rsidRDefault="00E3564A" w:rsidP="00E96DBB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</w:pPr>
      <w:r w:rsidRPr="00E3564A">
        <w:t xml:space="preserve">Revised ILO Standards </w:t>
      </w:r>
      <w:r w:rsidR="008A3D5F">
        <w:t>(</w:t>
      </w:r>
      <w:r w:rsidRPr="00E3564A">
        <w:t>ICLS 19</w:t>
      </w:r>
      <w:r w:rsidR="008A3D5F">
        <w:rPr>
          <w:vertAlign w:val="superscript"/>
        </w:rPr>
        <w:t>th</w:t>
      </w:r>
      <w:r w:rsidR="008A3D5F">
        <w:t>)</w:t>
      </w:r>
      <w:r>
        <w:t xml:space="preserve"> </w:t>
      </w:r>
      <w:r w:rsidR="00AA3435">
        <w:t>Unemployment</w:t>
      </w:r>
      <w:r w:rsidR="00AA3435" w:rsidRPr="00B80FE3">
        <w:t xml:space="preserve"> Rate</w:t>
      </w:r>
      <w:r w:rsidR="00E96DBB">
        <w:rPr>
          <w:rStyle w:val="FootnoteReference"/>
        </w:rPr>
        <w:footnoteReference w:id="1"/>
      </w:r>
      <w:r w:rsidR="00AA3435" w:rsidRPr="00B80FE3">
        <w:t xml:space="preserve"> by Region, </w:t>
      </w:r>
      <w:r w:rsidR="000944BA">
        <w:t>1</w:t>
      </w:r>
      <w:r w:rsidR="000944BA">
        <w:rPr>
          <w:vertAlign w:val="superscript"/>
        </w:rPr>
        <w:t>st</w:t>
      </w:r>
      <w:r w:rsidR="00C55B39">
        <w:t xml:space="preserve">  Q</w:t>
      </w:r>
      <w:r w:rsidR="00C55B39" w:rsidRPr="004756E4">
        <w:t xml:space="preserve">uarter </w:t>
      </w:r>
      <w:r w:rsidR="00C55B39">
        <w:t xml:space="preserve">of 2018 </w:t>
      </w:r>
      <w:r w:rsidR="003101AD">
        <w:t>–</w:t>
      </w:r>
      <w:r w:rsidR="00C55B39">
        <w:t xml:space="preserve"> </w:t>
      </w:r>
      <w:r w:rsidR="003101AD">
        <w:t>Q</w:t>
      </w:r>
      <w:r w:rsidR="00061F53">
        <w:t>1</w:t>
      </w:r>
      <w:r w:rsidR="003101AD">
        <w:t>-</w:t>
      </w:r>
      <w:r w:rsidR="00061F53">
        <w:t>2020</w:t>
      </w:r>
    </w:p>
    <w:p w:rsidR="00BC47B0" w:rsidRPr="00E3564A" w:rsidRDefault="00BC47B0" w:rsidP="00105F27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16"/>
          <w:szCs w:val="16"/>
        </w:rPr>
      </w:pPr>
    </w:p>
    <w:p w:rsidR="00AA3435" w:rsidRPr="00B80FE3" w:rsidRDefault="00420EF5" w:rsidP="00B76FAD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</w:pPr>
      <w:r>
        <w:rPr>
          <w:noProof/>
          <w:lang w:eastAsia="en-US"/>
        </w:rPr>
        <w:drawing>
          <wp:inline distT="0" distB="0" distL="0" distR="0">
            <wp:extent cx="2867025" cy="167640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1305" w:rsidRPr="00E3564A" w:rsidRDefault="00551305" w:rsidP="00AA3435">
      <w:pPr>
        <w:bidi w:val="0"/>
        <w:ind w:right="-1"/>
        <w:jc w:val="both"/>
        <w:rPr>
          <w:b/>
          <w:bCs/>
          <w:sz w:val="16"/>
          <w:szCs w:val="16"/>
        </w:rPr>
      </w:pPr>
    </w:p>
    <w:p w:rsidR="00247BC9" w:rsidRPr="00B80FE3" w:rsidRDefault="001E59DE" w:rsidP="00551305">
      <w:pPr>
        <w:bidi w:val="0"/>
        <w:ind w:right="-1"/>
        <w:jc w:val="both"/>
        <w:rPr>
          <w:b/>
          <w:bCs/>
        </w:rPr>
      </w:pPr>
      <w:r w:rsidRPr="0003065A">
        <w:rPr>
          <w:b/>
          <w:bCs/>
        </w:rPr>
        <w:t xml:space="preserve">A large gap in </w:t>
      </w:r>
      <w:r w:rsidR="00B80FE3">
        <w:rPr>
          <w:b/>
          <w:bCs/>
        </w:rPr>
        <w:t xml:space="preserve">the </w:t>
      </w:r>
      <w:r w:rsidR="00B80FE3" w:rsidRPr="00B80FE3">
        <w:rPr>
          <w:b/>
          <w:bCs/>
        </w:rPr>
        <w:t>labour force participation rate</w:t>
      </w:r>
      <w:r w:rsidRPr="0003065A">
        <w:rPr>
          <w:b/>
          <w:bCs/>
        </w:rPr>
        <w:t xml:space="preserve"> between males and females</w:t>
      </w:r>
    </w:p>
    <w:p w:rsidR="001E59DE" w:rsidRPr="0003065A" w:rsidRDefault="001E59DE" w:rsidP="001E59DE">
      <w:pPr>
        <w:bidi w:val="0"/>
        <w:ind w:right="-1"/>
        <w:jc w:val="both"/>
        <w:rPr>
          <w:b/>
          <w:bCs/>
          <w:sz w:val="10"/>
          <w:szCs w:val="10"/>
        </w:rPr>
      </w:pPr>
    </w:p>
    <w:p w:rsidR="001E59DE" w:rsidRPr="0003065A" w:rsidRDefault="00B2550B" w:rsidP="0070280D">
      <w:pPr>
        <w:tabs>
          <w:tab w:val="num" w:pos="0"/>
          <w:tab w:val="num" w:pos="900"/>
        </w:tabs>
        <w:bidi w:val="0"/>
        <w:ind w:right="-1"/>
        <w:jc w:val="both"/>
      </w:pPr>
      <w:r>
        <w:t xml:space="preserve">About </w:t>
      </w:r>
      <w:r w:rsidR="001E59DE" w:rsidRPr="0003065A">
        <w:rPr>
          <w:rtl/>
        </w:rPr>
        <w:t>7</w:t>
      </w:r>
      <w:r w:rsidR="00B80FE3">
        <w:t xml:space="preserve"> </w:t>
      </w:r>
      <w:r w:rsidR="001E59DE" w:rsidRPr="0003065A">
        <w:t xml:space="preserve">out of 10 males </w:t>
      </w:r>
      <w:r w:rsidR="00B80FE3" w:rsidRPr="00B80FE3">
        <w:t xml:space="preserve">participated </w:t>
      </w:r>
      <w:r w:rsidR="00B80FE3">
        <w:t>in the labo</w:t>
      </w:r>
      <w:r w:rsidR="007B6BFD">
        <w:t>u</w:t>
      </w:r>
      <w:r w:rsidR="00B80FE3">
        <w:t xml:space="preserve">r force, compared </w:t>
      </w:r>
      <w:r w:rsidR="008D33E7">
        <w:t>with</w:t>
      </w:r>
      <w:r>
        <w:t xml:space="preserve"> </w:t>
      </w:r>
      <w:r w:rsidR="0070280D">
        <w:t xml:space="preserve">about </w:t>
      </w:r>
      <w:r w:rsidR="001E59DE" w:rsidRPr="0003065A">
        <w:t xml:space="preserve">2 </w:t>
      </w:r>
      <w:r w:rsidR="00630464">
        <w:t>out of</w:t>
      </w:r>
      <w:r w:rsidR="00630464" w:rsidRPr="0003065A">
        <w:t xml:space="preserve"> </w:t>
      </w:r>
      <w:r w:rsidR="001E59DE" w:rsidRPr="0003065A">
        <w:t>10 females</w:t>
      </w:r>
      <w:r w:rsidR="001E59DE" w:rsidRPr="0003065A">
        <w:rPr>
          <w:rtl/>
        </w:rPr>
        <w:t>.</w:t>
      </w:r>
    </w:p>
    <w:p w:rsidR="001E59DE" w:rsidRPr="00ED33FA" w:rsidRDefault="001E59DE" w:rsidP="001E59DE">
      <w:pPr>
        <w:tabs>
          <w:tab w:val="num" w:pos="0"/>
          <w:tab w:val="num" w:pos="900"/>
        </w:tabs>
        <w:bidi w:val="0"/>
        <w:ind w:right="-1"/>
        <w:jc w:val="both"/>
        <w:rPr>
          <w:sz w:val="10"/>
          <w:szCs w:val="10"/>
          <w:rtl/>
        </w:rPr>
      </w:pPr>
    </w:p>
    <w:p w:rsidR="001E59DE" w:rsidRDefault="008D2DC2" w:rsidP="0028383D">
      <w:pPr>
        <w:bidi w:val="0"/>
        <w:ind w:right="-1"/>
        <w:jc w:val="both"/>
      </w:pPr>
      <w:r w:rsidRPr="008D2DC2">
        <w:t>Female</w:t>
      </w:r>
      <w:r w:rsidR="00A5677E">
        <w:t>s</w:t>
      </w:r>
      <w:r w:rsidRPr="008D2DC2">
        <w:t xml:space="preserve"> participation in the labo</w:t>
      </w:r>
      <w:r>
        <w:t>u</w:t>
      </w:r>
      <w:r w:rsidRPr="008D2DC2">
        <w:t xml:space="preserve">r force was </w:t>
      </w:r>
      <w:r w:rsidR="001C3BBB">
        <w:t>1</w:t>
      </w:r>
      <w:r w:rsidR="0028383D">
        <w:t>8</w:t>
      </w:r>
      <w:r w:rsidRPr="008D2DC2">
        <w:t>% in Gaza Strip compared with 1</w:t>
      </w:r>
      <w:r w:rsidR="0028383D">
        <w:t>7</w:t>
      </w:r>
      <w:r w:rsidRPr="008D2DC2">
        <w:t>% in the West Bank.</w:t>
      </w:r>
    </w:p>
    <w:p w:rsidR="00ED33FA" w:rsidRPr="00C55B39" w:rsidRDefault="00ED33FA" w:rsidP="00A97741">
      <w:pPr>
        <w:bidi w:val="0"/>
        <w:ind w:right="-1"/>
        <w:jc w:val="both"/>
        <w:rPr>
          <w:sz w:val="12"/>
          <w:szCs w:val="12"/>
        </w:rPr>
      </w:pPr>
    </w:p>
    <w:p w:rsidR="008C1E35" w:rsidRPr="00C25243" w:rsidRDefault="00677DC4" w:rsidP="00511BF8">
      <w:pPr>
        <w:bidi w:val="0"/>
        <w:ind w:right="-1"/>
        <w:jc w:val="both"/>
        <w:rPr>
          <w:b/>
          <w:bCs/>
        </w:rPr>
      </w:pPr>
      <w:r w:rsidRPr="00406C7D">
        <w:rPr>
          <w:b/>
          <w:bCs/>
        </w:rPr>
        <w:t xml:space="preserve">The number of the </w:t>
      </w:r>
      <w:r w:rsidR="008F792A" w:rsidRPr="00406C7D">
        <w:rPr>
          <w:b/>
          <w:bCs/>
        </w:rPr>
        <w:t>employ</w:t>
      </w:r>
      <w:r w:rsidR="008F792A">
        <w:rPr>
          <w:b/>
          <w:bCs/>
        </w:rPr>
        <w:t>ed</w:t>
      </w:r>
      <w:r w:rsidR="00511BF8">
        <w:rPr>
          <w:b/>
          <w:bCs/>
        </w:rPr>
        <w:t xml:space="preserve"> individuals </w:t>
      </w:r>
      <w:r w:rsidR="008F792A">
        <w:rPr>
          <w:b/>
          <w:bCs/>
        </w:rPr>
        <w:t xml:space="preserve"> </w:t>
      </w:r>
      <w:r w:rsidR="00A97741">
        <w:rPr>
          <w:b/>
          <w:bCs/>
        </w:rPr>
        <w:t xml:space="preserve">in the local market </w:t>
      </w:r>
      <w:r w:rsidR="00D501BB">
        <w:rPr>
          <w:b/>
          <w:bCs/>
        </w:rPr>
        <w:t>de</w:t>
      </w:r>
      <w:r w:rsidRPr="00406C7D">
        <w:rPr>
          <w:b/>
          <w:bCs/>
        </w:rPr>
        <w:t>creased</w:t>
      </w:r>
      <w:r w:rsidRPr="0003065A">
        <w:rPr>
          <w:b/>
          <w:bCs/>
        </w:rPr>
        <w:t xml:space="preserve"> </w:t>
      </w:r>
      <w:r w:rsidR="001E59DE" w:rsidRPr="0003065A">
        <w:rPr>
          <w:b/>
          <w:bCs/>
        </w:rPr>
        <w:t xml:space="preserve">between </w:t>
      </w:r>
      <w:r w:rsidR="008C1E35" w:rsidRPr="00C25243">
        <w:rPr>
          <w:b/>
          <w:bCs/>
        </w:rPr>
        <w:t xml:space="preserve">the </w:t>
      </w:r>
      <w:r w:rsidR="00D501BB">
        <w:rPr>
          <w:b/>
          <w:bCs/>
        </w:rPr>
        <w:t>4</w:t>
      </w:r>
      <w:r w:rsidR="00D501BB">
        <w:rPr>
          <w:b/>
          <w:bCs/>
          <w:vertAlign w:val="superscript"/>
        </w:rPr>
        <w:t>th</w:t>
      </w:r>
      <w:r w:rsidR="003101AD">
        <w:rPr>
          <w:b/>
          <w:bCs/>
        </w:rPr>
        <w:t xml:space="preserve"> </w:t>
      </w:r>
      <w:r w:rsidR="008C1E35" w:rsidRPr="00531C06">
        <w:rPr>
          <w:b/>
          <w:bCs/>
        </w:rPr>
        <w:t xml:space="preserve"> </w:t>
      </w:r>
      <w:r w:rsidR="008C1E35" w:rsidRPr="00C25243">
        <w:rPr>
          <w:b/>
          <w:bCs/>
        </w:rPr>
        <w:t>quarter</w:t>
      </w:r>
      <w:r w:rsidR="00D501BB">
        <w:rPr>
          <w:b/>
          <w:bCs/>
        </w:rPr>
        <w:t xml:space="preserve"> 2019</w:t>
      </w:r>
      <w:r w:rsidR="008C1E35" w:rsidRPr="00C25243">
        <w:rPr>
          <w:b/>
          <w:bCs/>
        </w:rPr>
        <w:t xml:space="preserve"> </w:t>
      </w:r>
      <w:r w:rsidR="008C1E35" w:rsidRPr="002C2D10">
        <w:rPr>
          <w:b/>
          <w:bCs/>
        </w:rPr>
        <w:t>and</w:t>
      </w:r>
      <w:r w:rsidR="00AA33AB">
        <w:rPr>
          <w:b/>
          <w:bCs/>
        </w:rPr>
        <w:t xml:space="preserve"> the</w:t>
      </w:r>
      <w:r w:rsidR="008C1E35" w:rsidRPr="002C2D10">
        <w:rPr>
          <w:b/>
          <w:bCs/>
        </w:rPr>
        <w:t xml:space="preserve"> </w:t>
      </w:r>
      <w:r w:rsidR="00D501BB">
        <w:rPr>
          <w:b/>
          <w:bCs/>
        </w:rPr>
        <w:t>1</w:t>
      </w:r>
      <w:r w:rsidR="00D501BB">
        <w:rPr>
          <w:b/>
          <w:bCs/>
          <w:vertAlign w:val="superscript"/>
        </w:rPr>
        <w:t>st</w:t>
      </w:r>
      <w:r w:rsidR="003101AD">
        <w:rPr>
          <w:b/>
          <w:bCs/>
        </w:rPr>
        <w:t xml:space="preserve"> </w:t>
      </w:r>
      <w:r w:rsidR="008C1E35" w:rsidRPr="004756E4">
        <w:rPr>
          <w:b/>
          <w:bCs/>
        </w:rPr>
        <w:t xml:space="preserve"> quarter </w:t>
      </w:r>
      <w:r w:rsidR="00D501BB">
        <w:rPr>
          <w:b/>
          <w:bCs/>
        </w:rPr>
        <w:t>2020</w:t>
      </w:r>
    </w:p>
    <w:p w:rsidR="00247BC9" w:rsidRPr="0003065A" w:rsidRDefault="00247BC9" w:rsidP="00247BC9">
      <w:pPr>
        <w:bidi w:val="0"/>
        <w:ind w:right="-1"/>
        <w:jc w:val="both"/>
        <w:rPr>
          <w:b/>
          <w:bCs/>
          <w:sz w:val="10"/>
          <w:szCs w:val="10"/>
        </w:rPr>
      </w:pPr>
    </w:p>
    <w:p w:rsidR="001E59DE" w:rsidRPr="0003065A" w:rsidRDefault="00B56811" w:rsidP="008B31EA">
      <w:pPr>
        <w:bidi w:val="0"/>
        <w:jc w:val="both"/>
      </w:pPr>
      <w:r w:rsidRPr="00B56811">
        <w:t xml:space="preserve">The number of the </w:t>
      </w:r>
      <w:r w:rsidR="008F792A" w:rsidRPr="00B56811">
        <w:t>e</w:t>
      </w:r>
      <w:r w:rsidR="008F792A">
        <w:t xml:space="preserve">mployed </w:t>
      </w:r>
      <w:r w:rsidR="00511BF8" w:rsidRPr="00406C7D">
        <w:t xml:space="preserve">individuals </w:t>
      </w:r>
      <w:r w:rsidR="00A97741">
        <w:t xml:space="preserve">in the local market </w:t>
      </w:r>
      <w:r w:rsidR="00D501BB">
        <w:t>de</w:t>
      </w:r>
      <w:r w:rsidRPr="00B56811">
        <w:t xml:space="preserve">creased </w:t>
      </w:r>
      <w:r>
        <w:t xml:space="preserve">from </w:t>
      </w:r>
      <w:r w:rsidR="00D501BB">
        <w:t>906</w:t>
      </w:r>
      <w:r w:rsidR="001E59DE" w:rsidRPr="0003065A">
        <w:t xml:space="preserve"> thousand in </w:t>
      </w:r>
      <w:r w:rsidR="003B133C" w:rsidRPr="003B133C">
        <w:t xml:space="preserve">the </w:t>
      </w:r>
      <w:r w:rsidR="00D501BB">
        <w:t>4</w:t>
      </w:r>
      <w:r w:rsidR="00D501BB">
        <w:rPr>
          <w:vertAlign w:val="superscript"/>
        </w:rPr>
        <w:t>th</w:t>
      </w:r>
      <w:r w:rsidR="003101AD">
        <w:t xml:space="preserve"> </w:t>
      </w:r>
      <w:r w:rsidR="003B133C" w:rsidRPr="003B133C">
        <w:t xml:space="preserve"> quarter</w:t>
      </w:r>
      <w:r w:rsidR="003B133C" w:rsidRPr="0003065A">
        <w:t xml:space="preserve"> </w:t>
      </w:r>
      <w:r w:rsidR="003B133C">
        <w:t>201</w:t>
      </w:r>
      <w:r w:rsidR="003101AD">
        <w:t>9</w:t>
      </w:r>
      <w:r w:rsidR="003B133C">
        <w:t xml:space="preserve"> </w:t>
      </w:r>
      <w:r w:rsidR="001E59DE" w:rsidRPr="0003065A">
        <w:t xml:space="preserve">to </w:t>
      </w:r>
      <w:r w:rsidR="00D501BB">
        <w:t>888</w:t>
      </w:r>
      <w:r w:rsidR="001E59DE" w:rsidRPr="0003065A">
        <w:t xml:space="preserve"> thousand in</w:t>
      </w:r>
      <w:r w:rsidR="003B133C">
        <w:t xml:space="preserve"> the</w:t>
      </w:r>
      <w:r w:rsidR="001E59DE" w:rsidRPr="0003065A">
        <w:t xml:space="preserve"> </w:t>
      </w:r>
      <w:r w:rsidR="00D501BB">
        <w:t>1</w:t>
      </w:r>
      <w:r w:rsidR="00D501BB">
        <w:rPr>
          <w:vertAlign w:val="superscript"/>
        </w:rPr>
        <w:t>st</w:t>
      </w:r>
      <w:r w:rsidR="004D7AB8">
        <w:t xml:space="preserve"> </w:t>
      </w:r>
      <w:r w:rsidR="003B133C" w:rsidRPr="003B133C">
        <w:t xml:space="preserve"> quarter </w:t>
      </w:r>
      <w:r w:rsidR="00D501BB">
        <w:t>2020</w:t>
      </w:r>
      <w:r w:rsidR="001E59DE" w:rsidRPr="0003065A">
        <w:t xml:space="preserve">, </w:t>
      </w:r>
      <w:r w:rsidR="004D28FA">
        <w:t xml:space="preserve">which </w:t>
      </w:r>
      <w:r w:rsidR="008B31EA">
        <w:t>de</w:t>
      </w:r>
      <w:r w:rsidR="004D28FA">
        <w:t>crease</w:t>
      </w:r>
      <w:r>
        <w:t>d</w:t>
      </w:r>
      <w:r w:rsidR="004D28FA">
        <w:t xml:space="preserve"> </w:t>
      </w:r>
      <w:r w:rsidR="00A5677E">
        <w:t>i</w:t>
      </w:r>
      <w:r w:rsidR="001E59DE" w:rsidRPr="0003065A">
        <w:t>n Gaza Strip</w:t>
      </w:r>
      <w:r w:rsidR="00A97741">
        <w:t xml:space="preserve"> </w:t>
      </w:r>
      <w:r w:rsidR="001E59DE" w:rsidRPr="0003065A">
        <w:t xml:space="preserve">by </w:t>
      </w:r>
      <w:r w:rsidR="008B31EA">
        <w:t>9.4</w:t>
      </w:r>
      <w:r w:rsidR="00A5677E">
        <w:t xml:space="preserve">%, </w:t>
      </w:r>
      <w:r w:rsidR="008B31EA">
        <w:t>while</w:t>
      </w:r>
      <w:r w:rsidR="00A5677E">
        <w:t xml:space="preserve"> in the West Bank increased by</w:t>
      </w:r>
      <w:r w:rsidR="00A5677E" w:rsidRPr="0003065A">
        <w:t xml:space="preserve"> </w:t>
      </w:r>
      <w:r w:rsidR="00B141D7">
        <w:t>1.</w:t>
      </w:r>
      <w:r w:rsidR="008B31EA">
        <w:t>2</w:t>
      </w:r>
      <w:r w:rsidR="00A5677E" w:rsidRPr="0003065A">
        <w:t xml:space="preserve">%, </w:t>
      </w:r>
      <w:r w:rsidR="001E59DE" w:rsidRPr="0003065A">
        <w:t>for the same period</w:t>
      </w:r>
      <w:r w:rsidR="001E59DE" w:rsidRPr="0003065A">
        <w:rPr>
          <w:rtl/>
        </w:rPr>
        <w:t>.</w:t>
      </w:r>
    </w:p>
    <w:p w:rsidR="001E59DE" w:rsidRPr="00E3564A" w:rsidRDefault="001E59DE" w:rsidP="00D861B6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16"/>
          <w:szCs w:val="16"/>
        </w:rPr>
      </w:pPr>
    </w:p>
    <w:p w:rsidR="001E59DE" w:rsidRDefault="00F87773" w:rsidP="002851FB">
      <w:pPr>
        <w:bidi w:val="0"/>
        <w:jc w:val="both"/>
      </w:pPr>
      <w:r w:rsidRPr="00E876E1">
        <w:t xml:space="preserve">The services </w:t>
      </w:r>
      <w:r w:rsidR="00F42D20" w:rsidRPr="00E876E1">
        <w:t xml:space="preserve">and other branches </w:t>
      </w:r>
      <w:r w:rsidR="00E96DBB" w:rsidRPr="00E876E1">
        <w:t>activity</w:t>
      </w:r>
      <w:r w:rsidR="00E876E1" w:rsidRPr="00E876E1">
        <w:t xml:space="preserve"> (included education and health)</w:t>
      </w:r>
      <w:r w:rsidRPr="00E876E1">
        <w:t xml:space="preserve"> was </w:t>
      </w:r>
      <w:r w:rsidRPr="00406C7D">
        <w:t>the biggest e</w:t>
      </w:r>
      <w:r>
        <w:t>mployer in the local market</w:t>
      </w:r>
      <w:r w:rsidR="001E59DE" w:rsidRPr="0003065A">
        <w:t>, w</w:t>
      </w:r>
      <w:r>
        <w:t>here the percentage of employment</w:t>
      </w:r>
      <w:r w:rsidR="004D28FA">
        <w:t xml:space="preserve"> </w:t>
      </w:r>
      <w:r>
        <w:t>was</w:t>
      </w:r>
      <w:r w:rsidR="001E59DE" w:rsidRPr="0003065A">
        <w:t xml:space="preserve"> more than one third of </w:t>
      </w:r>
      <w:r w:rsidR="009C37A0">
        <w:t xml:space="preserve">the </w:t>
      </w:r>
      <w:r>
        <w:t>employed</w:t>
      </w:r>
      <w:r w:rsidR="001E59DE" w:rsidRPr="0003065A">
        <w:t xml:space="preserve"> </w:t>
      </w:r>
      <w:r w:rsidR="003C6CF0">
        <w:t xml:space="preserve">individuals </w:t>
      </w:r>
      <w:r w:rsidR="001E59DE" w:rsidRPr="0003065A">
        <w:t xml:space="preserve">in the West Bank compared with more than </w:t>
      </w:r>
      <w:r w:rsidR="009C37A0">
        <w:t xml:space="preserve">the </w:t>
      </w:r>
      <w:r w:rsidR="001E59DE" w:rsidRPr="0003065A">
        <w:t>half in Gaza Strip</w:t>
      </w:r>
      <w:r w:rsidR="001E59DE" w:rsidRPr="0003065A">
        <w:rPr>
          <w:rtl/>
        </w:rPr>
        <w:t>.</w:t>
      </w:r>
    </w:p>
    <w:p w:rsidR="007F3BE5" w:rsidRPr="00EC1000" w:rsidRDefault="007F3BE5" w:rsidP="007F3BE5">
      <w:pPr>
        <w:bidi w:val="0"/>
        <w:jc w:val="both"/>
        <w:rPr>
          <w:sz w:val="6"/>
          <w:szCs w:val="6"/>
        </w:rPr>
      </w:pPr>
    </w:p>
    <w:p w:rsidR="00DE61CA" w:rsidRDefault="00DE61CA" w:rsidP="00D96FAB">
      <w:pPr>
        <w:bidi w:val="0"/>
        <w:jc w:val="both"/>
        <w:rPr>
          <w:b/>
          <w:bCs/>
        </w:rPr>
      </w:pPr>
      <w:r w:rsidRPr="00406C7D">
        <w:lastRenderedPageBreak/>
        <w:t xml:space="preserve">The average weekly hours worked by wage employees in the West Bank was </w:t>
      </w:r>
      <w:r w:rsidR="00B35346">
        <w:t>4</w:t>
      </w:r>
      <w:r w:rsidR="00D96FAB">
        <w:t>3</w:t>
      </w:r>
      <w:r w:rsidR="00B35346">
        <w:t>.2</w:t>
      </w:r>
      <w:r w:rsidRPr="00406C7D">
        <w:t xml:space="preserve"> hour</w:t>
      </w:r>
      <w:r w:rsidR="00B35346">
        <w:t xml:space="preserve">s </w:t>
      </w:r>
      <w:r w:rsidRPr="00406C7D">
        <w:t xml:space="preserve">compared with </w:t>
      </w:r>
      <w:r w:rsidR="00D96FAB">
        <w:t>36.0</w:t>
      </w:r>
      <w:r w:rsidRPr="00406C7D">
        <w:t xml:space="preserve"> hour</w:t>
      </w:r>
      <w:r w:rsidR="009C37A0">
        <w:t>s</w:t>
      </w:r>
      <w:r w:rsidRPr="00406C7D">
        <w:t xml:space="preserve"> in Gaza Strip</w:t>
      </w:r>
      <w:r>
        <w:t>.</w:t>
      </w:r>
      <w:r w:rsidRPr="00406C7D">
        <w:t xml:space="preserve"> </w:t>
      </w:r>
      <w:r>
        <w:t>And</w:t>
      </w:r>
      <w:r w:rsidRPr="00406C7D">
        <w:t xml:space="preserve"> </w:t>
      </w:r>
      <w:r>
        <w:t>t</w:t>
      </w:r>
      <w:r w:rsidRPr="00406C7D">
        <w:t xml:space="preserve">he average number of days worked per month was </w:t>
      </w:r>
      <w:r w:rsidR="004D7AB8">
        <w:t>2</w:t>
      </w:r>
      <w:r w:rsidR="00171350">
        <w:t>2</w:t>
      </w:r>
      <w:r w:rsidR="004D7AB8">
        <w:t>.</w:t>
      </w:r>
      <w:r w:rsidR="00D96FAB">
        <w:t>6</w:t>
      </w:r>
      <w:r>
        <w:t xml:space="preserve"> day</w:t>
      </w:r>
      <w:r w:rsidRPr="00406C7D">
        <w:t xml:space="preserve"> </w:t>
      </w:r>
      <w:r>
        <w:t xml:space="preserve">in </w:t>
      </w:r>
      <w:r w:rsidR="00D96FAB">
        <w:t>the</w:t>
      </w:r>
      <w:r w:rsidR="00B35346">
        <w:t xml:space="preserve"> </w:t>
      </w:r>
      <w:r>
        <w:t xml:space="preserve">West Bank </w:t>
      </w:r>
      <w:r w:rsidRPr="00406C7D">
        <w:t xml:space="preserve">and </w:t>
      </w:r>
      <w:r w:rsidR="00D96FAB">
        <w:t xml:space="preserve">22.1 day </w:t>
      </w:r>
      <w:r>
        <w:t>Gaza Strip.</w:t>
      </w:r>
    </w:p>
    <w:p w:rsidR="00DE61CA" w:rsidRPr="00EC1000" w:rsidRDefault="00DE61CA" w:rsidP="00C55B39">
      <w:pPr>
        <w:bidi w:val="0"/>
        <w:jc w:val="both"/>
        <w:rPr>
          <w:sz w:val="4"/>
          <w:szCs w:val="4"/>
          <w:vertAlign w:val="superscript"/>
        </w:rPr>
      </w:pPr>
    </w:p>
    <w:p w:rsidR="00247BC9" w:rsidRDefault="007C5844" w:rsidP="00EC1000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</w:rPr>
      </w:pPr>
      <w:r>
        <w:rPr>
          <w:b/>
          <w:bCs/>
        </w:rPr>
        <w:t>T</w:t>
      </w:r>
      <w:r w:rsidR="0003065A" w:rsidRPr="0003065A">
        <w:rPr>
          <w:b/>
          <w:bCs/>
        </w:rPr>
        <w:t xml:space="preserve">he number of </w:t>
      </w:r>
      <w:r>
        <w:rPr>
          <w:b/>
          <w:bCs/>
        </w:rPr>
        <w:t>employed</w:t>
      </w:r>
      <w:r w:rsidR="0003065A" w:rsidRPr="0003065A">
        <w:rPr>
          <w:b/>
          <w:bCs/>
        </w:rPr>
        <w:t xml:space="preserve"> </w:t>
      </w:r>
      <w:r w:rsidR="007F3BE5">
        <w:rPr>
          <w:b/>
          <w:bCs/>
        </w:rPr>
        <w:t xml:space="preserve">individuals </w:t>
      </w:r>
      <w:r w:rsidR="0003065A" w:rsidRPr="0003065A">
        <w:rPr>
          <w:b/>
          <w:bCs/>
        </w:rPr>
        <w:t>in</w:t>
      </w:r>
      <w:r w:rsidR="00171350">
        <w:rPr>
          <w:b/>
          <w:bCs/>
        </w:rPr>
        <w:t xml:space="preserve"> </w:t>
      </w:r>
      <w:r w:rsidR="004125E6" w:rsidRPr="004125E6">
        <w:rPr>
          <w:b/>
          <w:bCs/>
        </w:rPr>
        <w:t>Israeli settlements</w:t>
      </w:r>
      <w:r w:rsidR="004125E6">
        <w:rPr>
          <w:b/>
          <w:bCs/>
        </w:rPr>
        <w:t xml:space="preserve"> </w:t>
      </w:r>
      <w:r w:rsidR="00866C40">
        <w:rPr>
          <w:b/>
          <w:bCs/>
        </w:rPr>
        <w:t>de</w:t>
      </w:r>
      <w:r w:rsidR="00171350">
        <w:rPr>
          <w:b/>
          <w:bCs/>
        </w:rPr>
        <w:t>creased</w:t>
      </w:r>
      <w:r>
        <w:rPr>
          <w:b/>
          <w:bCs/>
        </w:rPr>
        <w:t xml:space="preserve"> by</w:t>
      </w:r>
      <w:r w:rsidR="005369E6">
        <w:rPr>
          <w:b/>
          <w:bCs/>
        </w:rPr>
        <w:t xml:space="preserve"> about </w:t>
      </w:r>
      <w:r w:rsidR="00EC1000">
        <w:rPr>
          <w:b/>
          <w:bCs/>
        </w:rPr>
        <w:t>3</w:t>
      </w:r>
      <w:r w:rsidR="005369E6">
        <w:rPr>
          <w:b/>
          <w:bCs/>
        </w:rPr>
        <w:t>,</w:t>
      </w:r>
      <w:r w:rsidR="00B16C47">
        <w:rPr>
          <w:b/>
          <w:bCs/>
        </w:rPr>
        <w:t>000</w:t>
      </w:r>
      <w:r w:rsidR="00F710C1">
        <w:rPr>
          <w:b/>
          <w:bCs/>
        </w:rPr>
        <w:t xml:space="preserve"> </w:t>
      </w:r>
      <w:r w:rsidR="0003065A" w:rsidRPr="0003065A">
        <w:rPr>
          <w:b/>
          <w:bCs/>
        </w:rPr>
        <w:t xml:space="preserve">between </w:t>
      </w:r>
      <w:r w:rsidR="00AA33AB" w:rsidRPr="00C25243">
        <w:rPr>
          <w:b/>
          <w:bCs/>
        </w:rPr>
        <w:t xml:space="preserve">the </w:t>
      </w:r>
      <w:r w:rsidR="00D96FAB">
        <w:rPr>
          <w:b/>
          <w:bCs/>
        </w:rPr>
        <w:t>4</w:t>
      </w:r>
      <w:r w:rsidR="00D96FAB">
        <w:rPr>
          <w:b/>
          <w:bCs/>
          <w:vertAlign w:val="superscript"/>
        </w:rPr>
        <w:t>th</w:t>
      </w:r>
      <w:r w:rsidR="004D7AB8">
        <w:rPr>
          <w:b/>
          <w:bCs/>
        </w:rPr>
        <w:t xml:space="preserve"> </w:t>
      </w:r>
      <w:r w:rsidR="006D1F83" w:rsidRPr="00C25243">
        <w:rPr>
          <w:b/>
          <w:bCs/>
        </w:rPr>
        <w:t>quarter</w:t>
      </w:r>
      <w:r w:rsidR="00D96FAB">
        <w:rPr>
          <w:b/>
          <w:bCs/>
        </w:rPr>
        <w:t xml:space="preserve"> 2019</w:t>
      </w:r>
      <w:r w:rsidR="006D1F83" w:rsidRPr="00C25243">
        <w:rPr>
          <w:b/>
          <w:bCs/>
        </w:rPr>
        <w:t xml:space="preserve"> </w:t>
      </w:r>
      <w:r w:rsidR="00AA33AB" w:rsidRPr="002C2D10">
        <w:rPr>
          <w:b/>
          <w:bCs/>
        </w:rPr>
        <w:t xml:space="preserve">and </w:t>
      </w:r>
      <w:r w:rsidR="00AA33AB">
        <w:rPr>
          <w:b/>
          <w:bCs/>
        </w:rPr>
        <w:t xml:space="preserve">the </w:t>
      </w:r>
      <w:r w:rsidR="00D96FAB">
        <w:rPr>
          <w:b/>
          <w:bCs/>
        </w:rPr>
        <w:t>1</w:t>
      </w:r>
      <w:r w:rsidR="00D96FAB">
        <w:rPr>
          <w:b/>
          <w:bCs/>
          <w:vertAlign w:val="superscript"/>
        </w:rPr>
        <w:t>st</w:t>
      </w:r>
      <w:r w:rsidR="004D7AB8">
        <w:rPr>
          <w:b/>
          <w:bCs/>
        </w:rPr>
        <w:t xml:space="preserve"> </w:t>
      </w:r>
      <w:r w:rsidR="00AA33AB" w:rsidRPr="004756E4">
        <w:rPr>
          <w:b/>
          <w:bCs/>
        </w:rPr>
        <w:t xml:space="preserve">quarter </w:t>
      </w:r>
      <w:r w:rsidR="00D96FAB">
        <w:rPr>
          <w:b/>
          <w:bCs/>
        </w:rPr>
        <w:t>2020</w:t>
      </w:r>
    </w:p>
    <w:p w:rsidR="00F710C1" w:rsidRPr="0003065A" w:rsidRDefault="00F710C1" w:rsidP="00F710C1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10"/>
          <w:szCs w:val="10"/>
        </w:rPr>
      </w:pPr>
    </w:p>
    <w:p w:rsidR="0003065A" w:rsidRPr="0003065A" w:rsidRDefault="0003065A" w:rsidP="00770B3A">
      <w:pPr>
        <w:bidi w:val="0"/>
        <w:jc w:val="both"/>
      </w:pPr>
      <w:r w:rsidRPr="0003065A">
        <w:t xml:space="preserve">The number of </w:t>
      </w:r>
      <w:r w:rsidR="00F710C1" w:rsidRPr="004125E6">
        <w:t xml:space="preserve">employed </w:t>
      </w:r>
      <w:r w:rsidR="007F3BE5" w:rsidRPr="007F3BE5">
        <w:t>individuals</w:t>
      </w:r>
      <w:r w:rsidR="007F3BE5">
        <w:rPr>
          <w:b/>
          <w:bCs/>
        </w:rPr>
        <w:t xml:space="preserve"> </w:t>
      </w:r>
      <w:r w:rsidRPr="0003065A">
        <w:t xml:space="preserve">in Israel and </w:t>
      </w:r>
      <w:r w:rsidR="004125E6" w:rsidRPr="00406C7D">
        <w:t>Israeli sett</w:t>
      </w:r>
      <w:r w:rsidR="005369E6">
        <w:t>l</w:t>
      </w:r>
      <w:r w:rsidR="004125E6" w:rsidRPr="00406C7D">
        <w:t>ements</w:t>
      </w:r>
      <w:r w:rsidR="004125E6" w:rsidRPr="0003065A">
        <w:t xml:space="preserve"> </w:t>
      </w:r>
      <w:r w:rsidRPr="0003065A">
        <w:t xml:space="preserve">was about </w:t>
      </w:r>
      <w:r w:rsidR="00337809">
        <w:t>1</w:t>
      </w:r>
      <w:r w:rsidR="008634AE">
        <w:t>2</w:t>
      </w:r>
      <w:r w:rsidR="00E96DBB">
        <w:t>0</w:t>
      </w:r>
      <w:r w:rsidRPr="0003065A">
        <w:t xml:space="preserve"> thousand in </w:t>
      </w:r>
      <w:r w:rsidR="00892216">
        <w:t>the</w:t>
      </w:r>
      <w:r w:rsidR="00892216" w:rsidRPr="0003065A">
        <w:t xml:space="preserve"> </w:t>
      </w:r>
      <w:r w:rsidR="008634AE">
        <w:t>1</w:t>
      </w:r>
      <w:r w:rsidR="008634AE">
        <w:rPr>
          <w:vertAlign w:val="superscript"/>
        </w:rPr>
        <w:t>st</w:t>
      </w:r>
      <w:r w:rsidR="004D7AB8">
        <w:t xml:space="preserve"> </w:t>
      </w:r>
      <w:r w:rsidR="00892216" w:rsidRPr="003B133C">
        <w:t xml:space="preserve"> quarter </w:t>
      </w:r>
      <w:r w:rsidR="00770B3A">
        <w:rPr>
          <w:rFonts w:hint="cs"/>
          <w:rtl/>
        </w:rPr>
        <w:t>2020</w:t>
      </w:r>
      <w:r w:rsidRPr="0003065A">
        <w:t xml:space="preserve">, </w:t>
      </w:r>
      <w:r w:rsidR="00F710C1">
        <w:t xml:space="preserve">and </w:t>
      </w:r>
      <w:r w:rsidRPr="0003065A">
        <w:t xml:space="preserve">the largest share of those </w:t>
      </w:r>
      <w:r w:rsidR="00F710C1">
        <w:t xml:space="preserve"> </w:t>
      </w:r>
      <w:r w:rsidR="00CA20AD">
        <w:t xml:space="preserve">who </w:t>
      </w:r>
      <w:r w:rsidR="004125E6">
        <w:t xml:space="preserve">had a </w:t>
      </w:r>
      <w:r w:rsidR="00F710C1" w:rsidRPr="00406C7D">
        <w:t>permit</w:t>
      </w:r>
      <w:r w:rsidR="00140F41">
        <w:t xml:space="preserve"> as it reached 72</w:t>
      </w:r>
      <w:r w:rsidR="00140F41" w:rsidRPr="0003065A">
        <w:t>%</w:t>
      </w:r>
      <w:r w:rsidR="00F710C1">
        <w:t xml:space="preserve">, and </w:t>
      </w:r>
      <w:r w:rsidR="008634AE">
        <w:t>19</w:t>
      </w:r>
      <w:r w:rsidR="004D28FA" w:rsidRPr="0003065A">
        <w:t>%</w:t>
      </w:r>
      <w:r w:rsidR="00F710C1">
        <w:t xml:space="preserve"> </w:t>
      </w:r>
      <w:r w:rsidR="0031032F">
        <w:t xml:space="preserve">for who </w:t>
      </w:r>
      <w:r w:rsidR="00F710C1" w:rsidRPr="00406C7D">
        <w:t>worked without any permit</w:t>
      </w:r>
      <w:r w:rsidR="00F710C1">
        <w:t>, while</w:t>
      </w:r>
      <w:r w:rsidRPr="0003065A">
        <w:t xml:space="preserve"> </w:t>
      </w:r>
      <w:r w:rsidR="0031032F">
        <w:t xml:space="preserve">the percentage of </w:t>
      </w:r>
      <w:r w:rsidR="00F710C1">
        <w:t xml:space="preserve">who </w:t>
      </w:r>
      <w:r w:rsidR="00F710C1" w:rsidRPr="00406C7D">
        <w:t>had an Israeli identity card or foreign passport</w:t>
      </w:r>
      <w:r w:rsidR="00F710C1" w:rsidRPr="0003065A">
        <w:t xml:space="preserve"> </w:t>
      </w:r>
      <w:r w:rsidR="00B84511">
        <w:t>w</w:t>
      </w:r>
      <w:r w:rsidR="0031032F">
        <w:t>as</w:t>
      </w:r>
      <w:r w:rsidR="00B84511">
        <w:t xml:space="preserve"> </w:t>
      </w:r>
      <w:r w:rsidRPr="0003065A">
        <w:t xml:space="preserve">about </w:t>
      </w:r>
      <w:r w:rsidR="008634AE">
        <w:t>9</w:t>
      </w:r>
      <w:r w:rsidRPr="0003065A">
        <w:t>%</w:t>
      </w:r>
      <w:r w:rsidRPr="0003065A">
        <w:rPr>
          <w:rtl/>
        </w:rPr>
        <w:t>.</w:t>
      </w:r>
    </w:p>
    <w:p w:rsidR="0003065A" w:rsidRPr="008D2DC2" w:rsidRDefault="0003065A" w:rsidP="0003065A">
      <w:pPr>
        <w:bidi w:val="0"/>
        <w:jc w:val="both"/>
        <w:rPr>
          <w:sz w:val="10"/>
          <w:szCs w:val="10"/>
        </w:rPr>
      </w:pPr>
    </w:p>
    <w:p w:rsidR="004125E6" w:rsidRPr="00406C7D" w:rsidRDefault="00DB5C35" w:rsidP="001C0015">
      <w:pPr>
        <w:tabs>
          <w:tab w:val="num" w:pos="0"/>
          <w:tab w:val="num" w:pos="900"/>
        </w:tabs>
        <w:bidi w:val="0"/>
        <w:ind w:right="-1"/>
        <w:jc w:val="both"/>
        <w:rPr>
          <w:color w:val="000000"/>
        </w:rPr>
      </w:pPr>
      <w:r>
        <w:rPr>
          <w:color w:val="000000"/>
        </w:rPr>
        <w:t>The number of employed individuals</w:t>
      </w:r>
      <w:r w:rsidR="004125E6" w:rsidRPr="00406C7D">
        <w:rPr>
          <w:color w:val="000000"/>
        </w:rPr>
        <w:t xml:space="preserve"> in Israeli settlements </w:t>
      </w:r>
      <w:r w:rsidR="004125E6">
        <w:rPr>
          <w:color w:val="000000"/>
        </w:rPr>
        <w:t>was</w:t>
      </w:r>
      <w:r w:rsidR="005369E6">
        <w:rPr>
          <w:color w:val="000000"/>
        </w:rPr>
        <w:t xml:space="preserve"> about</w:t>
      </w:r>
      <w:r w:rsidR="004125E6" w:rsidRPr="00406C7D">
        <w:rPr>
          <w:color w:val="000000"/>
        </w:rPr>
        <w:t xml:space="preserve"> </w:t>
      </w:r>
      <w:r w:rsidR="008634AE">
        <w:t>21</w:t>
      </w:r>
      <w:r w:rsidR="004125E6">
        <w:t xml:space="preserve"> </w:t>
      </w:r>
      <w:r w:rsidR="004125E6" w:rsidRPr="0003065A">
        <w:t xml:space="preserve">thousand </w:t>
      </w:r>
      <w:r w:rsidR="004125E6" w:rsidRPr="00406C7D">
        <w:t xml:space="preserve">in </w:t>
      </w:r>
      <w:r w:rsidR="004F494A">
        <w:t>the</w:t>
      </w:r>
      <w:r w:rsidR="00CA20AD" w:rsidRPr="00CA20AD">
        <w:t xml:space="preserve"> </w:t>
      </w:r>
      <w:r w:rsidR="008634AE">
        <w:t>1</w:t>
      </w:r>
      <w:r w:rsidR="008634AE">
        <w:rPr>
          <w:vertAlign w:val="superscript"/>
        </w:rPr>
        <w:t>st</w:t>
      </w:r>
      <w:r w:rsidR="004F494A" w:rsidRPr="0003065A">
        <w:t xml:space="preserve"> </w:t>
      </w:r>
      <w:r w:rsidR="008634AE">
        <w:t xml:space="preserve">quarter </w:t>
      </w:r>
      <w:r w:rsidR="001C0015">
        <w:rPr>
          <w:rFonts w:hint="cs"/>
          <w:rtl/>
        </w:rPr>
        <w:t>2020</w:t>
      </w:r>
      <w:r w:rsidR="00CA20AD">
        <w:t xml:space="preserve"> </w:t>
      </w:r>
      <w:r w:rsidR="004E57CB">
        <w:t>compared with 2</w:t>
      </w:r>
      <w:r w:rsidR="008634AE">
        <w:t>4</w:t>
      </w:r>
      <w:r w:rsidR="004E57CB">
        <w:t xml:space="preserve"> thousand in the </w:t>
      </w:r>
      <w:r w:rsidR="008634AE">
        <w:t>4</w:t>
      </w:r>
      <w:r w:rsidR="008634AE">
        <w:rPr>
          <w:vertAlign w:val="superscript"/>
        </w:rPr>
        <w:t>th</w:t>
      </w:r>
      <w:r w:rsidR="004D7AB8">
        <w:t xml:space="preserve"> </w:t>
      </w:r>
      <w:r w:rsidR="004F494A" w:rsidRPr="003B133C">
        <w:t xml:space="preserve">quarter </w:t>
      </w:r>
      <w:r w:rsidR="001C0015">
        <w:rPr>
          <w:rFonts w:hint="cs"/>
          <w:rtl/>
        </w:rPr>
        <w:t>2019</w:t>
      </w:r>
      <w:r w:rsidR="004125E6" w:rsidRPr="00406C7D">
        <w:t>.</w:t>
      </w:r>
    </w:p>
    <w:p w:rsidR="0003065A" w:rsidRPr="008D2DC2" w:rsidRDefault="0003065A" w:rsidP="00247BC9">
      <w:pPr>
        <w:bidi w:val="0"/>
        <w:ind w:right="-1"/>
        <w:jc w:val="both"/>
        <w:rPr>
          <w:sz w:val="10"/>
          <w:szCs w:val="10"/>
        </w:rPr>
      </w:pPr>
    </w:p>
    <w:p w:rsidR="0003065A" w:rsidRPr="0003065A" w:rsidRDefault="0003065A" w:rsidP="00224BDE">
      <w:pPr>
        <w:bidi w:val="0"/>
        <w:jc w:val="both"/>
      </w:pPr>
      <w:r w:rsidRPr="0003065A">
        <w:t xml:space="preserve">The construction </w:t>
      </w:r>
      <w:r w:rsidR="00224BDE">
        <w:t>activity</w:t>
      </w:r>
      <w:r w:rsidRPr="0003065A">
        <w:t xml:space="preserve"> recorded the highest employment rate in </w:t>
      </w:r>
      <w:r w:rsidR="00400A29" w:rsidRPr="00406C7D">
        <w:t>Israel and Israeli settlements</w:t>
      </w:r>
      <w:r w:rsidRPr="0003065A">
        <w:t xml:space="preserve">, which </w:t>
      </w:r>
      <w:r w:rsidR="00400A29">
        <w:t>was</w:t>
      </w:r>
      <w:r w:rsidRPr="0003065A">
        <w:t xml:space="preserve"> </w:t>
      </w:r>
      <w:r w:rsidR="004F494A">
        <w:t>6</w:t>
      </w:r>
      <w:r w:rsidR="006B5F40">
        <w:t>3</w:t>
      </w:r>
      <w:r w:rsidRPr="0003065A">
        <w:t xml:space="preserve">% of the total Palestinian </w:t>
      </w:r>
      <w:r w:rsidR="00400A29">
        <w:t>employment</w:t>
      </w:r>
      <w:r w:rsidRPr="0003065A">
        <w:t xml:space="preserve"> in</w:t>
      </w:r>
      <w:r w:rsidR="00400A29">
        <w:t xml:space="preserve"> </w:t>
      </w:r>
      <w:r w:rsidR="00400A29" w:rsidRPr="00406C7D">
        <w:t>Israel and Israeli settlements</w:t>
      </w:r>
      <w:r w:rsidRPr="0003065A">
        <w:rPr>
          <w:rtl/>
        </w:rPr>
        <w:t>.</w:t>
      </w:r>
    </w:p>
    <w:p w:rsidR="0003065A" w:rsidRPr="00C55B39" w:rsidRDefault="0003065A" w:rsidP="00C55B39">
      <w:pPr>
        <w:bidi w:val="0"/>
        <w:jc w:val="both"/>
        <w:rPr>
          <w:sz w:val="16"/>
          <w:szCs w:val="16"/>
          <w:vertAlign w:val="superscript"/>
          <w:rtl/>
        </w:rPr>
      </w:pPr>
    </w:p>
    <w:p w:rsidR="0003065A" w:rsidRPr="0003065A" w:rsidRDefault="00400A29" w:rsidP="006B5F40">
      <w:pPr>
        <w:bidi w:val="0"/>
        <w:ind w:right="-1"/>
        <w:jc w:val="both"/>
        <w:rPr>
          <w:b/>
          <w:bCs/>
        </w:rPr>
      </w:pPr>
      <w:r w:rsidRPr="00406C7D">
        <w:t xml:space="preserve">The average daily wage for the wage employees </w:t>
      </w:r>
      <w:r w:rsidR="0003065A" w:rsidRPr="0003065A">
        <w:t xml:space="preserve">in Israel and </w:t>
      </w:r>
      <w:r w:rsidRPr="00406C7D">
        <w:rPr>
          <w:color w:val="000000"/>
        </w:rPr>
        <w:t>Israeli settlements</w:t>
      </w:r>
      <w:r w:rsidRPr="0003065A">
        <w:t xml:space="preserve"> </w:t>
      </w:r>
      <w:r w:rsidR="006B5F40">
        <w:t>in</w:t>
      </w:r>
      <w:r>
        <w:t xml:space="preserve">creased </w:t>
      </w:r>
      <w:r w:rsidR="004F494A" w:rsidRPr="004F494A">
        <w:t xml:space="preserve">between the </w:t>
      </w:r>
      <w:r w:rsidR="006B5F40">
        <w:t>4</w:t>
      </w:r>
      <w:r w:rsidR="006B5F40">
        <w:rPr>
          <w:vertAlign w:val="superscript"/>
        </w:rPr>
        <w:t>th</w:t>
      </w:r>
      <w:r w:rsidR="00773CD5">
        <w:t xml:space="preserve"> </w:t>
      </w:r>
      <w:r w:rsidR="004F494A" w:rsidRPr="004F494A">
        <w:t>quarter</w:t>
      </w:r>
      <w:r w:rsidR="00DB5C35">
        <w:t xml:space="preserve"> 201</w:t>
      </w:r>
      <w:r w:rsidR="00773CD5">
        <w:t>9</w:t>
      </w:r>
      <w:r w:rsidR="004F494A" w:rsidRPr="004F494A">
        <w:t xml:space="preserve"> and the </w:t>
      </w:r>
      <w:r w:rsidR="006B5F40">
        <w:t>1</w:t>
      </w:r>
      <w:r w:rsidR="006B5F40">
        <w:rPr>
          <w:vertAlign w:val="superscript"/>
        </w:rPr>
        <w:t>st</w:t>
      </w:r>
      <w:r w:rsidR="00773CD5">
        <w:t xml:space="preserve"> </w:t>
      </w:r>
      <w:r w:rsidR="004F494A" w:rsidRPr="004F494A">
        <w:t xml:space="preserve">quarter </w:t>
      </w:r>
      <w:r w:rsidR="006B5F40">
        <w:t>2020</w:t>
      </w:r>
      <w:r w:rsidR="004F494A" w:rsidRPr="004F494A">
        <w:t xml:space="preserve"> </w:t>
      </w:r>
      <w:r w:rsidR="00ED33FA">
        <w:t xml:space="preserve">from </w:t>
      </w:r>
      <w:r w:rsidR="00323BE2">
        <w:t>2</w:t>
      </w:r>
      <w:r w:rsidR="006B5F40">
        <w:t>55</w:t>
      </w:r>
      <w:r w:rsidR="00ED33FA">
        <w:t xml:space="preserve"> NIS to </w:t>
      </w:r>
      <w:r w:rsidR="00323BE2">
        <w:t>2</w:t>
      </w:r>
      <w:r w:rsidR="006B5F40">
        <w:t>6</w:t>
      </w:r>
      <w:r w:rsidR="00323BE2">
        <w:t>5</w:t>
      </w:r>
      <w:r w:rsidR="00ED33FA">
        <w:t xml:space="preserve"> NIS</w:t>
      </w:r>
      <w:r w:rsidR="009E70EF">
        <w:t xml:space="preserve"> respectively</w:t>
      </w:r>
      <w:r w:rsidR="00445A4E">
        <w:t>.</w:t>
      </w:r>
    </w:p>
    <w:p w:rsidR="00ED33FA" w:rsidRPr="008D2DC2" w:rsidRDefault="00ED33FA" w:rsidP="00BC47B0">
      <w:pPr>
        <w:bidi w:val="0"/>
        <w:ind w:right="-1"/>
        <w:jc w:val="both"/>
        <w:rPr>
          <w:b/>
          <w:bCs/>
          <w:sz w:val="10"/>
          <w:szCs w:val="10"/>
        </w:rPr>
      </w:pPr>
    </w:p>
    <w:p w:rsidR="0003065A" w:rsidRPr="0003065A" w:rsidRDefault="007831B8" w:rsidP="008D76A8">
      <w:pPr>
        <w:bidi w:val="0"/>
        <w:ind w:right="-1"/>
        <w:jc w:val="both"/>
        <w:rPr>
          <w:b/>
          <w:bCs/>
        </w:rPr>
      </w:pPr>
      <w:r>
        <w:rPr>
          <w:b/>
          <w:bCs/>
        </w:rPr>
        <w:t xml:space="preserve">About </w:t>
      </w:r>
      <w:r w:rsidR="0003065A" w:rsidRPr="0003065A">
        <w:rPr>
          <w:b/>
          <w:bCs/>
          <w:rtl/>
        </w:rPr>
        <w:t>7</w:t>
      </w:r>
      <w:r w:rsidR="00445A4E">
        <w:rPr>
          <w:b/>
          <w:bCs/>
        </w:rPr>
        <w:t xml:space="preserve"> </w:t>
      </w:r>
      <w:r w:rsidR="0003065A" w:rsidRPr="0003065A">
        <w:rPr>
          <w:b/>
          <w:bCs/>
        </w:rPr>
        <w:t xml:space="preserve">out of 10 </w:t>
      </w:r>
      <w:r w:rsidR="00A15961" w:rsidRPr="00A15961">
        <w:rPr>
          <w:b/>
          <w:bCs/>
        </w:rPr>
        <w:t xml:space="preserve">employed individuals </w:t>
      </w:r>
      <w:r w:rsidR="008D76A8">
        <w:rPr>
          <w:b/>
          <w:bCs/>
        </w:rPr>
        <w:t>we</w:t>
      </w:r>
      <w:r w:rsidR="008D76A8" w:rsidRPr="0003065A">
        <w:rPr>
          <w:b/>
          <w:bCs/>
        </w:rPr>
        <w:t xml:space="preserve">re </w:t>
      </w:r>
      <w:r w:rsidR="0052617E">
        <w:rPr>
          <w:b/>
          <w:bCs/>
        </w:rPr>
        <w:t>wage</w:t>
      </w:r>
      <w:r w:rsidR="00445A4E" w:rsidRPr="00445A4E">
        <w:rPr>
          <w:b/>
          <w:bCs/>
        </w:rPr>
        <w:t xml:space="preserve"> </w:t>
      </w:r>
      <w:r w:rsidR="00445A4E" w:rsidRPr="0003065A">
        <w:rPr>
          <w:b/>
          <w:bCs/>
        </w:rPr>
        <w:t>employees</w:t>
      </w:r>
    </w:p>
    <w:p w:rsidR="00247BC9" w:rsidRPr="0003065A" w:rsidRDefault="00247BC9" w:rsidP="00247BC9">
      <w:pPr>
        <w:bidi w:val="0"/>
        <w:ind w:right="-1"/>
        <w:jc w:val="both"/>
        <w:rPr>
          <w:b/>
          <w:bCs/>
          <w:sz w:val="10"/>
          <w:szCs w:val="10"/>
        </w:rPr>
      </w:pPr>
    </w:p>
    <w:p w:rsidR="0003065A" w:rsidRDefault="00323BE2" w:rsidP="006B5F40">
      <w:pPr>
        <w:bidi w:val="0"/>
        <w:jc w:val="both"/>
      </w:pPr>
      <w:r>
        <w:t>7</w:t>
      </w:r>
      <w:r w:rsidR="006B5F40">
        <w:t>3</w:t>
      </w:r>
      <w:r w:rsidR="005369E6">
        <w:t xml:space="preserve">% </w:t>
      </w:r>
      <w:r w:rsidR="00A15961" w:rsidRPr="00406C7D">
        <w:t xml:space="preserve">of employed individuals </w:t>
      </w:r>
      <w:r w:rsidR="00CA0816">
        <w:t>we</w:t>
      </w:r>
      <w:r w:rsidR="00CA0816" w:rsidRPr="00406C7D">
        <w:t xml:space="preserve">re </w:t>
      </w:r>
      <w:r w:rsidR="00A15961" w:rsidRPr="00406C7D">
        <w:t>wage employees</w:t>
      </w:r>
      <w:r w:rsidR="0003065A" w:rsidRPr="0003065A">
        <w:t>, 2</w:t>
      </w:r>
      <w:r w:rsidR="006B5F40">
        <w:t>3</w:t>
      </w:r>
      <w:r w:rsidR="0003065A" w:rsidRPr="0003065A">
        <w:t xml:space="preserve">% </w:t>
      </w:r>
      <w:r w:rsidR="00CA0816">
        <w:t>we</w:t>
      </w:r>
      <w:r w:rsidR="00CA0816" w:rsidRPr="00406C7D">
        <w:t xml:space="preserve">re </w:t>
      </w:r>
      <w:r w:rsidR="00A15961" w:rsidRPr="00406C7D">
        <w:t>self-employed</w:t>
      </w:r>
      <w:r w:rsidR="00A15961">
        <w:t xml:space="preserve"> and</w:t>
      </w:r>
      <w:r w:rsidR="00A15961" w:rsidRPr="00A15961">
        <w:t xml:space="preserve"> </w:t>
      </w:r>
      <w:r w:rsidR="00A15961" w:rsidRPr="00406C7D">
        <w:t>employers</w:t>
      </w:r>
      <w:r w:rsidR="0003065A" w:rsidRPr="0003065A">
        <w:t xml:space="preserve">, </w:t>
      </w:r>
      <w:r w:rsidR="00A15961">
        <w:t>while</w:t>
      </w:r>
      <w:r w:rsidR="0003065A" w:rsidRPr="0003065A">
        <w:t xml:space="preserve"> </w:t>
      </w:r>
      <w:r w:rsidR="006B5F40">
        <w:t>4</w:t>
      </w:r>
      <w:r w:rsidR="0003065A" w:rsidRPr="0003065A">
        <w:t xml:space="preserve">% </w:t>
      </w:r>
      <w:r w:rsidR="00CA0816">
        <w:t>we</w:t>
      </w:r>
      <w:r w:rsidR="00CA0816" w:rsidRPr="0003065A">
        <w:t xml:space="preserve">re </w:t>
      </w:r>
      <w:r w:rsidR="00A15961" w:rsidRPr="00406C7D">
        <w:t>unpaid family members</w:t>
      </w:r>
      <w:r w:rsidR="0003065A" w:rsidRPr="0003065A">
        <w:rPr>
          <w:rtl/>
        </w:rPr>
        <w:t>.</w:t>
      </w:r>
    </w:p>
    <w:p w:rsidR="0003065A" w:rsidRPr="009C55F1" w:rsidRDefault="00AF2F9F" w:rsidP="002A70ED">
      <w:pPr>
        <w:bidi w:val="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B8532A">
        <w:rPr>
          <w:b/>
          <w:bCs/>
        </w:rPr>
        <w:t>About h</w:t>
      </w:r>
      <w:r w:rsidR="0003065A" w:rsidRPr="009C55F1">
        <w:rPr>
          <w:b/>
          <w:bCs/>
        </w:rPr>
        <w:t>alf of</w:t>
      </w:r>
      <w:r w:rsidR="009C55F1" w:rsidRPr="009C55F1">
        <w:rPr>
          <w:b/>
          <w:bCs/>
        </w:rPr>
        <w:t xml:space="preserve"> the</w:t>
      </w:r>
      <w:r w:rsidR="0003065A" w:rsidRPr="009C55F1">
        <w:rPr>
          <w:b/>
          <w:bCs/>
        </w:rPr>
        <w:t xml:space="preserve"> </w:t>
      </w:r>
      <w:r w:rsidR="009C55F1" w:rsidRPr="009C55F1">
        <w:rPr>
          <w:b/>
          <w:bCs/>
        </w:rPr>
        <w:t xml:space="preserve">wage employees in the private sector </w:t>
      </w:r>
      <w:r w:rsidR="002A70ED">
        <w:rPr>
          <w:b/>
          <w:bCs/>
        </w:rPr>
        <w:t>we</w:t>
      </w:r>
      <w:r w:rsidR="005913A8">
        <w:rPr>
          <w:b/>
          <w:bCs/>
        </w:rPr>
        <w:t xml:space="preserve">re </w:t>
      </w:r>
      <w:r w:rsidR="009C55F1" w:rsidRPr="009C55F1">
        <w:rPr>
          <w:b/>
          <w:bCs/>
        </w:rPr>
        <w:t>hired without any contract</w:t>
      </w:r>
      <w:r w:rsidR="005913A8">
        <w:rPr>
          <w:b/>
          <w:bCs/>
        </w:rPr>
        <w:t>.</w:t>
      </w:r>
    </w:p>
    <w:p w:rsidR="0003065A" w:rsidRPr="00E3564A" w:rsidRDefault="0003065A" w:rsidP="0003065A">
      <w:pPr>
        <w:tabs>
          <w:tab w:val="num" w:pos="900"/>
        </w:tabs>
        <w:bidi w:val="0"/>
        <w:ind w:left="-142" w:right="-1" w:hanging="142"/>
        <w:jc w:val="center"/>
        <w:rPr>
          <w:b/>
          <w:bCs/>
          <w:sz w:val="10"/>
          <w:szCs w:val="10"/>
        </w:rPr>
      </w:pPr>
    </w:p>
    <w:p w:rsidR="0003065A" w:rsidRPr="005369E6" w:rsidRDefault="006B5F40" w:rsidP="00AF2F9F">
      <w:pPr>
        <w:bidi w:val="0"/>
        <w:jc w:val="both"/>
      </w:pPr>
      <w:r>
        <w:t>54</w:t>
      </w:r>
      <w:r w:rsidR="005D7221" w:rsidRPr="005369E6">
        <w:t>%</w:t>
      </w:r>
      <w:r w:rsidR="00445A4E" w:rsidRPr="005369E6">
        <w:t xml:space="preserve"> </w:t>
      </w:r>
      <w:r w:rsidR="0003065A" w:rsidRPr="005369E6">
        <w:t xml:space="preserve">of </w:t>
      </w:r>
      <w:r w:rsidR="009C55F1" w:rsidRPr="005369E6">
        <w:t xml:space="preserve">wage employees </w:t>
      </w:r>
      <w:r w:rsidR="0003065A" w:rsidRPr="005369E6">
        <w:t xml:space="preserve">in the private sector </w:t>
      </w:r>
      <w:r w:rsidR="00CA0816">
        <w:t>we</w:t>
      </w:r>
      <w:r w:rsidR="005913A8">
        <w:t xml:space="preserve">re </w:t>
      </w:r>
      <w:r w:rsidR="009C55F1" w:rsidRPr="005369E6">
        <w:t>hired without any contract</w:t>
      </w:r>
      <w:r w:rsidR="0003065A" w:rsidRPr="005369E6">
        <w:t xml:space="preserve">, and </w:t>
      </w:r>
      <w:r>
        <w:t>30</w:t>
      </w:r>
      <w:r w:rsidR="0003065A" w:rsidRPr="005369E6">
        <w:t xml:space="preserve">% </w:t>
      </w:r>
      <w:r w:rsidR="009C55F1" w:rsidRPr="005369E6">
        <w:t>of wage employees contribute</w:t>
      </w:r>
      <w:r w:rsidR="008D76A8">
        <w:t>d</w:t>
      </w:r>
      <w:r w:rsidR="009C55F1" w:rsidRPr="005369E6">
        <w:t xml:space="preserve"> to a pension fund</w:t>
      </w:r>
      <w:r w:rsidR="0003065A" w:rsidRPr="005369E6">
        <w:t xml:space="preserve">. In contrast, </w:t>
      </w:r>
      <w:r w:rsidR="00AF2F9F">
        <w:t>more</w:t>
      </w:r>
      <w:r w:rsidR="0003065A" w:rsidRPr="005369E6">
        <w:t xml:space="preserve"> than half </w:t>
      </w:r>
      <w:r w:rsidR="00ED2948" w:rsidRPr="005369E6">
        <w:t xml:space="preserve">of wage </w:t>
      </w:r>
      <w:r w:rsidR="00023654">
        <w:t xml:space="preserve">female </w:t>
      </w:r>
      <w:r w:rsidR="00ED2948" w:rsidRPr="005369E6">
        <w:t>employees (</w:t>
      </w:r>
      <w:r>
        <w:t>53</w:t>
      </w:r>
      <w:r w:rsidR="00ED2948" w:rsidRPr="005369E6">
        <w:t xml:space="preserve">%) </w:t>
      </w:r>
      <w:r w:rsidR="002A70ED">
        <w:t>g</w:t>
      </w:r>
      <w:r w:rsidR="001B3FA6">
        <w:t>o</w:t>
      </w:r>
      <w:r w:rsidR="002A70ED">
        <w:t>t a</w:t>
      </w:r>
      <w:r w:rsidR="002A70ED" w:rsidRPr="005369E6">
        <w:t xml:space="preserve"> </w:t>
      </w:r>
      <w:r w:rsidR="00ED2948" w:rsidRPr="005369E6">
        <w:t>paid maternity leave.</w:t>
      </w:r>
    </w:p>
    <w:p w:rsidR="007831B8" w:rsidRPr="007831B8" w:rsidRDefault="007831B8" w:rsidP="007831B8">
      <w:pPr>
        <w:bidi w:val="0"/>
        <w:jc w:val="both"/>
        <w:rPr>
          <w:rtl/>
        </w:rPr>
      </w:pPr>
    </w:p>
    <w:p w:rsidR="00247BC9" w:rsidRDefault="006C7A81" w:rsidP="00FC1869">
      <w:pPr>
        <w:bidi w:val="0"/>
        <w:jc w:val="both"/>
        <w:rPr>
          <w:b/>
          <w:bCs/>
        </w:rPr>
      </w:pPr>
      <w:r>
        <w:rPr>
          <w:rFonts w:cs="Arial"/>
          <w:b/>
          <w:bCs/>
        </w:rPr>
        <w:t>29</w:t>
      </w:r>
      <w:r w:rsidR="00F36B68">
        <w:rPr>
          <w:rFonts w:cs="Arial"/>
          <w:b/>
          <w:bCs/>
        </w:rPr>
        <w:t xml:space="preserve">% </w:t>
      </w:r>
      <w:r w:rsidR="00F36B68" w:rsidRPr="003F799B">
        <w:rPr>
          <w:b/>
          <w:bCs/>
        </w:rPr>
        <w:t>of wage employees in the private sector receive</w:t>
      </w:r>
      <w:r w:rsidR="00F36B68">
        <w:rPr>
          <w:b/>
          <w:bCs/>
        </w:rPr>
        <w:t>d</w:t>
      </w:r>
      <w:r w:rsidR="00F36B68" w:rsidRPr="003F799B">
        <w:rPr>
          <w:b/>
          <w:bCs/>
        </w:rPr>
        <w:t xml:space="preserve"> less than </w:t>
      </w:r>
      <w:r w:rsidR="00F36B68">
        <w:rPr>
          <w:b/>
          <w:bCs/>
        </w:rPr>
        <w:t xml:space="preserve">the </w:t>
      </w:r>
      <w:r w:rsidR="00F36B68" w:rsidRPr="003F799B">
        <w:rPr>
          <w:b/>
          <w:bCs/>
        </w:rPr>
        <w:t>minimum wage</w:t>
      </w:r>
      <w:r w:rsidR="00F36B68">
        <w:rPr>
          <w:b/>
          <w:bCs/>
        </w:rPr>
        <w:t xml:space="preserve"> (1,450 NIS) in Palestine</w:t>
      </w:r>
    </w:p>
    <w:p w:rsidR="00F36B68" w:rsidRPr="00E3564A" w:rsidRDefault="00F36B68" w:rsidP="00F36B68">
      <w:pPr>
        <w:bidi w:val="0"/>
        <w:jc w:val="both"/>
        <w:rPr>
          <w:b/>
          <w:bCs/>
          <w:sz w:val="10"/>
          <w:szCs w:val="10"/>
        </w:rPr>
      </w:pPr>
    </w:p>
    <w:p w:rsidR="0003065A" w:rsidRPr="005369E6" w:rsidRDefault="00093CA0" w:rsidP="00FB02D4">
      <w:pPr>
        <w:bidi w:val="0"/>
        <w:jc w:val="both"/>
      </w:pPr>
      <w:r>
        <w:t>The percentage of</w:t>
      </w:r>
      <w:r w:rsidR="0003065A">
        <w:t xml:space="preserve"> </w:t>
      </w:r>
      <w:r w:rsidR="00BA10DA" w:rsidRPr="00BA10DA">
        <w:t xml:space="preserve">wage employees </w:t>
      </w:r>
      <w:r w:rsidR="00BA10DA" w:rsidRPr="005369E6">
        <w:t xml:space="preserve">in the private sector </w:t>
      </w:r>
      <w:r w:rsidR="002A70ED">
        <w:t xml:space="preserve">who </w:t>
      </w:r>
      <w:r w:rsidR="00BA10DA" w:rsidRPr="005369E6">
        <w:t>received less than the minimum wage</w:t>
      </w:r>
      <w:r w:rsidR="0003065A" w:rsidRPr="005369E6">
        <w:t xml:space="preserve"> in the West Bank</w:t>
      </w:r>
      <w:r w:rsidRPr="005369E6">
        <w:t xml:space="preserve"> </w:t>
      </w:r>
      <w:r w:rsidR="006C7A81">
        <w:t>remained at the same level</w:t>
      </w:r>
      <w:r w:rsidRPr="005369E6">
        <w:t xml:space="preserve"> about</w:t>
      </w:r>
      <w:r w:rsidR="0003065A" w:rsidRPr="005369E6">
        <w:t xml:space="preserve"> </w:t>
      </w:r>
      <w:r w:rsidR="006C7A81">
        <w:t>9</w:t>
      </w:r>
      <w:r w:rsidR="0003065A" w:rsidRPr="005369E6">
        <w:t>%</w:t>
      </w:r>
      <w:r w:rsidR="006E11E3">
        <w:t xml:space="preserve"> in </w:t>
      </w:r>
      <w:r w:rsidR="006E11E3" w:rsidRPr="003B133C">
        <w:t xml:space="preserve">the </w:t>
      </w:r>
      <w:r w:rsidR="006C7A81">
        <w:t>4</w:t>
      </w:r>
      <w:r w:rsidR="006C7A81">
        <w:rPr>
          <w:vertAlign w:val="superscript"/>
        </w:rPr>
        <w:t>th</w:t>
      </w:r>
      <w:r w:rsidR="006E11E3">
        <w:t xml:space="preserve"> </w:t>
      </w:r>
      <w:r w:rsidR="006E11E3" w:rsidRPr="003B133C">
        <w:t xml:space="preserve"> quarter</w:t>
      </w:r>
      <w:r w:rsidR="006E11E3" w:rsidRPr="0003065A">
        <w:t xml:space="preserve"> </w:t>
      </w:r>
      <w:r w:rsidR="006E11E3">
        <w:t>2019</w:t>
      </w:r>
      <w:r w:rsidR="0003065A" w:rsidRPr="005369E6">
        <w:t xml:space="preserve"> </w:t>
      </w:r>
      <w:r w:rsidR="006C7A81">
        <w:t>and</w:t>
      </w:r>
      <w:r w:rsidR="006E11E3" w:rsidRPr="0003065A">
        <w:t xml:space="preserve"> </w:t>
      </w:r>
      <w:r w:rsidR="006C7A81">
        <w:t>1</w:t>
      </w:r>
      <w:r w:rsidR="006C7A81">
        <w:rPr>
          <w:vertAlign w:val="superscript"/>
        </w:rPr>
        <w:t>st</w:t>
      </w:r>
      <w:r w:rsidR="00D259EF" w:rsidRPr="005369E6">
        <w:t>quarter</w:t>
      </w:r>
      <w:r w:rsidRPr="005369E6">
        <w:t xml:space="preserve"> </w:t>
      </w:r>
      <w:r w:rsidR="006C7A81">
        <w:t>2020</w:t>
      </w:r>
      <w:r w:rsidR="0003065A" w:rsidRPr="005369E6">
        <w:t xml:space="preserve">, </w:t>
      </w:r>
      <w:r w:rsidR="00B8532A" w:rsidRPr="005369E6">
        <w:t>while</w:t>
      </w:r>
      <w:r w:rsidR="0003065A" w:rsidRPr="005369E6">
        <w:t xml:space="preserve"> the percentage in Gaza Strip </w:t>
      </w:r>
      <w:r w:rsidR="00FB02D4">
        <w:t>in</w:t>
      </w:r>
      <w:r w:rsidR="0003065A" w:rsidRPr="005369E6">
        <w:t xml:space="preserve">creased from </w:t>
      </w:r>
      <w:r w:rsidR="00FB02D4">
        <w:t>80</w:t>
      </w:r>
      <w:r w:rsidR="0003065A" w:rsidRPr="005369E6">
        <w:t xml:space="preserve">% to </w:t>
      </w:r>
      <w:r w:rsidR="00C95463">
        <w:t>8</w:t>
      </w:r>
      <w:r w:rsidR="00FB02D4">
        <w:t>1</w:t>
      </w:r>
      <w:r w:rsidR="0003065A" w:rsidRPr="005369E6">
        <w:t>% during the same period</w:t>
      </w:r>
      <w:r w:rsidR="0003065A" w:rsidRPr="005369E6">
        <w:rPr>
          <w:rtl/>
        </w:rPr>
        <w:t>.</w:t>
      </w:r>
    </w:p>
    <w:p w:rsidR="0003065A" w:rsidRPr="005369E6" w:rsidRDefault="0003065A" w:rsidP="0003065A">
      <w:pPr>
        <w:bidi w:val="0"/>
        <w:jc w:val="both"/>
        <w:rPr>
          <w:rtl/>
        </w:rPr>
      </w:pPr>
    </w:p>
    <w:p w:rsidR="0003065A" w:rsidRPr="005369E6" w:rsidRDefault="0058282E" w:rsidP="0058282E">
      <w:pPr>
        <w:bidi w:val="0"/>
        <w:jc w:val="both"/>
      </w:pPr>
      <w:r w:rsidRPr="005369E6">
        <w:t>T</w:t>
      </w:r>
      <w:r w:rsidR="0003065A" w:rsidRPr="005369E6">
        <w:t>he</w:t>
      </w:r>
      <w:r>
        <w:rPr>
          <w:rFonts w:hint="cs"/>
          <w:rtl/>
        </w:rPr>
        <w:t xml:space="preserve"> </w:t>
      </w:r>
      <w:r w:rsidR="0003065A" w:rsidRPr="005369E6">
        <w:t xml:space="preserve">monthly </w:t>
      </w:r>
      <w:r w:rsidRPr="005369E6">
        <w:t xml:space="preserve">minimum </w:t>
      </w:r>
      <w:r w:rsidR="0003065A" w:rsidRPr="005369E6">
        <w:t xml:space="preserve">wage </w:t>
      </w:r>
      <w:r>
        <w:t>in</w:t>
      </w:r>
      <w:r w:rsidR="00417BB5" w:rsidRPr="005369E6">
        <w:t xml:space="preserve"> </w:t>
      </w:r>
      <w:r w:rsidRPr="005369E6">
        <w:t xml:space="preserve">Gaza Strip </w:t>
      </w:r>
      <w:r>
        <w:t>was</w:t>
      </w:r>
      <w:r w:rsidR="0003065A" w:rsidRPr="005369E6">
        <w:t xml:space="preserve"> </w:t>
      </w:r>
      <w:r w:rsidR="00D259EF" w:rsidRPr="005369E6">
        <w:t>6</w:t>
      </w:r>
      <w:r w:rsidR="00FB02D4">
        <w:t>41</w:t>
      </w:r>
      <w:r w:rsidR="00BA10DA" w:rsidRPr="005369E6">
        <w:t xml:space="preserve"> NIS</w:t>
      </w:r>
      <w:r w:rsidR="0003065A" w:rsidRPr="005369E6">
        <w:t xml:space="preserve"> compared with 1,</w:t>
      </w:r>
      <w:r w:rsidR="006E11E3">
        <w:t>0</w:t>
      </w:r>
      <w:r w:rsidR="00FB02D4">
        <w:t>50</w:t>
      </w:r>
      <w:r w:rsidR="0003065A" w:rsidRPr="005369E6">
        <w:t xml:space="preserve"> </w:t>
      </w:r>
      <w:r w:rsidR="0077550B" w:rsidRPr="005369E6">
        <w:t xml:space="preserve">NIS </w:t>
      </w:r>
      <w:r w:rsidR="0003065A" w:rsidRPr="005369E6">
        <w:t>in the West Bank</w:t>
      </w:r>
      <w:r w:rsidR="0003065A" w:rsidRPr="005369E6">
        <w:rPr>
          <w:rtl/>
        </w:rPr>
        <w:t>.</w:t>
      </w:r>
    </w:p>
    <w:p w:rsidR="0003065A" w:rsidRPr="005369E6" w:rsidRDefault="0003065A" w:rsidP="005369E6">
      <w:pPr>
        <w:bidi w:val="0"/>
        <w:jc w:val="both"/>
      </w:pPr>
    </w:p>
    <w:p w:rsidR="00611F17" w:rsidRDefault="009A6CE9" w:rsidP="006E78EC">
      <w:pPr>
        <w:bidi w:val="0"/>
        <w:rPr>
          <w:b/>
          <w:bCs/>
        </w:rPr>
      </w:pPr>
      <w:r w:rsidRPr="009A6CE9">
        <w:rPr>
          <w:b/>
          <w:bCs/>
        </w:rPr>
        <w:t>Child labo</w:t>
      </w:r>
      <w:r w:rsidR="00691CDF">
        <w:rPr>
          <w:b/>
          <w:bCs/>
        </w:rPr>
        <w:t>u</w:t>
      </w:r>
      <w:r w:rsidRPr="009A6CE9">
        <w:rPr>
          <w:b/>
          <w:bCs/>
        </w:rPr>
        <w:t xml:space="preserve">r </w:t>
      </w:r>
      <w:r w:rsidR="00F47743">
        <w:rPr>
          <w:b/>
          <w:bCs/>
        </w:rPr>
        <w:t xml:space="preserve">Rate </w:t>
      </w:r>
      <w:r w:rsidRPr="009A6CE9">
        <w:rPr>
          <w:b/>
          <w:bCs/>
        </w:rPr>
        <w:t xml:space="preserve">in the West Bank </w:t>
      </w:r>
      <w:r w:rsidR="006E78EC">
        <w:rPr>
          <w:b/>
          <w:bCs/>
        </w:rPr>
        <w:t>wa</w:t>
      </w:r>
      <w:r w:rsidR="006E78EC" w:rsidRPr="009A6CE9">
        <w:rPr>
          <w:b/>
          <w:bCs/>
        </w:rPr>
        <w:t xml:space="preserve">s </w:t>
      </w:r>
      <w:r w:rsidRPr="009A6CE9">
        <w:rPr>
          <w:b/>
          <w:bCs/>
        </w:rPr>
        <w:t>higher than in the Gaza Strip</w:t>
      </w:r>
    </w:p>
    <w:p w:rsidR="00611F17" w:rsidRDefault="004E1C78" w:rsidP="004E1C78">
      <w:pPr>
        <w:bidi w:val="0"/>
        <w:jc w:val="both"/>
        <w:rPr>
          <w:rtl/>
        </w:rPr>
      </w:pPr>
      <w:r>
        <w:rPr>
          <w:rFonts w:cs="Arial"/>
        </w:rPr>
        <w:t>2</w:t>
      </w:r>
      <w:r w:rsidR="008E7DE3">
        <w:rPr>
          <w:rFonts w:cs="Arial"/>
        </w:rPr>
        <w:t xml:space="preserve">% </w:t>
      </w:r>
      <w:r w:rsidR="0003065A">
        <w:t xml:space="preserve">of children </w:t>
      </w:r>
      <w:r w:rsidR="00875C28">
        <w:t xml:space="preserve">aged </w:t>
      </w:r>
      <w:r w:rsidR="0003065A">
        <w:t xml:space="preserve">(10-17 years) were employed </w:t>
      </w:r>
      <w:r w:rsidR="00417BB5">
        <w:t>(</w:t>
      </w:r>
      <w:r>
        <w:t>3</w:t>
      </w:r>
      <w:r w:rsidR="0003065A">
        <w:t xml:space="preserve">% in the West Bank and </w:t>
      </w:r>
      <w:r w:rsidR="00BF5365">
        <w:t>1</w:t>
      </w:r>
      <w:r w:rsidR="0003065A">
        <w:t>% in Gaza Strip</w:t>
      </w:r>
      <w:r w:rsidR="00417BB5">
        <w:t>)</w:t>
      </w:r>
      <w:r w:rsidR="0003065A">
        <w:rPr>
          <w:rFonts w:cs="Arial"/>
          <w:rtl/>
        </w:rPr>
        <w:t>.</w:t>
      </w:r>
    </w:p>
    <w:p w:rsidR="00247BC9" w:rsidRDefault="00247BC9" w:rsidP="00445A4E">
      <w:pPr>
        <w:bidi w:val="0"/>
        <w:ind w:left="142" w:right="-99"/>
      </w:pPr>
    </w:p>
    <w:p w:rsidR="00E3564A" w:rsidRDefault="00E3564A" w:rsidP="008E7DE3">
      <w:pPr>
        <w:bidi w:val="0"/>
        <w:ind w:right="-99"/>
      </w:pPr>
    </w:p>
    <w:p w:rsidR="00E3564A" w:rsidRDefault="00E3564A" w:rsidP="00E3564A">
      <w:pPr>
        <w:bidi w:val="0"/>
        <w:ind w:right="-99"/>
      </w:pPr>
    </w:p>
    <w:p w:rsidR="00E3564A" w:rsidRDefault="00E3564A" w:rsidP="00E3564A">
      <w:pPr>
        <w:bidi w:val="0"/>
        <w:ind w:right="-99"/>
      </w:pPr>
    </w:p>
    <w:p w:rsidR="00E3564A" w:rsidRDefault="00E3564A" w:rsidP="00E3564A">
      <w:pPr>
        <w:bidi w:val="0"/>
        <w:ind w:right="-99"/>
      </w:pPr>
    </w:p>
    <w:p w:rsidR="00E3564A" w:rsidRDefault="00E3564A" w:rsidP="00E3564A">
      <w:pPr>
        <w:bidi w:val="0"/>
        <w:ind w:right="-99"/>
      </w:pPr>
    </w:p>
    <w:p w:rsidR="00247BC9" w:rsidRPr="00406C7D" w:rsidRDefault="00247BC9" w:rsidP="00247BC9">
      <w:pPr>
        <w:bidi w:val="0"/>
        <w:ind w:left="20"/>
        <w:jc w:val="both"/>
        <w:rPr>
          <w:b/>
          <w:bCs/>
        </w:rPr>
      </w:pPr>
    </w:p>
    <w:p w:rsidR="00247BC9" w:rsidRPr="00406C7D" w:rsidRDefault="00247BC9" w:rsidP="00247BC9">
      <w:pPr>
        <w:tabs>
          <w:tab w:val="num" w:pos="900"/>
        </w:tabs>
        <w:bidi w:val="0"/>
        <w:ind w:right="-1"/>
        <w:rPr>
          <w:b/>
          <w:bCs/>
        </w:rPr>
      </w:pPr>
    </w:p>
    <w:p w:rsidR="00F60697" w:rsidRPr="00247BC9" w:rsidRDefault="00F60697" w:rsidP="00247BC9">
      <w:pPr>
        <w:bidi w:val="0"/>
        <w:rPr>
          <w:rtl/>
        </w:rPr>
      </w:pPr>
    </w:p>
    <w:sectPr w:rsidR="00F60697" w:rsidRPr="00247BC9" w:rsidSect="00B76FAD">
      <w:headerReference w:type="default" r:id="rId9"/>
      <w:footerReference w:type="even" r:id="rId10"/>
      <w:footerReference w:type="default" r:id="rId11"/>
      <w:pgSz w:w="11906" w:h="16838"/>
      <w:pgMar w:top="1418" w:right="1134" w:bottom="1276" w:left="1134" w:header="709" w:footer="397" w:gutter="0"/>
      <w:pgNumType w:start="7"/>
      <w:cols w:space="282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7B" w:rsidRDefault="00F1387B" w:rsidP="004A4144">
      <w:r>
        <w:separator/>
      </w:r>
    </w:p>
  </w:endnote>
  <w:endnote w:type="continuationSeparator" w:id="0">
    <w:p w:rsidR="00F1387B" w:rsidRDefault="00F1387B" w:rsidP="004A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02" w:rsidRDefault="005C5202" w:rsidP="00CF788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02" w:rsidRDefault="005C5202" w:rsidP="00646389">
    <w:pPr>
      <w:pStyle w:val="Footer"/>
      <w:jc w:val="cen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7B" w:rsidRDefault="00F1387B" w:rsidP="004A4144">
      <w:r>
        <w:separator/>
      </w:r>
    </w:p>
  </w:footnote>
  <w:footnote w:type="continuationSeparator" w:id="0">
    <w:p w:rsidR="00F1387B" w:rsidRDefault="00F1387B" w:rsidP="004A4144">
      <w:r>
        <w:continuationSeparator/>
      </w:r>
    </w:p>
  </w:footnote>
  <w:footnote w:id="1">
    <w:p w:rsidR="00E96DBB" w:rsidRPr="00ED33FA" w:rsidRDefault="00E96DBB" w:rsidP="00E96DBB">
      <w:pPr>
        <w:pStyle w:val="FootnoteText"/>
        <w:bidi w:val="0"/>
        <w:rPr>
          <w:sz w:val="18"/>
          <w:szCs w:val="18"/>
        </w:rPr>
      </w:pPr>
      <w:r w:rsidRPr="00ED33FA">
        <w:rPr>
          <w:rStyle w:val="FootnoteReference"/>
          <w:sz w:val="18"/>
          <w:szCs w:val="18"/>
        </w:rPr>
        <w:footnoteRef/>
      </w:r>
      <w:r w:rsidRPr="00ED33FA">
        <w:rPr>
          <w:sz w:val="18"/>
          <w:szCs w:val="18"/>
          <w:rtl/>
        </w:rPr>
        <w:t xml:space="preserve"> </w:t>
      </w:r>
      <w:r>
        <w:rPr>
          <w:sz w:val="18"/>
          <w:szCs w:val="18"/>
        </w:rPr>
        <w:t>Return back to users caution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02" w:rsidRPr="00C55B39" w:rsidRDefault="005C5202" w:rsidP="00311D20">
    <w:pPr>
      <w:bidi w:val="0"/>
      <w:ind w:right="-30"/>
      <w:jc w:val="center"/>
      <w:rPr>
        <w:b/>
        <w:bCs/>
        <w:sz w:val="10"/>
        <w:szCs w:val="10"/>
      </w:rPr>
    </w:pPr>
  </w:p>
  <w:p w:rsidR="005C5202" w:rsidRPr="00C55B39" w:rsidRDefault="005C5202" w:rsidP="00DF2305">
    <w:pPr>
      <w:bidi w:val="0"/>
      <w:jc w:val="center"/>
      <w:rPr>
        <w:rFonts w:cs="Simplified Arabic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7709"/>
    <w:rsid w:val="00023654"/>
    <w:rsid w:val="000236D6"/>
    <w:rsid w:val="00023EBF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6A99"/>
    <w:rsid w:val="000402E9"/>
    <w:rsid w:val="000452A4"/>
    <w:rsid w:val="00045ECF"/>
    <w:rsid w:val="00046CD0"/>
    <w:rsid w:val="0005016D"/>
    <w:rsid w:val="000551C7"/>
    <w:rsid w:val="0005630B"/>
    <w:rsid w:val="00056A77"/>
    <w:rsid w:val="00061F53"/>
    <w:rsid w:val="00062292"/>
    <w:rsid w:val="00063154"/>
    <w:rsid w:val="00063455"/>
    <w:rsid w:val="0006417A"/>
    <w:rsid w:val="00065794"/>
    <w:rsid w:val="00072351"/>
    <w:rsid w:val="0007446D"/>
    <w:rsid w:val="00075A4B"/>
    <w:rsid w:val="0007766D"/>
    <w:rsid w:val="0007778F"/>
    <w:rsid w:val="00081227"/>
    <w:rsid w:val="000818BE"/>
    <w:rsid w:val="00084918"/>
    <w:rsid w:val="00087B7F"/>
    <w:rsid w:val="00087D64"/>
    <w:rsid w:val="00091A30"/>
    <w:rsid w:val="00093CA0"/>
    <w:rsid w:val="000944BA"/>
    <w:rsid w:val="00094B37"/>
    <w:rsid w:val="00097F46"/>
    <w:rsid w:val="000A1F38"/>
    <w:rsid w:val="000A2ED6"/>
    <w:rsid w:val="000A30F6"/>
    <w:rsid w:val="000A6162"/>
    <w:rsid w:val="000A6830"/>
    <w:rsid w:val="000B302E"/>
    <w:rsid w:val="000B4511"/>
    <w:rsid w:val="000B4F29"/>
    <w:rsid w:val="000B621F"/>
    <w:rsid w:val="000B691D"/>
    <w:rsid w:val="000C1932"/>
    <w:rsid w:val="000C3276"/>
    <w:rsid w:val="000C34F3"/>
    <w:rsid w:val="000C41EB"/>
    <w:rsid w:val="000C7FBC"/>
    <w:rsid w:val="000D595D"/>
    <w:rsid w:val="000D6B0E"/>
    <w:rsid w:val="000D720A"/>
    <w:rsid w:val="000E01F8"/>
    <w:rsid w:val="000E0253"/>
    <w:rsid w:val="000E5260"/>
    <w:rsid w:val="000E70E3"/>
    <w:rsid w:val="000F0CA7"/>
    <w:rsid w:val="000F122A"/>
    <w:rsid w:val="000F1DAF"/>
    <w:rsid w:val="000F2DA8"/>
    <w:rsid w:val="000F2DAC"/>
    <w:rsid w:val="000F3213"/>
    <w:rsid w:val="000F7573"/>
    <w:rsid w:val="0010196C"/>
    <w:rsid w:val="001019BB"/>
    <w:rsid w:val="00102F9D"/>
    <w:rsid w:val="00105F27"/>
    <w:rsid w:val="00106597"/>
    <w:rsid w:val="001066D0"/>
    <w:rsid w:val="001073A5"/>
    <w:rsid w:val="00112478"/>
    <w:rsid w:val="001129CE"/>
    <w:rsid w:val="00112B72"/>
    <w:rsid w:val="00112C19"/>
    <w:rsid w:val="00115F3F"/>
    <w:rsid w:val="00120144"/>
    <w:rsid w:val="0012057E"/>
    <w:rsid w:val="00125E19"/>
    <w:rsid w:val="00126F97"/>
    <w:rsid w:val="0013540D"/>
    <w:rsid w:val="00137895"/>
    <w:rsid w:val="0014054C"/>
    <w:rsid w:val="00140B11"/>
    <w:rsid w:val="00140F41"/>
    <w:rsid w:val="00142D8A"/>
    <w:rsid w:val="001438E3"/>
    <w:rsid w:val="0014445F"/>
    <w:rsid w:val="001451E6"/>
    <w:rsid w:val="001500EB"/>
    <w:rsid w:val="00151A71"/>
    <w:rsid w:val="001544A0"/>
    <w:rsid w:val="0015468E"/>
    <w:rsid w:val="0015470B"/>
    <w:rsid w:val="00160D22"/>
    <w:rsid w:val="001610AE"/>
    <w:rsid w:val="001624BD"/>
    <w:rsid w:val="00170D97"/>
    <w:rsid w:val="00171350"/>
    <w:rsid w:val="00172134"/>
    <w:rsid w:val="00172475"/>
    <w:rsid w:val="001743A8"/>
    <w:rsid w:val="00175AAA"/>
    <w:rsid w:val="001765CD"/>
    <w:rsid w:val="00176969"/>
    <w:rsid w:val="00177065"/>
    <w:rsid w:val="0018001A"/>
    <w:rsid w:val="00180A6F"/>
    <w:rsid w:val="00183374"/>
    <w:rsid w:val="001850A2"/>
    <w:rsid w:val="00186D25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B06A2"/>
    <w:rsid w:val="001B1126"/>
    <w:rsid w:val="001B1DB0"/>
    <w:rsid w:val="001B33FD"/>
    <w:rsid w:val="001B3FA6"/>
    <w:rsid w:val="001B6343"/>
    <w:rsid w:val="001B691A"/>
    <w:rsid w:val="001B6A97"/>
    <w:rsid w:val="001B74D7"/>
    <w:rsid w:val="001C0015"/>
    <w:rsid w:val="001C1C71"/>
    <w:rsid w:val="001C3BBB"/>
    <w:rsid w:val="001C6908"/>
    <w:rsid w:val="001D3419"/>
    <w:rsid w:val="001D34BF"/>
    <w:rsid w:val="001D40C6"/>
    <w:rsid w:val="001D4D03"/>
    <w:rsid w:val="001D4DE6"/>
    <w:rsid w:val="001E0407"/>
    <w:rsid w:val="001E284C"/>
    <w:rsid w:val="001E3110"/>
    <w:rsid w:val="001E59DE"/>
    <w:rsid w:val="001E7573"/>
    <w:rsid w:val="001F7D08"/>
    <w:rsid w:val="00203501"/>
    <w:rsid w:val="00203772"/>
    <w:rsid w:val="002041DE"/>
    <w:rsid w:val="00215E32"/>
    <w:rsid w:val="00220082"/>
    <w:rsid w:val="00222735"/>
    <w:rsid w:val="0022305A"/>
    <w:rsid w:val="00224BDE"/>
    <w:rsid w:val="00226322"/>
    <w:rsid w:val="0022688E"/>
    <w:rsid w:val="0023159B"/>
    <w:rsid w:val="0023720A"/>
    <w:rsid w:val="00241CE9"/>
    <w:rsid w:val="002444B0"/>
    <w:rsid w:val="0024707E"/>
    <w:rsid w:val="00247BC9"/>
    <w:rsid w:val="002544C3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6965"/>
    <w:rsid w:val="00277394"/>
    <w:rsid w:val="00277BC7"/>
    <w:rsid w:val="00283251"/>
    <w:rsid w:val="00283616"/>
    <w:rsid w:val="0028383D"/>
    <w:rsid w:val="002851FB"/>
    <w:rsid w:val="00285883"/>
    <w:rsid w:val="00285CFF"/>
    <w:rsid w:val="00287504"/>
    <w:rsid w:val="00290550"/>
    <w:rsid w:val="00294094"/>
    <w:rsid w:val="00295909"/>
    <w:rsid w:val="00297401"/>
    <w:rsid w:val="002A48B9"/>
    <w:rsid w:val="002A4DDF"/>
    <w:rsid w:val="002A5387"/>
    <w:rsid w:val="002A57D0"/>
    <w:rsid w:val="002A70ED"/>
    <w:rsid w:val="002A74C1"/>
    <w:rsid w:val="002A7A15"/>
    <w:rsid w:val="002B1BBE"/>
    <w:rsid w:val="002B1E46"/>
    <w:rsid w:val="002B3129"/>
    <w:rsid w:val="002B3ADD"/>
    <w:rsid w:val="002B54E9"/>
    <w:rsid w:val="002B66B6"/>
    <w:rsid w:val="002C1250"/>
    <w:rsid w:val="002C22FF"/>
    <w:rsid w:val="002C2D10"/>
    <w:rsid w:val="002C3AED"/>
    <w:rsid w:val="002C3FED"/>
    <w:rsid w:val="002C5E1A"/>
    <w:rsid w:val="002C77E7"/>
    <w:rsid w:val="002C7A89"/>
    <w:rsid w:val="002D17B7"/>
    <w:rsid w:val="002D1F20"/>
    <w:rsid w:val="002D2419"/>
    <w:rsid w:val="002D79F5"/>
    <w:rsid w:val="002E2CCC"/>
    <w:rsid w:val="002E2EAC"/>
    <w:rsid w:val="002E4C0C"/>
    <w:rsid w:val="002E4C2F"/>
    <w:rsid w:val="002E54C0"/>
    <w:rsid w:val="002E5E64"/>
    <w:rsid w:val="002E7329"/>
    <w:rsid w:val="002E787C"/>
    <w:rsid w:val="002F328F"/>
    <w:rsid w:val="00300D41"/>
    <w:rsid w:val="00300F4A"/>
    <w:rsid w:val="00303AFE"/>
    <w:rsid w:val="0030642E"/>
    <w:rsid w:val="00306669"/>
    <w:rsid w:val="003071FF"/>
    <w:rsid w:val="00307C86"/>
    <w:rsid w:val="003101AD"/>
    <w:rsid w:val="0031032F"/>
    <w:rsid w:val="003103B0"/>
    <w:rsid w:val="0031169C"/>
    <w:rsid w:val="003117D9"/>
    <w:rsid w:val="00311D20"/>
    <w:rsid w:val="00312A21"/>
    <w:rsid w:val="003229F9"/>
    <w:rsid w:val="00322B76"/>
    <w:rsid w:val="00322DFE"/>
    <w:rsid w:val="00323BE2"/>
    <w:rsid w:val="0032434B"/>
    <w:rsid w:val="00324B10"/>
    <w:rsid w:val="00326C7F"/>
    <w:rsid w:val="00333B75"/>
    <w:rsid w:val="00334D47"/>
    <w:rsid w:val="00337809"/>
    <w:rsid w:val="00337E1F"/>
    <w:rsid w:val="00342086"/>
    <w:rsid w:val="00343C40"/>
    <w:rsid w:val="00346995"/>
    <w:rsid w:val="00347C81"/>
    <w:rsid w:val="003541FE"/>
    <w:rsid w:val="0035671A"/>
    <w:rsid w:val="00357807"/>
    <w:rsid w:val="003618B2"/>
    <w:rsid w:val="0036385B"/>
    <w:rsid w:val="0037052D"/>
    <w:rsid w:val="00370A97"/>
    <w:rsid w:val="00373724"/>
    <w:rsid w:val="00380F7F"/>
    <w:rsid w:val="0038146D"/>
    <w:rsid w:val="00384DFA"/>
    <w:rsid w:val="00385E71"/>
    <w:rsid w:val="003870C5"/>
    <w:rsid w:val="00394D45"/>
    <w:rsid w:val="003A1420"/>
    <w:rsid w:val="003B133C"/>
    <w:rsid w:val="003B2A9D"/>
    <w:rsid w:val="003B74AF"/>
    <w:rsid w:val="003C4630"/>
    <w:rsid w:val="003C4B15"/>
    <w:rsid w:val="003C6CF0"/>
    <w:rsid w:val="003D1AE7"/>
    <w:rsid w:val="003D450D"/>
    <w:rsid w:val="003D6D35"/>
    <w:rsid w:val="003E0F51"/>
    <w:rsid w:val="003E0F5E"/>
    <w:rsid w:val="003E3128"/>
    <w:rsid w:val="003E3FC6"/>
    <w:rsid w:val="003E401C"/>
    <w:rsid w:val="003E58AC"/>
    <w:rsid w:val="003F5AC8"/>
    <w:rsid w:val="003F5B4B"/>
    <w:rsid w:val="003F6566"/>
    <w:rsid w:val="003F7492"/>
    <w:rsid w:val="003F7718"/>
    <w:rsid w:val="003F799B"/>
    <w:rsid w:val="00400A29"/>
    <w:rsid w:val="00401850"/>
    <w:rsid w:val="00401DAC"/>
    <w:rsid w:val="00404E66"/>
    <w:rsid w:val="00406A07"/>
    <w:rsid w:val="00407304"/>
    <w:rsid w:val="00407D8C"/>
    <w:rsid w:val="004101F8"/>
    <w:rsid w:val="004109C7"/>
    <w:rsid w:val="004112FE"/>
    <w:rsid w:val="00411D88"/>
    <w:rsid w:val="004120E4"/>
    <w:rsid w:val="004125E6"/>
    <w:rsid w:val="00413431"/>
    <w:rsid w:val="00415357"/>
    <w:rsid w:val="00415488"/>
    <w:rsid w:val="00417BB5"/>
    <w:rsid w:val="004201D4"/>
    <w:rsid w:val="00420EF5"/>
    <w:rsid w:val="00421430"/>
    <w:rsid w:val="00421A30"/>
    <w:rsid w:val="00421E45"/>
    <w:rsid w:val="00422F1B"/>
    <w:rsid w:val="00422FB4"/>
    <w:rsid w:val="004262E9"/>
    <w:rsid w:val="0042799A"/>
    <w:rsid w:val="0043060B"/>
    <w:rsid w:val="00431BA4"/>
    <w:rsid w:val="004337AE"/>
    <w:rsid w:val="00436DF5"/>
    <w:rsid w:val="0044466A"/>
    <w:rsid w:val="0044490F"/>
    <w:rsid w:val="00444E44"/>
    <w:rsid w:val="00445A4E"/>
    <w:rsid w:val="00452A1C"/>
    <w:rsid w:val="00454DFD"/>
    <w:rsid w:val="0045557E"/>
    <w:rsid w:val="00460E61"/>
    <w:rsid w:val="004648C0"/>
    <w:rsid w:val="00465F4A"/>
    <w:rsid w:val="004668D3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2C3F"/>
    <w:rsid w:val="00483032"/>
    <w:rsid w:val="0048366F"/>
    <w:rsid w:val="00484549"/>
    <w:rsid w:val="00484597"/>
    <w:rsid w:val="00484E2C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4144"/>
    <w:rsid w:val="004A4882"/>
    <w:rsid w:val="004B20D8"/>
    <w:rsid w:val="004B4168"/>
    <w:rsid w:val="004C46BE"/>
    <w:rsid w:val="004C49FF"/>
    <w:rsid w:val="004C4D1D"/>
    <w:rsid w:val="004C7EE0"/>
    <w:rsid w:val="004D0E3E"/>
    <w:rsid w:val="004D1590"/>
    <w:rsid w:val="004D1ED0"/>
    <w:rsid w:val="004D28FA"/>
    <w:rsid w:val="004D51E0"/>
    <w:rsid w:val="004D7AB8"/>
    <w:rsid w:val="004E1C78"/>
    <w:rsid w:val="004E2297"/>
    <w:rsid w:val="004E39F3"/>
    <w:rsid w:val="004E46F5"/>
    <w:rsid w:val="004E57CB"/>
    <w:rsid w:val="004E6171"/>
    <w:rsid w:val="004E6944"/>
    <w:rsid w:val="004F02FB"/>
    <w:rsid w:val="004F1785"/>
    <w:rsid w:val="004F23CA"/>
    <w:rsid w:val="004F3E2E"/>
    <w:rsid w:val="004F47D1"/>
    <w:rsid w:val="004F494A"/>
    <w:rsid w:val="004F5E44"/>
    <w:rsid w:val="004F653C"/>
    <w:rsid w:val="004F6ABB"/>
    <w:rsid w:val="004F741B"/>
    <w:rsid w:val="00500A92"/>
    <w:rsid w:val="00502906"/>
    <w:rsid w:val="0050386E"/>
    <w:rsid w:val="0050468D"/>
    <w:rsid w:val="00506764"/>
    <w:rsid w:val="00511BF8"/>
    <w:rsid w:val="005139E9"/>
    <w:rsid w:val="005207F7"/>
    <w:rsid w:val="00521339"/>
    <w:rsid w:val="00522341"/>
    <w:rsid w:val="005229E1"/>
    <w:rsid w:val="00524C28"/>
    <w:rsid w:val="00524F7C"/>
    <w:rsid w:val="0052617E"/>
    <w:rsid w:val="00526470"/>
    <w:rsid w:val="00526D6B"/>
    <w:rsid w:val="00527454"/>
    <w:rsid w:val="00531C06"/>
    <w:rsid w:val="00531E67"/>
    <w:rsid w:val="005357FC"/>
    <w:rsid w:val="00535FC5"/>
    <w:rsid w:val="0053637A"/>
    <w:rsid w:val="005369E6"/>
    <w:rsid w:val="00537617"/>
    <w:rsid w:val="005409BF"/>
    <w:rsid w:val="005435FA"/>
    <w:rsid w:val="005440DD"/>
    <w:rsid w:val="00545426"/>
    <w:rsid w:val="00551305"/>
    <w:rsid w:val="00552E8C"/>
    <w:rsid w:val="0055525B"/>
    <w:rsid w:val="005559C2"/>
    <w:rsid w:val="00556DD8"/>
    <w:rsid w:val="00560B22"/>
    <w:rsid w:val="00560C3B"/>
    <w:rsid w:val="00561068"/>
    <w:rsid w:val="00562EE2"/>
    <w:rsid w:val="00563D31"/>
    <w:rsid w:val="0057567C"/>
    <w:rsid w:val="00576C85"/>
    <w:rsid w:val="00577306"/>
    <w:rsid w:val="00577B7C"/>
    <w:rsid w:val="005800B9"/>
    <w:rsid w:val="00581BEE"/>
    <w:rsid w:val="0058282E"/>
    <w:rsid w:val="00586C6C"/>
    <w:rsid w:val="0059044D"/>
    <w:rsid w:val="00590AD9"/>
    <w:rsid w:val="00590BFA"/>
    <w:rsid w:val="005913A8"/>
    <w:rsid w:val="0059302D"/>
    <w:rsid w:val="00594E6C"/>
    <w:rsid w:val="005953FD"/>
    <w:rsid w:val="00596600"/>
    <w:rsid w:val="00596C1F"/>
    <w:rsid w:val="005A03AF"/>
    <w:rsid w:val="005A057E"/>
    <w:rsid w:val="005A137E"/>
    <w:rsid w:val="005A33D8"/>
    <w:rsid w:val="005A4350"/>
    <w:rsid w:val="005A44BA"/>
    <w:rsid w:val="005A58B7"/>
    <w:rsid w:val="005A73FF"/>
    <w:rsid w:val="005B08B9"/>
    <w:rsid w:val="005B1430"/>
    <w:rsid w:val="005B5706"/>
    <w:rsid w:val="005B78F1"/>
    <w:rsid w:val="005C48B7"/>
    <w:rsid w:val="005C5202"/>
    <w:rsid w:val="005C54D4"/>
    <w:rsid w:val="005C7A05"/>
    <w:rsid w:val="005D2D60"/>
    <w:rsid w:val="005D3C41"/>
    <w:rsid w:val="005D4ECE"/>
    <w:rsid w:val="005D52E0"/>
    <w:rsid w:val="005D7221"/>
    <w:rsid w:val="005D7D8B"/>
    <w:rsid w:val="005E3943"/>
    <w:rsid w:val="005E636E"/>
    <w:rsid w:val="005E6B32"/>
    <w:rsid w:val="005E77D4"/>
    <w:rsid w:val="005F07EB"/>
    <w:rsid w:val="005F1FDF"/>
    <w:rsid w:val="005F2269"/>
    <w:rsid w:val="005F5263"/>
    <w:rsid w:val="005F7DA9"/>
    <w:rsid w:val="006036E6"/>
    <w:rsid w:val="00604AF8"/>
    <w:rsid w:val="00604B49"/>
    <w:rsid w:val="006074BB"/>
    <w:rsid w:val="006106AC"/>
    <w:rsid w:val="00611F17"/>
    <w:rsid w:val="00612607"/>
    <w:rsid w:val="00613363"/>
    <w:rsid w:val="0061410C"/>
    <w:rsid w:val="0061637D"/>
    <w:rsid w:val="006169FF"/>
    <w:rsid w:val="006214DD"/>
    <w:rsid w:val="00624A31"/>
    <w:rsid w:val="00625958"/>
    <w:rsid w:val="00627FEC"/>
    <w:rsid w:val="00630464"/>
    <w:rsid w:val="00633E9D"/>
    <w:rsid w:val="0064085B"/>
    <w:rsid w:val="006437E2"/>
    <w:rsid w:val="00646389"/>
    <w:rsid w:val="00646C62"/>
    <w:rsid w:val="00656776"/>
    <w:rsid w:val="00660333"/>
    <w:rsid w:val="00660722"/>
    <w:rsid w:val="006619DF"/>
    <w:rsid w:val="00664023"/>
    <w:rsid w:val="00673336"/>
    <w:rsid w:val="00675236"/>
    <w:rsid w:val="00677274"/>
    <w:rsid w:val="00677DC4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5356"/>
    <w:rsid w:val="006955F0"/>
    <w:rsid w:val="006965C9"/>
    <w:rsid w:val="00696BA4"/>
    <w:rsid w:val="0069732B"/>
    <w:rsid w:val="006A0C31"/>
    <w:rsid w:val="006A2393"/>
    <w:rsid w:val="006A3405"/>
    <w:rsid w:val="006A4838"/>
    <w:rsid w:val="006A69BD"/>
    <w:rsid w:val="006B4225"/>
    <w:rsid w:val="006B5F40"/>
    <w:rsid w:val="006B75D9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805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BE5"/>
    <w:rsid w:val="006F1B22"/>
    <w:rsid w:val="006F2016"/>
    <w:rsid w:val="006F3B03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10499"/>
    <w:rsid w:val="00712171"/>
    <w:rsid w:val="00712221"/>
    <w:rsid w:val="00715757"/>
    <w:rsid w:val="007172A3"/>
    <w:rsid w:val="00722021"/>
    <w:rsid w:val="0072310C"/>
    <w:rsid w:val="0072364E"/>
    <w:rsid w:val="007306EF"/>
    <w:rsid w:val="00731593"/>
    <w:rsid w:val="00734B31"/>
    <w:rsid w:val="00734E1D"/>
    <w:rsid w:val="00736E88"/>
    <w:rsid w:val="007373DA"/>
    <w:rsid w:val="00740FE9"/>
    <w:rsid w:val="007417FF"/>
    <w:rsid w:val="00743687"/>
    <w:rsid w:val="0074536B"/>
    <w:rsid w:val="00745ABA"/>
    <w:rsid w:val="00745F47"/>
    <w:rsid w:val="00746680"/>
    <w:rsid w:val="00751E9E"/>
    <w:rsid w:val="00756463"/>
    <w:rsid w:val="007577F0"/>
    <w:rsid w:val="007619A9"/>
    <w:rsid w:val="0076578E"/>
    <w:rsid w:val="00767A7D"/>
    <w:rsid w:val="00770B3A"/>
    <w:rsid w:val="00773BE5"/>
    <w:rsid w:val="00773CD5"/>
    <w:rsid w:val="0077524C"/>
    <w:rsid w:val="0077550B"/>
    <w:rsid w:val="00775EF2"/>
    <w:rsid w:val="00780E66"/>
    <w:rsid w:val="00781D71"/>
    <w:rsid w:val="00782404"/>
    <w:rsid w:val="00782817"/>
    <w:rsid w:val="007831B8"/>
    <w:rsid w:val="00783339"/>
    <w:rsid w:val="00783FAE"/>
    <w:rsid w:val="0078481F"/>
    <w:rsid w:val="007859AA"/>
    <w:rsid w:val="007863FB"/>
    <w:rsid w:val="00786BC0"/>
    <w:rsid w:val="007870A2"/>
    <w:rsid w:val="00791B31"/>
    <w:rsid w:val="00791DCB"/>
    <w:rsid w:val="00793156"/>
    <w:rsid w:val="00793C76"/>
    <w:rsid w:val="00795E16"/>
    <w:rsid w:val="007A2B1A"/>
    <w:rsid w:val="007A47CA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5844"/>
    <w:rsid w:val="007C72F1"/>
    <w:rsid w:val="007D15A0"/>
    <w:rsid w:val="007D6D78"/>
    <w:rsid w:val="007E2A08"/>
    <w:rsid w:val="007E7468"/>
    <w:rsid w:val="007F057B"/>
    <w:rsid w:val="007F071F"/>
    <w:rsid w:val="007F3BE5"/>
    <w:rsid w:val="007F548A"/>
    <w:rsid w:val="007F7795"/>
    <w:rsid w:val="00800C69"/>
    <w:rsid w:val="008010F8"/>
    <w:rsid w:val="008072F2"/>
    <w:rsid w:val="008108D4"/>
    <w:rsid w:val="00814C44"/>
    <w:rsid w:val="0081689B"/>
    <w:rsid w:val="00816BF0"/>
    <w:rsid w:val="008208E8"/>
    <w:rsid w:val="00821288"/>
    <w:rsid w:val="00822911"/>
    <w:rsid w:val="00830BB9"/>
    <w:rsid w:val="008311C7"/>
    <w:rsid w:val="008325AA"/>
    <w:rsid w:val="00834BDF"/>
    <w:rsid w:val="008423C2"/>
    <w:rsid w:val="0084396C"/>
    <w:rsid w:val="00843A81"/>
    <w:rsid w:val="008457C9"/>
    <w:rsid w:val="0085144E"/>
    <w:rsid w:val="00852D76"/>
    <w:rsid w:val="008561C7"/>
    <w:rsid w:val="00856932"/>
    <w:rsid w:val="00857338"/>
    <w:rsid w:val="008634AE"/>
    <w:rsid w:val="00866C40"/>
    <w:rsid w:val="00872874"/>
    <w:rsid w:val="00875C28"/>
    <w:rsid w:val="00875E61"/>
    <w:rsid w:val="008822EA"/>
    <w:rsid w:val="00882DA7"/>
    <w:rsid w:val="008834B1"/>
    <w:rsid w:val="00883547"/>
    <w:rsid w:val="008854CD"/>
    <w:rsid w:val="0088664A"/>
    <w:rsid w:val="00887A45"/>
    <w:rsid w:val="00887B4B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66FF"/>
    <w:rsid w:val="008A6777"/>
    <w:rsid w:val="008A69BB"/>
    <w:rsid w:val="008B031F"/>
    <w:rsid w:val="008B31EA"/>
    <w:rsid w:val="008B3AA4"/>
    <w:rsid w:val="008B3C81"/>
    <w:rsid w:val="008B3FDB"/>
    <w:rsid w:val="008B63C3"/>
    <w:rsid w:val="008B6D16"/>
    <w:rsid w:val="008B713B"/>
    <w:rsid w:val="008C0F67"/>
    <w:rsid w:val="008C1858"/>
    <w:rsid w:val="008C1E35"/>
    <w:rsid w:val="008C4865"/>
    <w:rsid w:val="008C4E89"/>
    <w:rsid w:val="008C70B0"/>
    <w:rsid w:val="008D1C56"/>
    <w:rsid w:val="008D2DC2"/>
    <w:rsid w:val="008D33E7"/>
    <w:rsid w:val="008D5AAE"/>
    <w:rsid w:val="008D5D5E"/>
    <w:rsid w:val="008D76A8"/>
    <w:rsid w:val="008E7DE3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105F0"/>
    <w:rsid w:val="00911DD5"/>
    <w:rsid w:val="00913895"/>
    <w:rsid w:val="0091638A"/>
    <w:rsid w:val="0092619A"/>
    <w:rsid w:val="00927966"/>
    <w:rsid w:val="0093041A"/>
    <w:rsid w:val="00932567"/>
    <w:rsid w:val="0093514A"/>
    <w:rsid w:val="0093593F"/>
    <w:rsid w:val="009359B6"/>
    <w:rsid w:val="00936759"/>
    <w:rsid w:val="009420D1"/>
    <w:rsid w:val="009433BA"/>
    <w:rsid w:val="00945A9A"/>
    <w:rsid w:val="00945C88"/>
    <w:rsid w:val="00947965"/>
    <w:rsid w:val="0095068E"/>
    <w:rsid w:val="00953D0C"/>
    <w:rsid w:val="00954ACD"/>
    <w:rsid w:val="00960039"/>
    <w:rsid w:val="00962EEE"/>
    <w:rsid w:val="00964970"/>
    <w:rsid w:val="00964B4F"/>
    <w:rsid w:val="00965CD3"/>
    <w:rsid w:val="00977470"/>
    <w:rsid w:val="009800C4"/>
    <w:rsid w:val="00981B4D"/>
    <w:rsid w:val="0098429B"/>
    <w:rsid w:val="009858B4"/>
    <w:rsid w:val="00987118"/>
    <w:rsid w:val="00987EE9"/>
    <w:rsid w:val="00990E69"/>
    <w:rsid w:val="00991031"/>
    <w:rsid w:val="00994353"/>
    <w:rsid w:val="00994C08"/>
    <w:rsid w:val="009A0530"/>
    <w:rsid w:val="009A1B8E"/>
    <w:rsid w:val="009A2169"/>
    <w:rsid w:val="009A3F8E"/>
    <w:rsid w:val="009A6CE9"/>
    <w:rsid w:val="009A7C59"/>
    <w:rsid w:val="009B18B9"/>
    <w:rsid w:val="009B4FCC"/>
    <w:rsid w:val="009C17E1"/>
    <w:rsid w:val="009C35FA"/>
    <w:rsid w:val="009C37A0"/>
    <w:rsid w:val="009C4DC8"/>
    <w:rsid w:val="009C55F1"/>
    <w:rsid w:val="009D0967"/>
    <w:rsid w:val="009D2E84"/>
    <w:rsid w:val="009D3395"/>
    <w:rsid w:val="009D492F"/>
    <w:rsid w:val="009D5736"/>
    <w:rsid w:val="009E07DE"/>
    <w:rsid w:val="009E0C1C"/>
    <w:rsid w:val="009E4CA7"/>
    <w:rsid w:val="009E4F4A"/>
    <w:rsid w:val="009E70EF"/>
    <w:rsid w:val="009E7198"/>
    <w:rsid w:val="009F0D1B"/>
    <w:rsid w:val="009F2A79"/>
    <w:rsid w:val="009F72A7"/>
    <w:rsid w:val="009F7795"/>
    <w:rsid w:val="00A01FF2"/>
    <w:rsid w:val="00A044F1"/>
    <w:rsid w:val="00A0676B"/>
    <w:rsid w:val="00A1211C"/>
    <w:rsid w:val="00A15961"/>
    <w:rsid w:val="00A17F8D"/>
    <w:rsid w:val="00A2009A"/>
    <w:rsid w:val="00A20D7E"/>
    <w:rsid w:val="00A22E9E"/>
    <w:rsid w:val="00A27103"/>
    <w:rsid w:val="00A327A6"/>
    <w:rsid w:val="00A32A92"/>
    <w:rsid w:val="00A33D9D"/>
    <w:rsid w:val="00A3616A"/>
    <w:rsid w:val="00A40EC9"/>
    <w:rsid w:val="00A420F6"/>
    <w:rsid w:val="00A42959"/>
    <w:rsid w:val="00A42ECC"/>
    <w:rsid w:val="00A47BD4"/>
    <w:rsid w:val="00A513A2"/>
    <w:rsid w:val="00A530A0"/>
    <w:rsid w:val="00A54C1D"/>
    <w:rsid w:val="00A56754"/>
    <w:rsid w:val="00A5677E"/>
    <w:rsid w:val="00A57CF5"/>
    <w:rsid w:val="00A62570"/>
    <w:rsid w:val="00A65712"/>
    <w:rsid w:val="00A664DA"/>
    <w:rsid w:val="00A72DE9"/>
    <w:rsid w:val="00A7771C"/>
    <w:rsid w:val="00A822A7"/>
    <w:rsid w:val="00A824C9"/>
    <w:rsid w:val="00A84054"/>
    <w:rsid w:val="00A876B1"/>
    <w:rsid w:val="00A90DF3"/>
    <w:rsid w:val="00A92181"/>
    <w:rsid w:val="00A94825"/>
    <w:rsid w:val="00A948DD"/>
    <w:rsid w:val="00A96902"/>
    <w:rsid w:val="00A97741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1807"/>
    <w:rsid w:val="00AB5F7A"/>
    <w:rsid w:val="00AB6BC4"/>
    <w:rsid w:val="00AC30B6"/>
    <w:rsid w:val="00AC33BE"/>
    <w:rsid w:val="00AC3BBC"/>
    <w:rsid w:val="00AC52C0"/>
    <w:rsid w:val="00AC7321"/>
    <w:rsid w:val="00AD06AE"/>
    <w:rsid w:val="00AD0C07"/>
    <w:rsid w:val="00AD1D85"/>
    <w:rsid w:val="00AD2B3A"/>
    <w:rsid w:val="00AD61CC"/>
    <w:rsid w:val="00AD78FA"/>
    <w:rsid w:val="00AE03CA"/>
    <w:rsid w:val="00AE5BBF"/>
    <w:rsid w:val="00AF25A1"/>
    <w:rsid w:val="00AF2F9F"/>
    <w:rsid w:val="00AF338A"/>
    <w:rsid w:val="00AF378B"/>
    <w:rsid w:val="00AF58C7"/>
    <w:rsid w:val="00AF61C4"/>
    <w:rsid w:val="00B00093"/>
    <w:rsid w:val="00B0047C"/>
    <w:rsid w:val="00B00CBF"/>
    <w:rsid w:val="00B05F37"/>
    <w:rsid w:val="00B06DE3"/>
    <w:rsid w:val="00B10800"/>
    <w:rsid w:val="00B141D7"/>
    <w:rsid w:val="00B16C47"/>
    <w:rsid w:val="00B20CDA"/>
    <w:rsid w:val="00B2550B"/>
    <w:rsid w:val="00B2583A"/>
    <w:rsid w:val="00B2634A"/>
    <w:rsid w:val="00B33948"/>
    <w:rsid w:val="00B35346"/>
    <w:rsid w:val="00B3751A"/>
    <w:rsid w:val="00B37936"/>
    <w:rsid w:val="00B44A5E"/>
    <w:rsid w:val="00B45C6D"/>
    <w:rsid w:val="00B52501"/>
    <w:rsid w:val="00B544DF"/>
    <w:rsid w:val="00B56811"/>
    <w:rsid w:val="00B57D56"/>
    <w:rsid w:val="00B57EB8"/>
    <w:rsid w:val="00B61826"/>
    <w:rsid w:val="00B62F44"/>
    <w:rsid w:val="00B63D5F"/>
    <w:rsid w:val="00B666E0"/>
    <w:rsid w:val="00B703FF"/>
    <w:rsid w:val="00B71A90"/>
    <w:rsid w:val="00B73679"/>
    <w:rsid w:val="00B7375D"/>
    <w:rsid w:val="00B74A73"/>
    <w:rsid w:val="00B76802"/>
    <w:rsid w:val="00B76FAD"/>
    <w:rsid w:val="00B80FE3"/>
    <w:rsid w:val="00B8210D"/>
    <w:rsid w:val="00B84511"/>
    <w:rsid w:val="00B8456F"/>
    <w:rsid w:val="00B852BD"/>
    <w:rsid w:val="00B8532A"/>
    <w:rsid w:val="00B86FAF"/>
    <w:rsid w:val="00B91C92"/>
    <w:rsid w:val="00B921FA"/>
    <w:rsid w:val="00B923B5"/>
    <w:rsid w:val="00B927C5"/>
    <w:rsid w:val="00B93012"/>
    <w:rsid w:val="00B9330A"/>
    <w:rsid w:val="00B9487A"/>
    <w:rsid w:val="00B95CC9"/>
    <w:rsid w:val="00B966E3"/>
    <w:rsid w:val="00BA10DA"/>
    <w:rsid w:val="00BA2686"/>
    <w:rsid w:val="00BA4510"/>
    <w:rsid w:val="00BB351C"/>
    <w:rsid w:val="00BB578E"/>
    <w:rsid w:val="00BB64AA"/>
    <w:rsid w:val="00BC47B0"/>
    <w:rsid w:val="00BC4BBD"/>
    <w:rsid w:val="00BC7718"/>
    <w:rsid w:val="00BC7BB2"/>
    <w:rsid w:val="00BD529A"/>
    <w:rsid w:val="00BD7408"/>
    <w:rsid w:val="00BE370F"/>
    <w:rsid w:val="00BE4CD0"/>
    <w:rsid w:val="00BE5BAB"/>
    <w:rsid w:val="00BE5E95"/>
    <w:rsid w:val="00BF0C6A"/>
    <w:rsid w:val="00BF5365"/>
    <w:rsid w:val="00C00FA5"/>
    <w:rsid w:val="00C0344C"/>
    <w:rsid w:val="00C043E5"/>
    <w:rsid w:val="00C07695"/>
    <w:rsid w:val="00C0776D"/>
    <w:rsid w:val="00C15429"/>
    <w:rsid w:val="00C157E1"/>
    <w:rsid w:val="00C15C34"/>
    <w:rsid w:val="00C20430"/>
    <w:rsid w:val="00C227F5"/>
    <w:rsid w:val="00C22A0B"/>
    <w:rsid w:val="00C23BFD"/>
    <w:rsid w:val="00C23CC8"/>
    <w:rsid w:val="00C25243"/>
    <w:rsid w:val="00C2666B"/>
    <w:rsid w:val="00C30F4D"/>
    <w:rsid w:val="00C3466E"/>
    <w:rsid w:val="00C405E3"/>
    <w:rsid w:val="00C43CA1"/>
    <w:rsid w:val="00C4720C"/>
    <w:rsid w:val="00C50DD4"/>
    <w:rsid w:val="00C51F42"/>
    <w:rsid w:val="00C55B39"/>
    <w:rsid w:val="00C56939"/>
    <w:rsid w:val="00C56C6F"/>
    <w:rsid w:val="00C5788A"/>
    <w:rsid w:val="00C6520B"/>
    <w:rsid w:val="00C664EB"/>
    <w:rsid w:val="00C67682"/>
    <w:rsid w:val="00C67965"/>
    <w:rsid w:val="00C70A14"/>
    <w:rsid w:val="00C72D6F"/>
    <w:rsid w:val="00C77203"/>
    <w:rsid w:val="00C775C6"/>
    <w:rsid w:val="00C77C13"/>
    <w:rsid w:val="00C90072"/>
    <w:rsid w:val="00C9075B"/>
    <w:rsid w:val="00C9416D"/>
    <w:rsid w:val="00C94FC1"/>
    <w:rsid w:val="00C95463"/>
    <w:rsid w:val="00C97B3E"/>
    <w:rsid w:val="00CA0816"/>
    <w:rsid w:val="00CA1AC4"/>
    <w:rsid w:val="00CA20AD"/>
    <w:rsid w:val="00CA474D"/>
    <w:rsid w:val="00CA6B34"/>
    <w:rsid w:val="00CB2F96"/>
    <w:rsid w:val="00CB45B3"/>
    <w:rsid w:val="00CB5100"/>
    <w:rsid w:val="00CB5A61"/>
    <w:rsid w:val="00CB67E0"/>
    <w:rsid w:val="00CB6995"/>
    <w:rsid w:val="00CB7A73"/>
    <w:rsid w:val="00CC4816"/>
    <w:rsid w:val="00CC4FE6"/>
    <w:rsid w:val="00CC69F4"/>
    <w:rsid w:val="00CD0CE7"/>
    <w:rsid w:val="00CD2A75"/>
    <w:rsid w:val="00CD2D37"/>
    <w:rsid w:val="00CD47AC"/>
    <w:rsid w:val="00CD6382"/>
    <w:rsid w:val="00CD6838"/>
    <w:rsid w:val="00CD7EDB"/>
    <w:rsid w:val="00CE1194"/>
    <w:rsid w:val="00CE18DC"/>
    <w:rsid w:val="00CE3517"/>
    <w:rsid w:val="00CE55DD"/>
    <w:rsid w:val="00CE75A8"/>
    <w:rsid w:val="00CF275D"/>
    <w:rsid w:val="00CF3727"/>
    <w:rsid w:val="00CF47F6"/>
    <w:rsid w:val="00CF6BF2"/>
    <w:rsid w:val="00CF7882"/>
    <w:rsid w:val="00D01EAF"/>
    <w:rsid w:val="00D0338B"/>
    <w:rsid w:val="00D04983"/>
    <w:rsid w:val="00D06C74"/>
    <w:rsid w:val="00D076B6"/>
    <w:rsid w:val="00D105F6"/>
    <w:rsid w:val="00D10AB9"/>
    <w:rsid w:val="00D11800"/>
    <w:rsid w:val="00D15855"/>
    <w:rsid w:val="00D20143"/>
    <w:rsid w:val="00D2174A"/>
    <w:rsid w:val="00D217DC"/>
    <w:rsid w:val="00D225B0"/>
    <w:rsid w:val="00D24C06"/>
    <w:rsid w:val="00D259EF"/>
    <w:rsid w:val="00D273B2"/>
    <w:rsid w:val="00D27DA9"/>
    <w:rsid w:val="00D403F3"/>
    <w:rsid w:val="00D42744"/>
    <w:rsid w:val="00D45677"/>
    <w:rsid w:val="00D464B1"/>
    <w:rsid w:val="00D46588"/>
    <w:rsid w:val="00D501BB"/>
    <w:rsid w:val="00D53F51"/>
    <w:rsid w:val="00D57870"/>
    <w:rsid w:val="00D57D2E"/>
    <w:rsid w:val="00D60812"/>
    <w:rsid w:val="00D60897"/>
    <w:rsid w:val="00D61142"/>
    <w:rsid w:val="00D639E9"/>
    <w:rsid w:val="00D66190"/>
    <w:rsid w:val="00D67F68"/>
    <w:rsid w:val="00D72FFE"/>
    <w:rsid w:val="00D734B4"/>
    <w:rsid w:val="00D76638"/>
    <w:rsid w:val="00D811D5"/>
    <w:rsid w:val="00D82DF0"/>
    <w:rsid w:val="00D84E7F"/>
    <w:rsid w:val="00D861B6"/>
    <w:rsid w:val="00D8663E"/>
    <w:rsid w:val="00D93513"/>
    <w:rsid w:val="00D942FA"/>
    <w:rsid w:val="00D9465E"/>
    <w:rsid w:val="00D946E2"/>
    <w:rsid w:val="00D948EF"/>
    <w:rsid w:val="00D96FAB"/>
    <w:rsid w:val="00D97232"/>
    <w:rsid w:val="00D97BCC"/>
    <w:rsid w:val="00DA0055"/>
    <w:rsid w:val="00DA2806"/>
    <w:rsid w:val="00DA38AE"/>
    <w:rsid w:val="00DB0AE9"/>
    <w:rsid w:val="00DB18AF"/>
    <w:rsid w:val="00DB241E"/>
    <w:rsid w:val="00DB5C35"/>
    <w:rsid w:val="00DC53D1"/>
    <w:rsid w:val="00DC6B85"/>
    <w:rsid w:val="00DC7280"/>
    <w:rsid w:val="00DD0C7D"/>
    <w:rsid w:val="00DD2FA2"/>
    <w:rsid w:val="00DD648A"/>
    <w:rsid w:val="00DD6590"/>
    <w:rsid w:val="00DE0275"/>
    <w:rsid w:val="00DE61CA"/>
    <w:rsid w:val="00DF181C"/>
    <w:rsid w:val="00DF220E"/>
    <w:rsid w:val="00DF2305"/>
    <w:rsid w:val="00DF6A07"/>
    <w:rsid w:val="00E00F49"/>
    <w:rsid w:val="00E0163E"/>
    <w:rsid w:val="00E020B0"/>
    <w:rsid w:val="00E02BEE"/>
    <w:rsid w:val="00E04063"/>
    <w:rsid w:val="00E058EA"/>
    <w:rsid w:val="00E06B2C"/>
    <w:rsid w:val="00E0763E"/>
    <w:rsid w:val="00E07C55"/>
    <w:rsid w:val="00E14D1F"/>
    <w:rsid w:val="00E2018B"/>
    <w:rsid w:val="00E21227"/>
    <w:rsid w:val="00E21C59"/>
    <w:rsid w:val="00E21D0B"/>
    <w:rsid w:val="00E235A3"/>
    <w:rsid w:val="00E27214"/>
    <w:rsid w:val="00E305CE"/>
    <w:rsid w:val="00E3234A"/>
    <w:rsid w:val="00E32C51"/>
    <w:rsid w:val="00E34522"/>
    <w:rsid w:val="00E3564A"/>
    <w:rsid w:val="00E36F28"/>
    <w:rsid w:val="00E409EF"/>
    <w:rsid w:val="00E42713"/>
    <w:rsid w:val="00E437DD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71710"/>
    <w:rsid w:val="00E727B4"/>
    <w:rsid w:val="00E73812"/>
    <w:rsid w:val="00E75AEA"/>
    <w:rsid w:val="00E75C28"/>
    <w:rsid w:val="00E7630F"/>
    <w:rsid w:val="00E76FC8"/>
    <w:rsid w:val="00E82FD4"/>
    <w:rsid w:val="00E8358D"/>
    <w:rsid w:val="00E83772"/>
    <w:rsid w:val="00E83EA2"/>
    <w:rsid w:val="00E84F64"/>
    <w:rsid w:val="00E85FAB"/>
    <w:rsid w:val="00E86289"/>
    <w:rsid w:val="00E876E1"/>
    <w:rsid w:val="00E95005"/>
    <w:rsid w:val="00E958AF"/>
    <w:rsid w:val="00E96DBB"/>
    <w:rsid w:val="00E97078"/>
    <w:rsid w:val="00EA1AFF"/>
    <w:rsid w:val="00EA2CE5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3A38"/>
    <w:rsid w:val="00EC41C6"/>
    <w:rsid w:val="00EC45DA"/>
    <w:rsid w:val="00EC4954"/>
    <w:rsid w:val="00EC6B99"/>
    <w:rsid w:val="00EC6D0E"/>
    <w:rsid w:val="00ED28F8"/>
    <w:rsid w:val="00ED2948"/>
    <w:rsid w:val="00ED32BB"/>
    <w:rsid w:val="00ED33FA"/>
    <w:rsid w:val="00EE1140"/>
    <w:rsid w:val="00EE1326"/>
    <w:rsid w:val="00EE331E"/>
    <w:rsid w:val="00EE3993"/>
    <w:rsid w:val="00EE53C1"/>
    <w:rsid w:val="00EE6380"/>
    <w:rsid w:val="00EE6C4A"/>
    <w:rsid w:val="00EF1051"/>
    <w:rsid w:val="00EF1442"/>
    <w:rsid w:val="00EF2907"/>
    <w:rsid w:val="00EF493D"/>
    <w:rsid w:val="00EF7D2C"/>
    <w:rsid w:val="00F00FE2"/>
    <w:rsid w:val="00F03313"/>
    <w:rsid w:val="00F04193"/>
    <w:rsid w:val="00F051AB"/>
    <w:rsid w:val="00F069A7"/>
    <w:rsid w:val="00F102D1"/>
    <w:rsid w:val="00F13045"/>
    <w:rsid w:val="00F1387B"/>
    <w:rsid w:val="00F140D6"/>
    <w:rsid w:val="00F156DC"/>
    <w:rsid w:val="00F17F7F"/>
    <w:rsid w:val="00F208A7"/>
    <w:rsid w:val="00F23D8D"/>
    <w:rsid w:val="00F326D9"/>
    <w:rsid w:val="00F36050"/>
    <w:rsid w:val="00F36B68"/>
    <w:rsid w:val="00F42D20"/>
    <w:rsid w:val="00F4338B"/>
    <w:rsid w:val="00F43ECE"/>
    <w:rsid w:val="00F44AEC"/>
    <w:rsid w:val="00F459EE"/>
    <w:rsid w:val="00F470F8"/>
    <w:rsid w:val="00F47743"/>
    <w:rsid w:val="00F5050B"/>
    <w:rsid w:val="00F514FB"/>
    <w:rsid w:val="00F530FD"/>
    <w:rsid w:val="00F53A97"/>
    <w:rsid w:val="00F55B28"/>
    <w:rsid w:val="00F56429"/>
    <w:rsid w:val="00F564A1"/>
    <w:rsid w:val="00F60697"/>
    <w:rsid w:val="00F60FF2"/>
    <w:rsid w:val="00F635ED"/>
    <w:rsid w:val="00F64141"/>
    <w:rsid w:val="00F657FF"/>
    <w:rsid w:val="00F66630"/>
    <w:rsid w:val="00F67280"/>
    <w:rsid w:val="00F710C1"/>
    <w:rsid w:val="00F7384E"/>
    <w:rsid w:val="00F762C6"/>
    <w:rsid w:val="00F77B18"/>
    <w:rsid w:val="00F81765"/>
    <w:rsid w:val="00F819C0"/>
    <w:rsid w:val="00F843C6"/>
    <w:rsid w:val="00F85906"/>
    <w:rsid w:val="00F8695D"/>
    <w:rsid w:val="00F875F5"/>
    <w:rsid w:val="00F876E3"/>
    <w:rsid w:val="00F87773"/>
    <w:rsid w:val="00F91018"/>
    <w:rsid w:val="00F910CB"/>
    <w:rsid w:val="00F92067"/>
    <w:rsid w:val="00F95443"/>
    <w:rsid w:val="00FA604E"/>
    <w:rsid w:val="00FA64AD"/>
    <w:rsid w:val="00FB02D4"/>
    <w:rsid w:val="00FB0357"/>
    <w:rsid w:val="00FB1445"/>
    <w:rsid w:val="00FB2FB0"/>
    <w:rsid w:val="00FC1869"/>
    <w:rsid w:val="00FC1F9E"/>
    <w:rsid w:val="00FC3126"/>
    <w:rsid w:val="00FC5BA6"/>
    <w:rsid w:val="00FD1C3C"/>
    <w:rsid w:val="00FD5C82"/>
    <w:rsid w:val="00FE3C35"/>
    <w:rsid w:val="00FE3EAF"/>
    <w:rsid w:val="00FE415D"/>
    <w:rsid w:val="00FE703D"/>
    <w:rsid w:val="00FF0069"/>
    <w:rsid w:val="00FF045D"/>
    <w:rsid w:val="00FF1244"/>
    <w:rsid w:val="00FF3917"/>
    <w:rsid w:val="00FF4F1B"/>
    <w:rsid w:val="00FF506C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B76FAD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5A8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76FAD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2014486468663479"/>
          <c:y val="8.6636907413495098E-2"/>
          <c:w val="0.82873100108197262"/>
          <c:h val="0.6025069444444444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Palestine</c:v>
                </c:pt>
              </c:strCache>
            </c:strRef>
          </c:tx>
          <c:dLbls>
            <c:dLbl>
              <c:idx val="0"/>
              <c:layout>
                <c:manualLayout>
                  <c:x val="-7.4988800045875034E-2"/>
                  <c:y val="-8.1876860593363993E-2"/>
                </c:manualLayout>
              </c:layout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t"/>
              <c:showVal val="1"/>
            </c:dLbl>
            <c:delete val="1"/>
          </c:dLbls>
          <c:cat>
            <c:strRef>
              <c:f>Sheet1!$A$2:$A$10</c:f>
              <c:strCache>
                <c:ptCount val="9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  <c:pt idx="8">
                  <c:v>Q1- 2020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26.5</c:v>
                </c:pt>
                <c:pt idx="1">
                  <c:v>27.4</c:v>
                </c:pt>
                <c:pt idx="2">
                  <c:v>26.9</c:v>
                </c:pt>
                <c:pt idx="3">
                  <c:v>24.2</c:v>
                </c:pt>
                <c:pt idx="4">
                  <c:v>26.8</c:v>
                </c:pt>
                <c:pt idx="5" formatCode="0.0">
                  <c:v>26</c:v>
                </c:pt>
                <c:pt idx="6" formatCode="0.0">
                  <c:v>24.6</c:v>
                </c:pt>
                <c:pt idx="7" formatCode="0.0">
                  <c:v>24</c:v>
                </c:pt>
                <c:pt idx="8" formatCode="0.0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West Bank</c:v>
                </c:pt>
              </c:strCache>
            </c:strRef>
          </c:tx>
          <c:dLbls>
            <c:dLbl>
              <c:idx val="0"/>
              <c:layout>
                <c:manualLayout>
                  <c:x val="-7.0437138689479956E-2"/>
                  <c:y val="-5.846679426484204E-2"/>
                </c:manualLayout>
              </c:layout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4.0185182911104816E-2"/>
                  <c:y val="-6.5366379310344974E-2"/>
                </c:manualLayout>
              </c:layout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trendline>
            <c:trendlineType val="linear"/>
          </c:trendline>
          <c:cat>
            <c:strRef>
              <c:f>Sheet1!$A$2:$A$10</c:f>
              <c:strCache>
                <c:ptCount val="9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  <c:pt idx="8">
                  <c:v>Q1- 2020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18.100000000000001</c:v>
                </c:pt>
                <c:pt idx="1">
                  <c:v>18.5</c:v>
                </c:pt>
                <c:pt idx="2">
                  <c:v>17</c:v>
                </c:pt>
                <c:pt idx="3">
                  <c:v>15.8</c:v>
                </c:pt>
                <c:pt idx="4">
                  <c:v>16.399999999999999</c:v>
                </c:pt>
                <c:pt idx="5" formatCode="0.0">
                  <c:v>15</c:v>
                </c:pt>
                <c:pt idx="6" formatCode="0.0">
                  <c:v>13.3</c:v>
                </c:pt>
                <c:pt idx="7">
                  <c:v>13.7</c:v>
                </c:pt>
                <c:pt idx="8">
                  <c:v>14.2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Gaza Strip</c:v>
                </c:pt>
              </c:strCache>
            </c:strRef>
          </c:tx>
          <c:dLbls>
            <c:dLbl>
              <c:idx val="0"/>
              <c:layout>
                <c:manualLayout>
                  <c:x val="-6.8274920345926901E-2"/>
                  <c:y val="-5.4623488099882954E-2"/>
                </c:manualLayout>
              </c:layout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elete val="1"/>
          </c:dLbls>
          <c:cat>
            <c:strRef>
              <c:f>Sheet1!$A$2:$A$10</c:f>
              <c:strCache>
                <c:ptCount val="9"/>
                <c:pt idx="0">
                  <c:v>Q1-2018</c:v>
                </c:pt>
                <c:pt idx="1">
                  <c:v>Q2- 2018</c:v>
                </c:pt>
                <c:pt idx="2">
                  <c:v>Q3-2018</c:v>
                </c:pt>
                <c:pt idx="3">
                  <c:v>Q4-2018</c:v>
                </c:pt>
                <c:pt idx="4">
                  <c:v>Q1-2019</c:v>
                </c:pt>
                <c:pt idx="5">
                  <c:v>Q2-2019</c:v>
                </c:pt>
                <c:pt idx="6">
                  <c:v>Q3-2019</c:v>
                </c:pt>
                <c:pt idx="7">
                  <c:v>Q4-2019</c:v>
                </c:pt>
                <c:pt idx="8">
                  <c:v>Q1- 2020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41.7</c:v>
                </c:pt>
                <c:pt idx="1">
                  <c:v>44.3</c:v>
                </c:pt>
                <c:pt idx="2">
                  <c:v>45.9</c:v>
                </c:pt>
                <c:pt idx="3">
                  <c:v>40.9</c:v>
                </c:pt>
                <c:pt idx="4">
                  <c:v>46.3</c:v>
                </c:pt>
                <c:pt idx="5">
                  <c:v>46.7</c:v>
                </c:pt>
                <c:pt idx="6">
                  <c:v>45.1</c:v>
                </c:pt>
                <c:pt idx="7">
                  <c:v>42.7</c:v>
                </c:pt>
                <c:pt idx="8">
                  <c:v>45.5</c:v>
                </c:pt>
              </c:numCache>
            </c:numRef>
          </c:val>
        </c:ser>
        <c:marker val="1"/>
        <c:axId val="218462080"/>
        <c:axId val="218463616"/>
      </c:lineChart>
      <c:catAx>
        <c:axId val="2184620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99"/>
            </a:pPr>
            <a:endParaRPr lang="ar-SA"/>
          </a:p>
        </c:txPr>
        <c:crossAx val="218463616"/>
        <c:crosses val="autoZero"/>
        <c:auto val="1"/>
        <c:lblAlgn val="ctr"/>
        <c:lblOffset val="100"/>
      </c:catAx>
      <c:valAx>
        <c:axId val="21846361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99"/>
            </a:pPr>
            <a:endParaRPr lang="ar-SA"/>
          </a:p>
        </c:txPr>
        <c:crossAx val="218462080"/>
        <c:crosses val="autoZero"/>
        <c:crossBetween val="between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11965161794222091"/>
          <c:y val="0.5777058776743822"/>
          <c:w val="0.85090592049696223"/>
          <c:h val="0.11762220631511959"/>
        </c:manualLayout>
      </c:layout>
      <c:txPr>
        <a:bodyPr/>
        <a:lstStyle/>
        <a:p>
          <a:pPr>
            <a:defRPr sz="699"/>
          </a:pPr>
          <a:endParaRPr lang="ar-SA"/>
        </a:p>
      </c:txPr>
    </c:legend>
    <c:plotVisOnly val="1"/>
    <c:dispBlanksAs val="gap"/>
  </c:chart>
  <c:spPr>
    <a:ln cap="rnd">
      <a:solidFill>
        <a:schemeClr val="tx1"/>
      </a:solidFill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D9BC-B8A0-4590-AB7D-4CF272CD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</dc:creator>
  <cp:lastModifiedBy>adwikat</cp:lastModifiedBy>
  <cp:revision>2</cp:revision>
  <cp:lastPrinted>2020-05-28T07:51:00Z</cp:lastPrinted>
  <dcterms:created xsi:type="dcterms:W3CDTF">2020-05-31T11:28:00Z</dcterms:created>
  <dcterms:modified xsi:type="dcterms:W3CDTF">2020-05-31T11:28:00Z</dcterms:modified>
</cp:coreProperties>
</file>