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2B" w:rsidRDefault="00574F2B" w:rsidP="00D336A4">
      <w:pPr>
        <w:bidi w:val="0"/>
        <w:jc w:val="both"/>
        <w:rPr>
          <w:b/>
          <w:bCs/>
          <w:sz w:val="28"/>
          <w:szCs w:val="28"/>
          <w:rtl/>
        </w:rPr>
      </w:pPr>
    </w:p>
    <w:p w:rsidR="00574F2B" w:rsidRDefault="00574F2B" w:rsidP="00574F2B">
      <w:pPr>
        <w:bidi w:val="0"/>
        <w:jc w:val="both"/>
        <w:rPr>
          <w:b/>
          <w:bCs/>
          <w:sz w:val="28"/>
          <w:szCs w:val="28"/>
          <w:rtl/>
        </w:rPr>
      </w:pPr>
    </w:p>
    <w:p w:rsidR="00D336A4" w:rsidRPr="00574F2B" w:rsidRDefault="00D336A4" w:rsidP="00574F2B">
      <w:pPr>
        <w:bidi w:val="0"/>
        <w:jc w:val="both"/>
        <w:rPr>
          <w:b/>
          <w:bCs/>
          <w:sz w:val="32"/>
          <w:szCs w:val="32"/>
          <w:lang w:eastAsia="en-US"/>
        </w:rPr>
      </w:pPr>
      <w:r w:rsidRPr="00574F2B">
        <w:rPr>
          <w:b/>
          <w:bCs/>
          <w:sz w:val="32"/>
          <w:szCs w:val="32"/>
        </w:rPr>
        <w:t>Dr. Awad Presents a Brief on Palestinians at the End of 2020</w:t>
      </w:r>
    </w:p>
    <w:p w:rsidR="00D336A4" w:rsidRPr="00574F2B" w:rsidRDefault="00D336A4" w:rsidP="00D336A4">
      <w:pPr>
        <w:jc w:val="center"/>
        <w:rPr>
          <w:b/>
          <w:bCs/>
          <w:sz w:val="16"/>
          <w:szCs w:val="16"/>
          <w:rtl/>
        </w:rPr>
      </w:pPr>
    </w:p>
    <w:p w:rsidR="00574F2B" w:rsidRPr="00574F2B" w:rsidRDefault="00574F2B" w:rsidP="00D336A4">
      <w:pPr>
        <w:jc w:val="center"/>
        <w:rPr>
          <w:b/>
          <w:bCs/>
          <w:sz w:val="16"/>
          <w:szCs w:val="16"/>
          <w:rtl/>
        </w:rPr>
      </w:pPr>
    </w:p>
    <w:p w:rsidR="00574F2B" w:rsidRDefault="00D336A4" w:rsidP="00D336A4">
      <w:pPr>
        <w:pStyle w:val="Heading5"/>
        <w:bidi w:val="0"/>
        <w:rPr>
          <w:rFonts w:cs="Times New Roman"/>
          <w:color w:val="auto"/>
          <w:sz w:val="32"/>
          <w:szCs w:val="32"/>
          <w:rtl/>
        </w:rPr>
      </w:pPr>
      <w:r w:rsidRPr="00574F2B">
        <w:rPr>
          <w:rFonts w:cs="Times New Roman"/>
          <w:color w:val="auto"/>
          <w:sz w:val="32"/>
          <w:szCs w:val="32"/>
        </w:rPr>
        <w:t xml:space="preserve">H.E Dr. Ola Awad, Palestinian Central Bureau of Statistics (PCBS) President presents a brief on the status of Palestinian people </w:t>
      </w:r>
    </w:p>
    <w:p w:rsidR="00D336A4" w:rsidRPr="00574F2B" w:rsidRDefault="00574F2B" w:rsidP="00574F2B">
      <w:pPr>
        <w:pStyle w:val="Heading5"/>
        <w:bidi w:val="0"/>
        <w:rPr>
          <w:rFonts w:cs="Times New Roman"/>
          <w:color w:val="auto"/>
          <w:sz w:val="32"/>
          <w:szCs w:val="32"/>
        </w:rPr>
      </w:pPr>
      <w:proofErr w:type="gramStart"/>
      <w:r>
        <w:rPr>
          <w:rFonts w:cs="Times New Roman"/>
          <w:color w:val="auto"/>
          <w:sz w:val="32"/>
          <w:szCs w:val="32"/>
        </w:rPr>
        <w:t>a</w:t>
      </w:r>
      <w:r w:rsidR="00D336A4" w:rsidRPr="00574F2B">
        <w:rPr>
          <w:rFonts w:cs="Times New Roman"/>
          <w:color w:val="auto"/>
          <w:sz w:val="32"/>
          <w:szCs w:val="32"/>
        </w:rPr>
        <w:t>t</w:t>
      </w:r>
      <w:proofErr w:type="gramEnd"/>
      <w:r>
        <w:rPr>
          <w:rFonts w:cs="Times New Roman" w:hint="cs"/>
          <w:color w:val="auto"/>
          <w:sz w:val="32"/>
          <w:szCs w:val="32"/>
          <w:rtl/>
        </w:rPr>
        <w:t xml:space="preserve"> </w:t>
      </w:r>
      <w:r w:rsidR="00D336A4" w:rsidRPr="00574F2B">
        <w:rPr>
          <w:rFonts w:cs="Times New Roman"/>
          <w:color w:val="auto"/>
          <w:sz w:val="32"/>
          <w:szCs w:val="32"/>
        </w:rPr>
        <w:t>The end of 2020</w:t>
      </w:r>
    </w:p>
    <w:p w:rsidR="00D336A4" w:rsidRDefault="00D336A4" w:rsidP="00D725C5">
      <w:pPr>
        <w:bidi w:val="0"/>
        <w:jc w:val="both"/>
        <w:rPr>
          <w:b/>
          <w:bCs/>
          <w:sz w:val="16"/>
          <w:szCs w:val="16"/>
        </w:rPr>
      </w:pPr>
    </w:p>
    <w:p w:rsidR="00D336A4" w:rsidRPr="00D336A4" w:rsidRDefault="00D336A4" w:rsidP="00D336A4">
      <w:pPr>
        <w:bidi w:val="0"/>
        <w:jc w:val="both"/>
        <w:rPr>
          <w:b/>
          <w:bCs/>
          <w:sz w:val="16"/>
          <w:szCs w:val="16"/>
        </w:rPr>
      </w:pPr>
    </w:p>
    <w:p w:rsidR="00C723E9" w:rsidRPr="00574F2B" w:rsidRDefault="00D725C5" w:rsidP="00574F2B">
      <w:pPr>
        <w:bidi w:val="0"/>
        <w:jc w:val="both"/>
        <w:rPr>
          <w:b/>
          <w:bCs/>
          <w:sz w:val="26"/>
          <w:szCs w:val="26"/>
          <w:rtl/>
        </w:rPr>
      </w:pPr>
      <w:r w:rsidRPr="00574F2B">
        <w:rPr>
          <w:b/>
          <w:bCs/>
          <w:sz w:val="26"/>
          <w:szCs w:val="26"/>
        </w:rPr>
        <w:t>About 13.7 million Palestinians live around the world at the end of 2020</w:t>
      </w:r>
    </w:p>
    <w:p w:rsidR="006E698D" w:rsidRPr="00574F2B" w:rsidRDefault="006E698D" w:rsidP="003F7FEB">
      <w:pPr>
        <w:bidi w:val="0"/>
        <w:jc w:val="lowKashida"/>
        <w:rPr>
          <w:sz w:val="26"/>
          <w:szCs w:val="26"/>
        </w:rPr>
      </w:pPr>
      <w:r w:rsidRPr="00574F2B">
        <w:rPr>
          <w:sz w:val="26"/>
          <w:szCs w:val="26"/>
        </w:rPr>
        <w:t xml:space="preserve">The </w:t>
      </w:r>
      <w:r w:rsidR="00C433D0" w:rsidRPr="00574F2B">
        <w:rPr>
          <w:sz w:val="26"/>
          <w:szCs w:val="26"/>
        </w:rPr>
        <w:t xml:space="preserve">projected </w:t>
      </w:r>
      <w:r w:rsidRPr="00574F2B">
        <w:rPr>
          <w:sz w:val="26"/>
          <w:szCs w:val="26"/>
        </w:rPr>
        <w:t>number of Palestinians at the end of 2020 is estimated at 13.7 million, of whom 5.2 million live in the State of Palestine</w:t>
      </w:r>
      <w:r w:rsidR="002020BC" w:rsidRPr="00574F2B">
        <w:rPr>
          <w:sz w:val="26"/>
          <w:szCs w:val="26"/>
        </w:rPr>
        <w:t>, about 1.6 million Palestinians live</w:t>
      </w:r>
      <w:r w:rsidR="00335394" w:rsidRPr="00574F2B">
        <w:rPr>
          <w:sz w:val="26"/>
          <w:szCs w:val="26"/>
        </w:rPr>
        <w:t xml:space="preserve"> in the 1948</w:t>
      </w:r>
      <w:r w:rsidR="003F7FEB" w:rsidRPr="00574F2B">
        <w:rPr>
          <w:sz w:val="26"/>
          <w:szCs w:val="26"/>
        </w:rPr>
        <w:t xml:space="preserve"> territories</w:t>
      </w:r>
      <w:r w:rsidR="001E2C0B" w:rsidRPr="00574F2B">
        <w:rPr>
          <w:sz w:val="26"/>
          <w:szCs w:val="26"/>
        </w:rPr>
        <w:t>,</w:t>
      </w:r>
      <w:r w:rsidR="00335394" w:rsidRPr="00574F2B">
        <w:rPr>
          <w:sz w:val="26"/>
          <w:szCs w:val="26"/>
        </w:rPr>
        <w:t xml:space="preserve"> about</w:t>
      </w:r>
      <w:r w:rsidRPr="00574F2B">
        <w:rPr>
          <w:sz w:val="26"/>
          <w:szCs w:val="26"/>
        </w:rPr>
        <w:t xml:space="preserve"> </w:t>
      </w:r>
      <w:r w:rsidR="001E2C0B" w:rsidRPr="00574F2B">
        <w:rPr>
          <w:sz w:val="26"/>
          <w:szCs w:val="26"/>
        </w:rPr>
        <w:t>6.2 million live</w:t>
      </w:r>
      <w:r w:rsidR="00D725C5" w:rsidRPr="00574F2B">
        <w:rPr>
          <w:sz w:val="26"/>
          <w:szCs w:val="26"/>
        </w:rPr>
        <w:t xml:space="preserve"> in Arab States and 738 thousand live in foreign countries.</w:t>
      </w:r>
      <w:r w:rsidR="001E2C0B" w:rsidRPr="00574F2B">
        <w:rPr>
          <w:sz w:val="26"/>
          <w:szCs w:val="26"/>
        </w:rPr>
        <w:t xml:space="preserve"> </w:t>
      </w:r>
    </w:p>
    <w:p w:rsidR="0082798F" w:rsidRPr="00574F2B" w:rsidRDefault="0082798F" w:rsidP="00D336A4">
      <w:pPr>
        <w:jc w:val="right"/>
        <w:rPr>
          <w:sz w:val="16"/>
          <w:szCs w:val="16"/>
          <w:rtl/>
          <w:lang w:eastAsia="en-US"/>
        </w:rPr>
      </w:pPr>
    </w:p>
    <w:p w:rsidR="00376EDF" w:rsidRPr="00574F2B" w:rsidRDefault="00376EDF" w:rsidP="005772AD">
      <w:pPr>
        <w:bidi w:val="0"/>
        <w:jc w:val="lowKashida"/>
        <w:rPr>
          <w:b/>
          <w:bCs/>
          <w:sz w:val="26"/>
          <w:szCs w:val="26"/>
        </w:rPr>
      </w:pPr>
      <w:r w:rsidRPr="00574F2B">
        <w:rPr>
          <w:b/>
          <w:bCs/>
          <w:sz w:val="26"/>
          <w:szCs w:val="26"/>
        </w:rPr>
        <w:t xml:space="preserve">About 6.8 million Palestinians living in historical Palestine. </w:t>
      </w:r>
    </w:p>
    <w:p w:rsidR="00376EDF" w:rsidRPr="00574F2B" w:rsidRDefault="00376EDF" w:rsidP="003F5067">
      <w:pPr>
        <w:bidi w:val="0"/>
        <w:jc w:val="lowKashida"/>
        <w:rPr>
          <w:sz w:val="26"/>
          <w:szCs w:val="26"/>
        </w:rPr>
      </w:pPr>
      <w:r w:rsidRPr="00574F2B">
        <w:rPr>
          <w:sz w:val="26"/>
          <w:szCs w:val="26"/>
        </w:rPr>
        <w:t>PCBS estimates indicate that there were around 6.</w:t>
      </w:r>
      <w:r w:rsidRPr="00574F2B">
        <w:rPr>
          <w:rFonts w:hint="cs"/>
          <w:sz w:val="26"/>
          <w:szCs w:val="26"/>
          <w:rtl/>
        </w:rPr>
        <w:t>80</w:t>
      </w:r>
      <w:r w:rsidRPr="00574F2B">
        <w:rPr>
          <w:sz w:val="26"/>
          <w:szCs w:val="26"/>
        </w:rPr>
        <w:t xml:space="preserve"> million Palestinians living in</w:t>
      </w:r>
      <w:r w:rsidR="003F5067" w:rsidRPr="00574F2B">
        <w:rPr>
          <w:sz w:val="26"/>
          <w:szCs w:val="26"/>
        </w:rPr>
        <w:t xml:space="preserve"> the</w:t>
      </w:r>
      <w:r w:rsidRPr="00574F2B">
        <w:rPr>
          <w:sz w:val="26"/>
          <w:szCs w:val="26"/>
        </w:rPr>
        <w:t xml:space="preserve"> historical Palestine at the end of </w:t>
      </w:r>
      <w:r w:rsidRPr="00574F2B">
        <w:rPr>
          <w:rFonts w:hint="cs"/>
          <w:sz w:val="26"/>
          <w:szCs w:val="26"/>
          <w:rtl/>
        </w:rPr>
        <w:t>2020</w:t>
      </w:r>
      <w:r w:rsidRPr="00574F2B">
        <w:rPr>
          <w:sz w:val="26"/>
          <w:szCs w:val="26"/>
        </w:rPr>
        <w:t xml:space="preserve">.   Where the </w:t>
      </w:r>
      <w:r w:rsidRPr="00574F2B">
        <w:rPr>
          <w:vanish/>
          <w:sz w:val="26"/>
          <w:szCs w:val="26"/>
        </w:rPr>
        <w:t>o achd 201211</w:t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vanish/>
          <w:sz w:val="26"/>
          <w:szCs w:val="26"/>
        </w:rPr>
        <w:pgNum/>
      </w:r>
      <w:r w:rsidRPr="00574F2B">
        <w:rPr>
          <w:sz w:val="26"/>
          <w:szCs w:val="26"/>
        </w:rPr>
        <w:t>number of Jewish</w:t>
      </w:r>
      <w:r w:rsidR="003F5067" w:rsidRPr="00574F2B">
        <w:rPr>
          <w:sz w:val="26"/>
          <w:szCs w:val="26"/>
        </w:rPr>
        <w:t xml:space="preserve"> population</w:t>
      </w:r>
      <w:r w:rsidRPr="00574F2B">
        <w:rPr>
          <w:sz w:val="26"/>
          <w:szCs w:val="26"/>
        </w:rPr>
        <w:t xml:space="preserve"> is expected to reach 6.</w:t>
      </w:r>
      <w:r w:rsidRPr="00574F2B">
        <w:rPr>
          <w:rFonts w:hint="cs"/>
          <w:sz w:val="26"/>
          <w:szCs w:val="26"/>
          <w:rtl/>
        </w:rPr>
        <w:t>88</w:t>
      </w:r>
      <w:r w:rsidRPr="00574F2B">
        <w:rPr>
          <w:sz w:val="26"/>
          <w:szCs w:val="26"/>
        </w:rPr>
        <w:t xml:space="preserve"> million </w:t>
      </w:r>
      <w:r w:rsidR="003F5067" w:rsidRPr="00574F2B">
        <w:rPr>
          <w:sz w:val="26"/>
          <w:szCs w:val="26"/>
        </w:rPr>
        <w:t>at</w:t>
      </w:r>
      <w:r w:rsidRPr="00574F2B">
        <w:rPr>
          <w:sz w:val="26"/>
          <w:szCs w:val="26"/>
        </w:rPr>
        <w:t xml:space="preserve"> the end of </w:t>
      </w:r>
      <w:r w:rsidRPr="00574F2B">
        <w:rPr>
          <w:rFonts w:hint="cs"/>
          <w:sz w:val="26"/>
          <w:szCs w:val="26"/>
          <w:rtl/>
        </w:rPr>
        <w:t>2020</w:t>
      </w:r>
      <w:r w:rsidRPr="00574F2B">
        <w:rPr>
          <w:sz w:val="26"/>
          <w:szCs w:val="26"/>
        </w:rPr>
        <w:t xml:space="preserve">.  The number of Palestinians and </w:t>
      </w:r>
      <w:r w:rsidRPr="00574F2B">
        <w:rPr>
          <w:rFonts w:cs="Simplified Arabic"/>
          <w:sz w:val="26"/>
          <w:szCs w:val="26"/>
        </w:rPr>
        <w:t>Jewish</w:t>
      </w:r>
      <w:r w:rsidR="00260AFA" w:rsidRPr="00574F2B">
        <w:rPr>
          <w:rFonts w:cs="Simplified Arabic"/>
          <w:sz w:val="26"/>
          <w:szCs w:val="26"/>
        </w:rPr>
        <w:t xml:space="preserve"> population</w:t>
      </w:r>
      <w:r w:rsidRPr="00574F2B">
        <w:rPr>
          <w:b/>
          <w:bCs/>
          <w:sz w:val="26"/>
          <w:szCs w:val="26"/>
        </w:rPr>
        <w:t xml:space="preserve"> </w:t>
      </w:r>
      <w:r w:rsidRPr="00574F2B">
        <w:rPr>
          <w:sz w:val="26"/>
          <w:szCs w:val="26"/>
        </w:rPr>
        <w:t>will be equal at the end of 2022. The number of Palestinians and Jewish will be about 7.1 million each.</w:t>
      </w:r>
    </w:p>
    <w:p w:rsidR="00376EDF" w:rsidRPr="00574F2B" w:rsidRDefault="00376EDF" w:rsidP="00376EDF">
      <w:pPr>
        <w:bidi w:val="0"/>
        <w:jc w:val="lowKashida"/>
        <w:rPr>
          <w:b/>
          <w:bCs/>
          <w:sz w:val="16"/>
          <w:szCs w:val="16"/>
        </w:rPr>
      </w:pPr>
    </w:p>
    <w:p w:rsidR="00F219C2" w:rsidRPr="00574F2B" w:rsidRDefault="00F219C2" w:rsidP="00376EDF">
      <w:pPr>
        <w:bidi w:val="0"/>
        <w:jc w:val="lowKashida"/>
        <w:rPr>
          <w:b/>
          <w:bCs/>
          <w:sz w:val="26"/>
          <w:szCs w:val="26"/>
        </w:rPr>
      </w:pPr>
      <w:r w:rsidRPr="00574F2B">
        <w:rPr>
          <w:b/>
          <w:bCs/>
          <w:sz w:val="26"/>
          <w:szCs w:val="26"/>
        </w:rPr>
        <w:t>More than one third of the Palestinian population resides in Gaza Strip at the end of 2020</w:t>
      </w:r>
    </w:p>
    <w:p w:rsidR="00465267" w:rsidRPr="00574F2B" w:rsidRDefault="00F219C2" w:rsidP="00256FD6">
      <w:pPr>
        <w:bidi w:val="0"/>
        <w:jc w:val="lowKashida"/>
        <w:rPr>
          <w:sz w:val="26"/>
          <w:szCs w:val="26"/>
        </w:rPr>
      </w:pPr>
      <w:r w:rsidRPr="00574F2B">
        <w:rPr>
          <w:sz w:val="26"/>
          <w:szCs w:val="26"/>
        </w:rPr>
        <w:t xml:space="preserve">The </w:t>
      </w:r>
      <w:r w:rsidR="00C433D0" w:rsidRPr="00574F2B">
        <w:rPr>
          <w:sz w:val="26"/>
          <w:szCs w:val="26"/>
        </w:rPr>
        <w:t xml:space="preserve">projected </w:t>
      </w:r>
      <w:r w:rsidRPr="00574F2B">
        <w:rPr>
          <w:sz w:val="26"/>
          <w:szCs w:val="26"/>
        </w:rPr>
        <w:t xml:space="preserve">number of </w:t>
      </w:r>
      <w:r w:rsidR="00C433D0" w:rsidRPr="00574F2B">
        <w:rPr>
          <w:sz w:val="26"/>
          <w:szCs w:val="26"/>
        </w:rPr>
        <w:t xml:space="preserve">Palestinians </w:t>
      </w:r>
      <w:r w:rsidRPr="00574F2B">
        <w:rPr>
          <w:sz w:val="26"/>
          <w:szCs w:val="26"/>
        </w:rPr>
        <w:t xml:space="preserve">in the State of Palestine </w:t>
      </w:r>
      <w:r w:rsidR="00545FDD" w:rsidRPr="00574F2B">
        <w:rPr>
          <w:sz w:val="26"/>
          <w:szCs w:val="26"/>
        </w:rPr>
        <w:t>is estimated at 5.2 million Palestinians, of about 3.1 million in the West Bank and 2.1 million in Gaza Strip. The percentage of refugees in 2017 reached 42% out of the total number of the Palestinian population living in the State of Palestine; 26% in the West Bank and 66% in Gaza Strip.</w:t>
      </w:r>
    </w:p>
    <w:p w:rsidR="00C723E9" w:rsidRPr="00574F2B" w:rsidRDefault="00C723E9" w:rsidP="00D336A4">
      <w:pPr>
        <w:jc w:val="right"/>
        <w:rPr>
          <w:sz w:val="16"/>
          <w:szCs w:val="16"/>
          <w:u w:val="single"/>
          <w:rtl/>
          <w:lang w:eastAsia="en-US"/>
        </w:rPr>
      </w:pPr>
    </w:p>
    <w:p w:rsidR="00465267" w:rsidRPr="00574F2B" w:rsidRDefault="00465267" w:rsidP="00256FD6">
      <w:pPr>
        <w:bidi w:val="0"/>
        <w:rPr>
          <w:b/>
          <w:bCs/>
          <w:sz w:val="26"/>
          <w:szCs w:val="26"/>
        </w:rPr>
      </w:pPr>
      <w:r w:rsidRPr="00574F2B">
        <w:rPr>
          <w:b/>
          <w:bCs/>
          <w:sz w:val="26"/>
          <w:szCs w:val="26"/>
        </w:rPr>
        <w:t>A Decline in Fertility Rates</w:t>
      </w:r>
    </w:p>
    <w:p w:rsidR="00465267" w:rsidRPr="00574F2B" w:rsidRDefault="00465267" w:rsidP="00446DC7">
      <w:pPr>
        <w:bidi w:val="0"/>
        <w:jc w:val="lowKashida"/>
        <w:rPr>
          <w:sz w:val="26"/>
          <w:szCs w:val="26"/>
        </w:rPr>
      </w:pPr>
      <w:r w:rsidRPr="00574F2B">
        <w:rPr>
          <w:sz w:val="26"/>
          <w:szCs w:val="26"/>
        </w:rPr>
        <w:t>The total fertility rate during (2017 – 2019) has declined to reach 3.8 births, compared to 4.6 births in 1999; 3.8 births in the West Bank and 3.9 births in Gaza Strip.</w:t>
      </w:r>
    </w:p>
    <w:p w:rsidR="00C723E9" w:rsidRPr="00574F2B" w:rsidRDefault="00C723E9" w:rsidP="007D4A6F">
      <w:pPr>
        <w:tabs>
          <w:tab w:val="left" w:pos="5400"/>
        </w:tabs>
        <w:jc w:val="lowKashida"/>
        <w:rPr>
          <w:sz w:val="16"/>
          <w:szCs w:val="16"/>
          <w:lang w:eastAsia="en-US"/>
        </w:rPr>
      </w:pPr>
      <w:r w:rsidRPr="00574F2B">
        <w:rPr>
          <w:sz w:val="16"/>
          <w:szCs w:val="16"/>
          <w:rtl/>
          <w:lang w:eastAsia="en-US"/>
        </w:rPr>
        <w:t xml:space="preserve"> </w:t>
      </w:r>
    </w:p>
    <w:p w:rsidR="00D336A4" w:rsidRPr="00574F2B" w:rsidRDefault="00D336A4" w:rsidP="007D4A6F">
      <w:pPr>
        <w:tabs>
          <w:tab w:val="left" w:pos="5400"/>
        </w:tabs>
        <w:jc w:val="lowKashida"/>
        <w:rPr>
          <w:sz w:val="16"/>
          <w:szCs w:val="16"/>
          <w:lang w:eastAsia="en-US"/>
        </w:rPr>
      </w:pPr>
    </w:p>
    <w:p w:rsidR="00465267" w:rsidRPr="00574F2B" w:rsidRDefault="00465267" w:rsidP="00312B2B">
      <w:pPr>
        <w:tabs>
          <w:tab w:val="left" w:pos="5400"/>
        </w:tabs>
        <w:jc w:val="center"/>
        <w:rPr>
          <w:b/>
          <w:bCs/>
          <w:sz w:val="26"/>
          <w:szCs w:val="26"/>
          <w:rtl/>
          <w:lang w:eastAsia="en-US"/>
        </w:rPr>
      </w:pPr>
      <w:r w:rsidRPr="00574F2B">
        <w:rPr>
          <w:b/>
          <w:bCs/>
          <w:sz w:val="26"/>
          <w:szCs w:val="26"/>
          <w:lang w:eastAsia="en-US"/>
        </w:rPr>
        <w:t>Fertility Rate in the State of Palestine, Selected Years</w:t>
      </w:r>
    </w:p>
    <w:p w:rsidR="00C35C2F" w:rsidRPr="00574F2B" w:rsidRDefault="00C35C2F" w:rsidP="00574F2B">
      <w:pPr>
        <w:tabs>
          <w:tab w:val="left" w:pos="5400"/>
        </w:tabs>
        <w:jc w:val="center"/>
        <w:rPr>
          <w:b/>
          <w:bCs/>
          <w:sz w:val="26"/>
          <w:szCs w:val="26"/>
          <w:lang w:eastAsia="en-US"/>
        </w:rPr>
      </w:pPr>
      <w:r w:rsidRPr="00574F2B">
        <w:rPr>
          <w:noProof/>
          <w:sz w:val="26"/>
          <w:szCs w:val="26"/>
          <w:rtl/>
          <w:lang w:eastAsia="en-US"/>
        </w:rPr>
        <w:drawing>
          <wp:inline distT="0" distB="0" distL="0" distR="0" wp14:anchorId="426AA0CA" wp14:editId="0FA7460B">
            <wp:extent cx="3238500" cy="1838325"/>
            <wp:effectExtent l="0" t="0" r="0" b="9525"/>
            <wp:docPr id="6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053A" w:rsidRPr="00574F2B" w:rsidRDefault="00A5053A" w:rsidP="00D336A4">
      <w:pPr>
        <w:tabs>
          <w:tab w:val="left" w:pos="5400"/>
        </w:tabs>
        <w:jc w:val="right"/>
        <w:rPr>
          <w:noProof/>
          <w:sz w:val="26"/>
          <w:szCs w:val="26"/>
          <w:rtl/>
          <w:lang w:eastAsia="en-US"/>
        </w:rPr>
      </w:pPr>
    </w:p>
    <w:p w:rsidR="00465267" w:rsidRPr="00574F2B" w:rsidRDefault="00465267" w:rsidP="00B27CDC">
      <w:pPr>
        <w:tabs>
          <w:tab w:val="left" w:pos="5400"/>
        </w:tabs>
        <w:jc w:val="right"/>
        <w:rPr>
          <w:b/>
          <w:bCs/>
          <w:sz w:val="26"/>
          <w:szCs w:val="26"/>
          <w:lang w:eastAsia="en-US"/>
        </w:rPr>
      </w:pPr>
      <w:r w:rsidRPr="00574F2B">
        <w:rPr>
          <w:b/>
          <w:bCs/>
          <w:sz w:val="26"/>
          <w:szCs w:val="26"/>
          <w:lang w:eastAsia="en-US"/>
        </w:rPr>
        <w:t xml:space="preserve">A Decline in the </w:t>
      </w:r>
      <w:r w:rsidR="007277FE" w:rsidRPr="00574F2B">
        <w:rPr>
          <w:b/>
          <w:bCs/>
          <w:sz w:val="26"/>
          <w:szCs w:val="26"/>
          <w:lang w:eastAsia="en-US"/>
        </w:rPr>
        <w:t xml:space="preserve">Average </w:t>
      </w:r>
      <w:r w:rsidRPr="00574F2B">
        <w:rPr>
          <w:b/>
          <w:bCs/>
          <w:sz w:val="26"/>
          <w:szCs w:val="26"/>
          <w:lang w:eastAsia="en-US"/>
        </w:rPr>
        <w:t>Household Size</w:t>
      </w:r>
    </w:p>
    <w:p w:rsidR="00465267" w:rsidRPr="00574F2B" w:rsidRDefault="00465267" w:rsidP="003F7FEB">
      <w:pPr>
        <w:bidi w:val="0"/>
        <w:jc w:val="lowKashida"/>
        <w:rPr>
          <w:sz w:val="26"/>
          <w:szCs w:val="26"/>
        </w:rPr>
      </w:pPr>
      <w:r w:rsidRPr="00574F2B">
        <w:rPr>
          <w:sz w:val="26"/>
          <w:szCs w:val="26"/>
        </w:rPr>
        <w:t xml:space="preserve">The average size of the </w:t>
      </w:r>
      <w:r w:rsidR="007277FE" w:rsidRPr="00574F2B">
        <w:rPr>
          <w:sz w:val="26"/>
          <w:szCs w:val="26"/>
        </w:rPr>
        <w:t xml:space="preserve">Palestinian </w:t>
      </w:r>
      <w:r w:rsidRPr="00574F2B">
        <w:rPr>
          <w:sz w:val="26"/>
          <w:szCs w:val="26"/>
        </w:rPr>
        <w:t>household has dropped to 5.1 individuals in 2019</w:t>
      </w:r>
      <w:r w:rsidR="003F7FEB" w:rsidRPr="00574F2B">
        <w:rPr>
          <w:sz w:val="26"/>
          <w:szCs w:val="26"/>
        </w:rPr>
        <w:t>,</w:t>
      </w:r>
      <w:r w:rsidRPr="00574F2B">
        <w:rPr>
          <w:sz w:val="26"/>
          <w:szCs w:val="26"/>
        </w:rPr>
        <w:t xml:space="preserve"> compared to 6.1 individuals in 2000; 4.9 individuals in the West Bank and 5.5 individuals in Gaza Strip. </w:t>
      </w:r>
    </w:p>
    <w:p w:rsidR="00915822" w:rsidRPr="00574F2B" w:rsidRDefault="00915822" w:rsidP="00D336A4">
      <w:pPr>
        <w:jc w:val="right"/>
        <w:rPr>
          <w:b/>
          <w:bCs/>
          <w:sz w:val="16"/>
          <w:szCs w:val="16"/>
          <w:rtl/>
          <w:lang w:eastAsia="en-US"/>
        </w:rPr>
      </w:pPr>
    </w:p>
    <w:p w:rsidR="00574F2B" w:rsidRDefault="00574F2B" w:rsidP="00B27CDC">
      <w:pPr>
        <w:jc w:val="center"/>
        <w:rPr>
          <w:b/>
          <w:bCs/>
          <w:sz w:val="26"/>
          <w:szCs w:val="26"/>
          <w:lang w:eastAsia="en-US"/>
        </w:rPr>
      </w:pPr>
    </w:p>
    <w:p w:rsidR="00574F2B" w:rsidRDefault="00574F2B" w:rsidP="00B27CDC">
      <w:pPr>
        <w:jc w:val="center"/>
        <w:rPr>
          <w:b/>
          <w:bCs/>
          <w:sz w:val="26"/>
          <w:szCs w:val="26"/>
          <w:lang w:eastAsia="en-US"/>
        </w:rPr>
      </w:pPr>
    </w:p>
    <w:p w:rsidR="00574F2B" w:rsidRDefault="00574F2B" w:rsidP="00B27CDC">
      <w:pPr>
        <w:jc w:val="center"/>
        <w:rPr>
          <w:b/>
          <w:bCs/>
          <w:sz w:val="26"/>
          <w:szCs w:val="26"/>
          <w:lang w:eastAsia="en-US"/>
        </w:rPr>
      </w:pPr>
    </w:p>
    <w:p w:rsidR="00574F2B" w:rsidRDefault="00574F2B" w:rsidP="00B27CDC">
      <w:pPr>
        <w:jc w:val="center"/>
        <w:rPr>
          <w:b/>
          <w:bCs/>
          <w:sz w:val="26"/>
          <w:szCs w:val="26"/>
          <w:lang w:eastAsia="en-US"/>
        </w:rPr>
      </w:pPr>
    </w:p>
    <w:p w:rsidR="00574F2B" w:rsidRDefault="00574F2B" w:rsidP="00B27CDC">
      <w:pPr>
        <w:jc w:val="center"/>
        <w:rPr>
          <w:b/>
          <w:bCs/>
          <w:sz w:val="26"/>
          <w:szCs w:val="26"/>
          <w:lang w:eastAsia="en-US"/>
        </w:rPr>
      </w:pPr>
    </w:p>
    <w:p w:rsidR="00574F2B" w:rsidRDefault="00574F2B" w:rsidP="00B27CDC">
      <w:pPr>
        <w:jc w:val="center"/>
        <w:rPr>
          <w:b/>
          <w:bCs/>
          <w:sz w:val="26"/>
          <w:szCs w:val="26"/>
          <w:lang w:eastAsia="en-US"/>
        </w:rPr>
      </w:pPr>
    </w:p>
    <w:p w:rsidR="00465267" w:rsidRPr="00574F2B" w:rsidRDefault="00761640" w:rsidP="00B27CDC">
      <w:pPr>
        <w:jc w:val="center"/>
        <w:rPr>
          <w:b/>
          <w:bCs/>
          <w:sz w:val="26"/>
          <w:szCs w:val="26"/>
          <w:lang w:eastAsia="en-US"/>
        </w:rPr>
      </w:pPr>
      <w:r w:rsidRPr="00574F2B">
        <w:rPr>
          <w:b/>
          <w:bCs/>
          <w:sz w:val="26"/>
          <w:szCs w:val="26"/>
          <w:lang w:eastAsia="en-US"/>
        </w:rPr>
        <w:t xml:space="preserve">The Average </w:t>
      </w:r>
      <w:r w:rsidR="007277FE" w:rsidRPr="00574F2B">
        <w:rPr>
          <w:b/>
          <w:bCs/>
          <w:sz w:val="26"/>
          <w:szCs w:val="26"/>
          <w:lang w:eastAsia="en-US"/>
        </w:rPr>
        <w:t xml:space="preserve">Household </w:t>
      </w:r>
      <w:r w:rsidR="00446DC7" w:rsidRPr="00574F2B">
        <w:rPr>
          <w:b/>
          <w:bCs/>
          <w:sz w:val="26"/>
          <w:szCs w:val="26"/>
          <w:lang w:eastAsia="en-US"/>
        </w:rPr>
        <w:t>S</w:t>
      </w:r>
      <w:r w:rsidRPr="00574F2B">
        <w:rPr>
          <w:b/>
          <w:bCs/>
          <w:sz w:val="26"/>
          <w:szCs w:val="26"/>
          <w:lang w:eastAsia="en-US"/>
        </w:rPr>
        <w:t>ize in the State of Palestine by Region,</w:t>
      </w:r>
      <w:r w:rsidR="00B27CDC" w:rsidRPr="00574F2B">
        <w:rPr>
          <w:b/>
          <w:bCs/>
          <w:sz w:val="26"/>
          <w:szCs w:val="26"/>
          <w:lang w:eastAsia="en-US"/>
        </w:rPr>
        <w:t xml:space="preserve"> 2019</w:t>
      </w:r>
      <w:r w:rsidRPr="00574F2B">
        <w:rPr>
          <w:b/>
          <w:bCs/>
          <w:sz w:val="26"/>
          <w:szCs w:val="26"/>
          <w:lang w:eastAsia="en-US"/>
        </w:rPr>
        <w:t xml:space="preserve">, </w:t>
      </w:r>
      <w:r w:rsidR="00B27CDC" w:rsidRPr="00574F2B">
        <w:rPr>
          <w:b/>
          <w:bCs/>
          <w:sz w:val="26"/>
          <w:szCs w:val="26"/>
          <w:lang w:eastAsia="en-US"/>
        </w:rPr>
        <w:t>2020</w:t>
      </w:r>
    </w:p>
    <w:p w:rsidR="00C723E9" w:rsidRPr="00574F2B" w:rsidRDefault="00C723E9" w:rsidP="00974D91">
      <w:pPr>
        <w:jc w:val="lowKashida"/>
        <w:rPr>
          <w:sz w:val="26"/>
          <w:szCs w:val="26"/>
          <w:u w:val="single"/>
          <w:rtl/>
          <w:lang w:eastAsia="en-US"/>
        </w:rPr>
      </w:pPr>
      <w:r w:rsidRPr="00574F2B">
        <w:rPr>
          <w:sz w:val="26"/>
          <w:szCs w:val="26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10"/>
      </w:tblGrid>
      <w:tr w:rsidR="00A5053A" w:rsidRPr="00574F2B" w:rsidTr="0037084B">
        <w:trPr>
          <w:jc w:val="center"/>
        </w:trPr>
        <w:tc>
          <w:tcPr>
            <w:tcW w:w="5010" w:type="dxa"/>
          </w:tcPr>
          <w:p w:rsidR="00A5053A" w:rsidRPr="00574F2B" w:rsidRDefault="00E624F4" w:rsidP="00C723E9">
            <w:pPr>
              <w:jc w:val="lowKashida"/>
              <w:rPr>
                <w:noProof/>
                <w:sz w:val="26"/>
                <w:szCs w:val="26"/>
                <w:rtl/>
                <w:lang w:eastAsia="en-US"/>
              </w:rPr>
            </w:pPr>
            <w:bookmarkStart w:id="0" w:name="_GoBack"/>
            <w:r w:rsidRPr="00574F2B">
              <w:rPr>
                <w:noProof/>
                <w:sz w:val="26"/>
                <w:szCs w:val="26"/>
                <w:rtl/>
                <w:lang w:eastAsia="en-US"/>
              </w:rPr>
              <w:drawing>
                <wp:inline distT="0" distB="0" distL="0" distR="0">
                  <wp:extent cx="3152775" cy="1857375"/>
                  <wp:effectExtent l="0" t="0" r="0" b="0"/>
                  <wp:docPr id="2" name="Chart 2" title="region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bookmarkEnd w:id="0"/>
          </w:p>
        </w:tc>
      </w:tr>
    </w:tbl>
    <w:p w:rsidR="00C723E9" w:rsidRPr="00574F2B" w:rsidRDefault="00C723E9" w:rsidP="00574F2B">
      <w:pPr>
        <w:jc w:val="right"/>
        <w:rPr>
          <w:sz w:val="16"/>
          <w:szCs w:val="16"/>
          <w:u w:val="single"/>
          <w:rtl/>
          <w:lang w:eastAsia="en-US"/>
        </w:rPr>
      </w:pPr>
    </w:p>
    <w:p w:rsidR="00C723E9" w:rsidRPr="00574F2B" w:rsidRDefault="00C723E9" w:rsidP="00C723E9">
      <w:pPr>
        <w:jc w:val="lowKashida"/>
        <w:rPr>
          <w:sz w:val="16"/>
          <w:szCs w:val="16"/>
          <w:u w:val="single"/>
          <w:rtl/>
          <w:lang w:eastAsia="en-US"/>
        </w:rPr>
      </w:pPr>
    </w:p>
    <w:p w:rsidR="007277FE" w:rsidRPr="00574F2B" w:rsidRDefault="007277FE" w:rsidP="005B6FD5">
      <w:pPr>
        <w:pStyle w:val="Header"/>
        <w:bidi w:val="0"/>
        <w:rPr>
          <w:rFonts w:cs="Times New Roman"/>
          <w:b/>
          <w:bCs/>
          <w:snapToGrid/>
          <w:sz w:val="26"/>
          <w:szCs w:val="26"/>
          <w:lang w:eastAsia="ar-SA"/>
        </w:rPr>
      </w:pPr>
      <w:r w:rsidRPr="00574F2B">
        <w:rPr>
          <w:rFonts w:cs="Times New Roman"/>
          <w:b/>
          <w:bCs/>
          <w:snapToGrid/>
          <w:sz w:val="26"/>
          <w:szCs w:val="26"/>
          <w:lang w:eastAsia="ar-SA"/>
        </w:rPr>
        <w:t xml:space="preserve">A Decline in </w:t>
      </w:r>
      <w:r w:rsidR="005B6FD5" w:rsidRPr="00574F2B">
        <w:rPr>
          <w:rFonts w:cs="Times New Roman"/>
          <w:b/>
          <w:bCs/>
          <w:snapToGrid/>
          <w:sz w:val="26"/>
          <w:szCs w:val="26"/>
          <w:lang w:eastAsia="ar-SA"/>
        </w:rPr>
        <w:t>Child and Infant Mortality Rates.</w:t>
      </w:r>
    </w:p>
    <w:p w:rsidR="005B6FD5" w:rsidRPr="00574F2B" w:rsidRDefault="005B6FD5" w:rsidP="003F5067">
      <w:pPr>
        <w:bidi w:val="0"/>
        <w:jc w:val="both"/>
        <w:rPr>
          <w:sz w:val="26"/>
          <w:szCs w:val="26"/>
        </w:rPr>
      </w:pPr>
      <w:r w:rsidRPr="00574F2B">
        <w:rPr>
          <w:sz w:val="26"/>
          <w:szCs w:val="26"/>
          <w:lang w:val="en-GB"/>
        </w:rPr>
        <w:t xml:space="preserve">The child mortality rate of children under-five years in Palestine </w:t>
      </w:r>
      <w:r w:rsidRPr="00574F2B">
        <w:rPr>
          <w:sz w:val="26"/>
          <w:szCs w:val="26"/>
        </w:rPr>
        <w:t xml:space="preserve">was </w:t>
      </w:r>
      <w:r w:rsidRPr="00574F2B">
        <w:rPr>
          <w:rFonts w:hint="cs"/>
          <w:sz w:val="26"/>
          <w:szCs w:val="26"/>
          <w:rtl/>
        </w:rPr>
        <w:t>14</w:t>
      </w:r>
      <w:r w:rsidRPr="00574F2B">
        <w:rPr>
          <w:sz w:val="26"/>
          <w:szCs w:val="26"/>
        </w:rPr>
        <w:t xml:space="preserve"> per 1000 live births</w:t>
      </w:r>
      <w:r w:rsidRPr="00574F2B">
        <w:rPr>
          <w:rFonts w:hint="cs"/>
          <w:sz w:val="26"/>
          <w:szCs w:val="26"/>
          <w:rtl/>
        </w:rPr>
        <w:t xml:space="preserve"> </w:t>
      </w:r>
      <w:r w:rsidRPr="00574F2B">
        <w:rPr>
          <w:sz w:val="26"/>
          <w:szCs w:val="26"/>
        </w:rPr>
        <w:t xml:space="preserve">(2015-2019); 15 in the West Bank and 14 in the Gaza Strip. On the other hand, infant mortality rate </w:t>
      </w:r>
      <w:r w:rsidRPr="00574F2B">
        <w:rPr>
          <w:sz w:val="26"/>
          <w:szCs w:val="26"/>
          <w:lang w:val="en-GB"/>
        </w:rPr>
        <w:t xml:space="preserve">in Palestine </w:t>
      </w:r>
      <w:r w:rsidRPr="00574F2B">
        <w:rPr>
          <w:sz w:val="26"/>
          <w:szCs w:val="26"/>
        </w:rPr>
        <w:t xml:space="preserve">reached 12 per 1000 live births; 12 in the West Bank and 13 in the Gaza Strip. Data also indicated a decline in the child mortality rate during the past ten years, where this </w:t>
      </w:r>
      <w:r w:rsidR="003F5067" w:rsidRPr="00574F2B">
        <w:rPr>
          <w:sz w:val="26"/>
          <w:szCs w:val="26"/>
        </w:rPr>
        <w:t>rate</w:t>
      </w:r>
      <w:r w:rsidRPr="00574F2B">
        <w:rPr>
          <w:sz w:val="26"/>
          <w:szCs w:val="26"/>
        </w:rPr>
        <w:t xml:space="preserve"> reached 15 children per 1000 live births.</w:t>
      </w:r>
    </w:p>
    <w:p w:rsidR="00D336A4" w:rsidRPr="00574F2B" w:rsidRDefault="00D336A4" w:rsidP="00D336A4">
      <w:pPr>
        <w:bidi w:val="0"/>
        <w:jc w:val="both"/>
        <w:rPr>
          <w:b/>
          <w:bCs/>
          <w:sz w:val="26"/>
          <w:szCs w:val="26"/>
          <w:lang w:val="en-GB"/>
        </w:rPr>
      </w:pPr>
    </w:p>
    <w:p w:rsidR="005B6FD5" w:rsidRPr="00574F2B" w:rsidRDefault="005B6FD5" w:rsidP="00D336A4">
      <w:pPr>
        <w:bidi w:val="0"/>
        <w:jc w:val="both"/>
        <w:rPr>
          <w:b/>
          <w:bCs/>
          <w:sz w:val="26"/>
          <w:szCs w:val="26"/>
          <w:lang w:val="en-GB"/>
        </w:rPr>
      </w:pPr>
      <w:r w:rsidRPr="00574F2B">
        <w:rPr>
          <w:b/>
          <w:bCs/>
          <w:sz w:val="26"/>
          <w:szCs w:val="26"/>
          <w:lang w:val="en-GB"/>
        </w:rPr>
        <w:t xml:space="preserve">A decline in </w:t>
      </w:r>
      <w:r w:rsidR="003F5067" w:rsidRPr="00574F2B">
        <w:rPr>
          <w:b/>
          <w:bCs/>
          <w:sz w:val="26"/>
          <w:szCs w:val="26"/>
          <w:lang w:val="en-GB"/>
        </w:rPr>
        <w:t>the percentage of</w:t>
      </w:r>
      <w:r w:rsidRPr="00574F2B">
        <w:rPr>
          <w:b/>
          <w:bCs/>
          <w:sz w:val="26"/>
          <w:szCs w:val="26"/>
          <w:lang w:val="en-GB"/>
        </w:rPr>
        <w:t xml:space="preserve"> marriage</w:t>
      </w:r>
      <w:r w:rsidR="003F5067" w:rsidRPr="00574F2B">
        <w:rPr>
          <w:b/>
          <w:bCs/>
          <w:sz w:val="26"/>
          <w:szCs w:val="26"/>
          <w:lang w:val="en-GB"/>
        </w:rPr>
        <w:t>s</w:t>
      </w:r>
      <w:r w:rsidRPr="00574F2B">
        <w:rPr>
          <w:b/>
          <w:bCs/>
          <w:sz w:val="26"/>
          <w:szCs w:val="26"/>
          <w:lang w:val="en-GB"/>
        </w:rPr>
        <w:t xml:space="preserve"> before the age of 18 among females.</w:t>
      </w:r>
    </w:p>
    <w:p w:rsidR="005B6FD5" w:rsidRPr="00574F2B" w:rsidRDefault="005B6FD5" w:rsidP="003F5067">
      <w:pPr>
        <w:bidi w:val="0"/>
        <w:jc w:val="both"/>
        <w:rPr>
          <w:sz w:val="26"/>
          <w:szCs w:val="26"/>
          <w:lang w:val="en-GB" w:eastAsia="en-US"/>
        </w:rPr>
      </w:pPr>
      <w:r w:rsidRPr="00574F2B">
        <w:rPr>
          <w:sz w:val="26"/>
          <w:szCs w:val="26"/>
          <w:lang w:val="en-GB"/>
        </w:rPr>
        <w:t xml:space="preserve">Results indicate that </w:t>
      </w:r>
      <w:r w:rsidRPr="00574F2B">
        <w:rPr>
          <w:sz w:val="26"/>
          <w:szCs w:val="26"/>
        </w:rPr>
        <w:t>about</w:t>
      </w:r>
      <w:r w:rsidRPr="00574F2B">
        <w:rPr>
          <w:sz w:val="26"/>
          <w:szCs w:val="26"/>
          <w:lang w:val="en-GB"/>
        </w:rPr>
        <w:t xml:space="preserve"> 13% of women aged 20-24 years got married for the first time before reaching the age of 18 years; </w:t>
      </w:r>
      <w:r w:rsidRPr="00574F2B">
        <w:rPr>
          <w:sz w:val="26"/>
          <w:szCs w:val="26"/>
        </w:rPr>
        <w:t xml:space="preserve">about </w:t>
      </w:r>
      <w:r w:rsidRPr="00574F2B">
        <w:rPr>
          <w:sz w:val="26"/>
          <w:szCs w:val="26"/>
          <w:lang w:val="en-GB"/>
        </w:rPr>
        <w:t xml:space="preserve">11% in the West Bank compared to </w:t>
      </w:r>
      <w:r w:rsidRPr="00574F2B">
        <w:rPr>
          <w:sz w:val="26"/>
          <w:szCs w:val="26"/>
        </w:rPr>
        <w:t xml:space="preserve">about </w:t>
      </w:r>
      <w:r w:rsidRPr="00574F2B">
        <w:rPr>
          <w:sz w:val="26"/>
          <w:szCs w:val="26"/>
          <w:lang w:val="en-GB"/>
        </w:rPr>
        <w:t xml:space="preserve">17% in Gaza Strip. </w:t>
      </w:r>
    </w:p>
    <w:p w:rsidR="005B6FD5" w:rsidRPr="00574F2B" w:rsidRDefault="005B6FD5" w:rsidP="003F5067">
      <w:pPr>
        <w:bidi w:val="0"/>
        <w:jc w:val="both"/>
        <w:rPr>
          <w:sz w:val="26"/>
          <w:szCs w:val="26"/>
        </w:rPr>
      </w:pPr>
      <w:r w:rsidRPr="00574F2B">
        <w:rPr>
          <w:sz w:val="26"/>
          <w:szCs w:val="26"/>
          <w:lang w:val="en-GB"/>
        </w:rPr>
        <w:t xml:space="preserve">This percentage has decreased compared to 2014, when the percentage of women aged 20-24 years who </w:t>
      </w:r>
      <w:r w:rsidR="003F5067" w:rsidRPr="00574F2B">
        <w:rPr>
          <w:sz w:val="26"/>
          <w:szCs w:val="26"/>
          <w:lang w:val="en-GB"/>
        </w:rPr>
        <w:t>got</w:t>
      </w:r>
      <w:r w:rsidRPr="00574F2B">
        <w:rPr>
          <w:sz w:val="26"/>
          <w:szCs w:val="26"/>
          <w:lang w:val="en-GB"/>
        </w:rPr>
        <w:t xml:space="preserve"> married for the first time before </w:t>
      </w:r>
      <w:r w:rsidR="003F5067" w:rsidRPr="00574F2B">
        <w:rPr>
          <w:sz w:val="26"/>
          <w:szCs w:val="26"/>
          <w:lang w:val="en-GB"/>
        </w:rPr>
        <w:t>reaching the age of</w:t>
      </w:r>
      <w:r w:rsidRPr="00574F2B">
        <w:rPr>
          <w:sz w:val="26"/>
          <w:szCs w:val="26"/>
          <w:lang w:val="en-GB"/>
        </w:rPr>
        <w:t xml:space="preserve"> 18 years </w:t>
      </w:r>
      <w:r w:rsidR="003F5067" w:rsidRPr="00574F2B">
        <w:rPr>
          <w:sz w:val="26"/>
          <w:szCs w:val="26"/>
          <w:lang w:val="en-GB"/>
        </w:rPr>
        <w:t>in Palestine</w:t>
      </w:r>
      <w:r w:rsidRPr="00574F2B">
        <w:rPr>
          <w:sz w:val="26"/>
          <w:szCs w:val="26"/>
          <w:lang w:val="en-GB"/>
        </w:rPr>
        <w:t xml:space="preserve"> 24%. </w:t>
      </w:r>
    </w:p>
    <w:p w:rsidR="005B6FD5" w:rsidRPr="00574F2B" w:rsidRDefault="005B6FD5" w:rsidP="00D336A4">
      <w:pPr>
        <w:bidi w:val="0"/>
        <w:rPr>
          <w:sz w:val="16"/>
          <w:szCs w:val="16"/>
        </w:rPr>
      </w:pPr>
    </w:p>
    <w:p w:rsidR="00CD465D" w:rsidRPr="00574F2B" w:rsidRDefault="00CD465D" w:rsidP="00CD465D">
      <w:pPr>
        <w:bidi w:val="0"/>
        <w:ind w:right="-284"/>
        <w:rPr>
          <w:b/>
          <w:bCs/>
          <w:sz w:val="26"/>
          <w:szCs w:val="26"/>
        </w:rPr>
      </w:pPr>
      <w:r w:rsidRPr="00574F2B">
        <w:rPr>
          <w:b/>
          <w:bCs/>
          <w:sz w:val="26"/>
          <w:szCs w:val="26"/>
        </w:rPr>
        <w:t>High Fertility Rate among Palestinian Women living in Jordan compared to those living in Syria and Lebanon</w:t>
      </w:r>
    </w:p>
    <w:p w:rsidR="00CD465D" w:rsidRPr="00574F2B" w:rsidRDefault="00CD465D" w:rsidP="003F7FEB">
      <w:pPr>
        <w:bidi w:val="0"/>
        <w:jc w:val="lowKashida"/>
        <w:rPr>
          <w:sz w:val="26"/>
          <w:szCs w:val="26"/>
          <w:rtl/>
        </w:rPr>
      </w:pPr>
      <w:r w:rsidRPr="00574F2B">
        <w:rPr>
          <w:sz w:val="26"/>
          <w:szCs w:val="26"/>
        </w:rPr>
        <w:t xml:space="preserve">The total fertility rate of the Palestinian women living in Jordan reached 3.3 births per woman in 2010 </w:t>
      </w:r>
      <w:r w:rsidR="003F7FEB" w:rsidRPr="00574F2B">
        <w:rPr>
          <w:sz w:val="26"/>
          <w:szCs w:val="26"/>
        </w:rPr>
        <w:t>compared</w:t>
      </w:r>
      <w:r w:rsidRPr="00574F2B">
        <w:rPr>
          <w:sz w:val="26"/>
          <w:szCs w:val="26"/>
        </w:rPr>
        <w:t xml:space="preserve"> to 2.5 births for those living in Syria in 2010 and 2.7 births per woman for those living in Lebanon in 2017. </w:t>
      </w:r>
    </w:p>
    <w:p w:rsidR="00CD465D" w:rsidRPr="00574F2B" w:rsidRDefault="00CD465D" w:rsidP="00CD465D">
      <w:pPr>
        <w:bidi w:val="0"/>
        <w:ind w:right="-284"/>
        <w:rPr>
          <w:b/>
          <w:bCs/>
          <w:sz w:val="16"/>
          <w:szCs w:val="16"/>
        </w:rPr>
      </w:pPr>
    </w:p>
    <w:p w:rsidR="00C723E9" w:rsidRPr="00574F2B" w:rsidRDefault="00C723E9" w:rsidP="00C723E9">
      <w:pPr>
        <w:jc w:val="lowKashida"/>
        <w:rPr>
          <w:sz w:val="16"/>
          <w:szCs w:val="16"/>
          <w:rtl/>
        </w:rPr>
      </w:pPr>
    </w:p>
    <w:p w:rsidR="00CD465D" w:rsidRPr="00574F2B" w:rsidRDefault="00CD465D" w:rsidP="00CD465D">
      <w:pPr>
        <w:bidi w:val="0"/>
        <w:jc w:val="center"/>
        <w:rPr>
          <w:b/>
          <w:bCs/>
          <w:sz w:val="26"/>
          <w:szCs w:val="26"/>
        </w:rPr>
      </w:pPr>
      <w:r w:rsidRPr="00574F2B">
        <w:rPr>
          <w:b/>
          <w:bCs/>
          <w:sz w:val="26"/>
          <w:szCs w:val="26"/>
        </w:rPr>
        <w:t xml:space="preserve">Selected Demographic Indicators on the Palestinians by Place of Residency, selected years </w:t>
      </w:r>
    </w:p>
    <w:tbl>
      <w:tblPr>
        <w:tblStyle w:val="MediumGrid2-Accent6"/>
        <w:tblW w:w="5617" w:type="dxa"/>
        <w:jc w:val="center"/>
        <w:tblLook w:val="00A0" w:firstRow="1" w:lastRow="0" w:firstColumn="1" w:lastColumn="0" w:noHBand="0" w:noVBand="0"/>
      </w:tblPr>
      <w:tblGrid>
        <w:gridCol w:w="1718"/>
        <w:gridCol w:w="2056"/>
        <w:gridCol w:w="1843"/>
      </w:tblGrid>
      <w:tr w:rsidR="001D0D82" w:rsidRPr="00574F2B" w:rsidTr="00574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82" w:rsidRPr="00574F2B" w:rsidRDefault="00CD465D" w:rsidP="00535B2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Place o</w:t>
            </w:r>
            <w:r w:rsidR="00A158C4"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f Residency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top w:val="single" w:sz="4" w:space="0" w:color="auto" w:shadow="1" w:frame="1"/>
              <w:left w:val="single" w:sz="4" w:space="0" w:color="auto"/>
              <w:bottom w:val="single" w:sz="4" w:space="0" w:color="auto"/>
            </w:tcBorders>
          </w:tcPr>
          <w:p w:rsidR="001D0D82" w:rsidRPr="00574F2B" w:rsidRDefault="00A158C4" w:rsidP="00721C43">
            <w:pPr>
              <w:pStyle w:val="Heading9"/>
              <w:jc w:val="center"/>
              <w:outlineLvl w:val="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Average Household Size</w:t>
            </w:r>
          </w:p>
        </w:tc>
        <w:tc>
          <w:tcPr>
            <w:tcW w:w="1843" w:type="dxa"/>
            <w:tcBorders>
              <w:top w:val="single" w:sz="4" w:space="0" w:color="auto" w:shadow="1" w:frame="1"/>
              <w:bottom w:val="single" w:sz="4" w:space="0" w:color="auto"/>
              <w:right w:val="single" w:sz="4" w:space="0" w:color="auto"/>
            </w:tcBorders>
          </w:tcPr>
          <w:p w:rsidR="001D0D82" w:rsidRPr="00574F2B" w:rsidRDefault="00C433D0" w:rsidP="00721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Total </w:t>
            </w:r>
            <w:r w:rsidR="00A158C4"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Fertility Rate</w:t>
            </w: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5118CC" w:rsidRPr="00574F2B" w:rsidTr="0057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CC" w:rsidRPr="00574F2B" w:rsidRDefault="00A158C4" w:rsidP="00A158C4">
            <w:pPr>
              <w:bidi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Jordan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118CC" w:rsidRPr="00574F2B" w:rsidRDefault="00C67697" w:rsidP="00C6769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**</w:t>
            </w:r>
            <w:r w:rsidR="00E46B3C" w:rsidRPr="00574F2B">
              <w:rPr>
                <w:rFonts w:ascii="Times New Roman" w:hAnsi="Times New Roman" w:cs="Times New Roman"/>
                <w:color w:val="auto"/>
                <w:sz w:val="26"/>
                <w:szCs w:val="26"/>
                <w:rtl/>
              </w:rPr>
              <w:t>5.1</w:t>
            </w:r>
          </w:p>
        </w:tc>
        <w:tc>
          <w:tcPr>
            <w:tcW w:w="1843" w:type="dxa"/>
            <w:tcBorders>
              <w:right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5118CC" w:rsidRPr="00574F2B" w:rsidRDefault="00C67697" w:rsidP="0051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  <w:rtl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3.3*</w:t>
            </w:r>
          </w:p>
        </w:tc>
      </w:tr>
      <w:tr w:rsidR="00CE6F87" w:rsidRPr="00574F2B" w:rsidTr="00574F2B">
        <w:trPr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574F2B" w:rsidRDefault="00A158C4" w:rsidP="00A158C4">
            <w:pPr>
              <w:bidi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Syria</w:t>
            </w:r>
            <w:r w:rsidR="00CE6F87" w:rsidRPr="00574F2B">
              <w:rPr>
                <w:rFonts w:ascii="Times New Roman" w:hAnsi="Times New Roman" w:cs="Times New Roman"/>
                <w:color w:val="auto"/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E6F87" w:rsidRPr="00574F2B" w:rsidRDefault="00C67697" w:rsidP="005118C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*</w:t>
            </w:r>
            <w:r w:rsidR="00CE6F87" w:rsidRPr="00574F2B">
              <w:rPr>
                <w:rFonts w:ascii="Times New Roman" w:hAnsi="Times New Roman" w:cs="Times New Roman"/>
                <w:color w:val="auto"/>
                <w:sz w:val="26"/>
                <w:szCs w:val="26"/>
                <w:rtl/>
              </w:rPr>
              <w:t>4.1</w:t>
            </w:r>
          </w:p>
        </w:tc>
        <w:tc>
          <w:tcPr>
            <w:tcW w:w="1843" w:type="dxa"/>
            <w:tcBorders>
              <w:right w:val="single" w:sz="4" w:space="0" w:color="auto" w:shadow="1" w:frame="1"/>
            </w:tcBorders>
            <w:vAlign w:val="center"/>
          </w:tcPr>
          <w:p w:rsidR="00CE6F87" w:rsidRPr="00574F2B" w:rsidRDefault="00C67697" w:rsidP="0051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2.5*</w:t>
            </w:r>
          </w:p>
        </w:tc>
      </w:tr>
      <w:tr w:rsidR="00CE6F87" w:rsidRPr="00574F2B" w:rsidTr="0057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574F2B" w:rsidRDefault="00A158C4" w:rsidP="00A158C4">
            <w:pPr>
              <w:bidi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Lebanon</w:t>
            </w:r>
            <w:r w:rsidR="005D42C9" w:rsidRPr="00574F2B">
              <w:rPr>
                <w:rFonts w:ascii="Times New Roman" w:hAnsi="Times New Roman" w:cs="Times New Roman"/>
                <w:color w:val="auto"/>
                <w:sz w:val="26"/>
                <w:szCs w:val="26"/>
                <w:rtl/>
              </w:rPr>
              <w:t xml:space="preserve"> </w:t>
            </w:r>
            <w:r w:rsidR="00CE6F87" w:rsidRPr="00574F2B">
              <w:rPr>
                <w:rFonts w:ascii="Times New Roman" w:hAnsi="Times New Roman" w:cs="Times New Roman"/>
                <w:color w:val="auto"/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single" w:sz="4" w:space="0" w:color="auto"/>
              <w:bottom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CE6F87" w:rsidRPr="00574F2B" w:rsidRDefault="00C67697" w:rsidP="00C6769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4.0***</w:t>
            </w:r>
          </w:p>
        </w:tc>
        <w:tc>
          <w:tcPr>
            <w:tcW w:w="1843" w:type="dxa"/>
            <w:tcBorders>
              <w:bottom w:val="single" w:sz="4" w:space="0" w:color="auto" w:shadow="1" w:frame="1"/>
              <w:right w:val="single" w:sz="4" w:space="0" w:color="auto" w:shadow="1" w:frame="1"/>
            </w:tcBorders>
            <w:vAlign w:val="center"/>
          </w:tcPr>
          <w:p w:rsidR="00CE6F87" w:rsidRPr="00574F2B" w:rsidRDefault="00C67697" w:rsidP="00B30B8F">
            <w:pPr>
              <w:ind w:firstLine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4F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2.7***</w:t>
            </w:r>
          </w:p>
        </w:tc>
      </w:tr>
    </w:tbl>
    <w:p w:rsidR="00574F2B" w:rsidRDefault="00574F2B" w:rsidP="00574F2B">
      <w:pPr>
        <w:bidi w:val="0"/>
        <w:rPr>
          <w:sz w:val="20"/>
          <w:szCs w:val="20"/>
        </w:rPr>
      </w:pPr>
    </w:p>
    <w:p w:rsidR="00C723E9" w:rsidRPr="00574F2B" w:rsidRDefault="00574F2B" w:rsidP="00574F2B">
      <w:pPr>
        <w:bidi w:val="0"/>
        <w:rPr>
          <w:sz w:val="20"/>
          <w:szCs w:val="20"/>
          <w:rtl/>
        </w:rPr>
      </w:pPr>
      <w:r>
        <w:rPr>
          <w:sz w:val="20"/>
          <w:szCs w:val="20"/>
        </w:rPr>
        <w:t>*</w:t>
      </w:r>
      <w:r w:rsidR="00D3184E" w:rsidRPr="00574F2B">
        <w:rPr>
          <w:sz w:val="20"/>
          <w:szCs w:val="20"/>
        </w:rPr>
        <w:t xml:space="preserve">Data </w:t>
      </w:r>
      <w:r w:rsidR="00C433D0" w:rsidRPr="00574F2B">
        <w:rPr>
          <w:sz w:val="20"/>
          <w:szCs w:val="20"/>
        </w:rPr>
        <w:t>represent</w:t>
      </w:r>
      <w:r w:rsidR="00C67697" w:rsidRPr="00574F2B">
        <w:rPr>
          <w:sz w:val="20"/>
          <w:szCs w:val="20"/>
        </w:rPr>
        <w:t>s</w:t>
      </w:r>
      <w:r w:rsidR="00C433D0" w:rsidRPr="00574F2B">
        <w:rPr>
          <w:sz w:val="20"/>
          <w:szCs w:val="20"/>
        </w:rPr>
        <w:t xml:space="preserve"> </w:t>
      </w:r>
      <w:r w:rsidR="00D15564" w:rsidRPr="00574F2B">
        <w:rPr>
          <w:sz w:val="20"/>
          <w:szCs w:val="20"/>
          <w:rtl/>
        </w:rPr>
        <w:t>2010</w:t>
      </w:r>
    </w:p>
    <w:p w:rsidR="00D15564" w:rsidRPr="00574F2B" w:rsidRDefault="00D15564" w:rsidP="00D3184E">
      <w:pPr>
        <w:bidi w:val="0"/>
        <w:rPr>
          <w:sz w:val="20"/>
          <w:szCs w:val="20"/>
          <w:rtl/>
        </w:rPr>
      </w:pPr>
      <w:r w:rsidRPr="00574F2B">
        <w:rPr>
          <w:sz w:val="20"/>
          <w:szCs w:val="20"/>
          <w:rtl/>
        </w:rPr>
        <w:t xml:space="preserve">** </w:t>
      </w:r>
      <w:r w:rsidR="00D3184E" w:rsidRPr="00574F2B">
        <w:rPr>
          <w:sz w:val="20"/>
          <w:szCs w:val="20"/>
        </w:rPr>
        <w:t xml:space="preserve"> Data </w:t>
      </w:r>
      <w:r w:rsidR="00C433D0" w:rsidRPr="00574F2B">
        <w:rPr>
          <w:sz w:val="20"/>
          <w:szCs w:val="20"/>
        </w:rPr>
        <w:t>represent</w:t>
      </w:r>
      <w:r w:rsidR="00C67697" w:rsidRPr="00574F2B">
        <w:rPr>
          <w:sz w:val="20"/>
          <w:szCs w:val="20"/>
        </w:rPr>
        <w:t>s</w:t>
      </w:r>
      <w:r w:rsidR="00C433D0" w:rsidRPr="00574F2B">
        <w:rPr>
          <w:sz w:val="20"/>
          <w:szCs w:val="20"/>
        </w:rPr>
        <w:t xml:space="preserve"> </w:t>
      </w:r>
      <w:r w:rsidRPr="00574F2B">
        <w:rPr>
          <w:sz w:val="20"/>
          <w:szCs w:val="20"/>
          <w:rtl/>
        </w:rPr>
        <w:t>2011</w:t>
      </w:r>
    </w:p>
    <w:p w:rsidR="00D736D3" w:rsidRPr="00574F2B" w:rsidRDefault="00D736D3" w:rsidP="00D3184E">
      <w:pPr>
        <w:bidi w:val="0"/>
        <w:rPr>
          <w:sz w:val="20"/>
          <w:szCs w:val="20"/>
        </w:rPr>
      </w:pPr>
      <w:r w:rsidRPr="00574F2B">
        <w:rPr>
          <w:sz w:val="20"/>
          <w:szCs w:val="20"/>
          <w:rtl/>
        </w:rPr>
        <w:t xml:space="preserve">*** </w:t>
      </w:r>
      <w:r w:rsidR="00D3184E" w:rsidRPr="00574F2B">
        <w:rPr>
          <w:sz w:val="20"/>
          <w:szCs w:val="20"/>
        </w:rPr>
        <w:t xml:space="preserve">Data </w:t>
      </w:r>
      <w:r w:rsidR="00C433D0" w:rsidRPr="00574F2B">
        <w:rPr>
          <w:sz w:val="20"/>
          <w:szCs w:val="20"/>
        </w:rPr>
        <w:t>represent</w:t>
      </w:r>
      <w:r w:rsidR="00C67697" w:rsidRPr="00574F2B">
        <w:rPr>
          <w:sz w:val="20"/>
          <w:szCs w:val="20"/>
        </w:rPr>
        <w:t>s</w:t>
      </w:r>
      <w:r w:rsidR="00C433D0" w:rsidRPr="00574F2B">
        <w:rPr>
          <w:sz w:val="20"/>
          <w:szCs w:val="20"/>
        </w:rPr>
        <w:t xml:space="preserve"> </w:t>
      </w:r>
      <w:r w:rsidRPr="00574F2B">
        <w:rPr>
          <w:sz w:val="20"/>
          <w:szCs w:val="20"/>
          <w:rtl/>
        </w:rPr>
        <w:t>2017</w:t>
      </w:r>
    </w:p>
    <w:p w:rsidR="00F35E20" w:rsidRPr="00574F2B" w:rsidRDefault="00F35E20" w:rsidP="00D336A4">
      <w:pPr>
        <w:jc w:val="right"/>
        <w:rPr>
          <w:sz w:val="16"/>
          <w:szCs w:val="16"/>
          <w:rtl/>
        </w:rPr>
      </w:pPr>
    </w:p>
    <w:p w:rsidR="009B6339" w:rsidRPr="00574F2B" w:rsidRDefault="009B6339" w:rsidP="00256FD6">
      <w:pPr>
        <w:bidi w:val="0"/>
        <w:rPr>
          <w:b/>
          <w:bCs/>
          <w:sz w:val="26"/>
          <w:szCs w:val="26"/>
        </w:rPr>
      </w:pPr>
      <w:r w:rsidRPr="00574F2B">
        <w:rPr>
          <w:b/>
          <w:bCs/>
          <w:sz w:val="26"/>
          <w:szCs w:val="26"/>
        </w:rPr>
        <w:t xml:space="preserve">The Palestinian Society in the 1948 </w:t>
      </w:r>
      <w:r w:rsidR="00722837" w:rsidRPr="00574F2B">
        <w:rPr>
          <w:b/>
          <w:bCs/>
          <w:sz w:val="26"/>
          <w:szCs w:val="26"/>
        </w:rPr>
        <w:t xml:space="preserve">Territories </w:t>
      </w:r>
      <w:r w:rsidRPr="00574F2B">
        <w:rPr>
          <w:b/>
          <w:bCs/>
          <w:sz w:val="26"/>
          <w:szCs w:val="26"/>
        </w:rPr>
        <w:t xml:space="preserve">is </w:t>
      </w:r>
      <w:r w:rsidR="00722837" w:rsidRPr="00574F2B">
        <w:rPr>
          <w:b/>
          <w:bCs/>
          <w:sz w:val="26"/>
          <w:szCs w:val="26"/>
        </w:rPr>
        <w:t xml:space="preserve">a </w:t>
      </w:r>
      <w:r w:rsidRPr="00574F2B">
        <w:rPr>
          <w:b/>
          <w:bCs/>
          <w:sz w:val="26"/>
          <w:szCs w:val="26"/>
        </w:rPr>
        <w:t xml:space="preserve">Young Society </w:t>
      </w:r>
    </w:p>
    <w:p w:rsidR="009B6339" w:rsidRPr="00574F2B" w:rsidRDefault="009B6339" w:rsidP="00722837">
      <w:pPr>
        <w:bidi w:val="0"/>
        <w:jc w:val="lowKashida"/>
        <w:rPr>
          <w:sz w:val="26"/>
          <w:szCs w:val="26"/>
        </w:rPr>
      </w:pPr>
      <w:r w:rsidRPr="00574F2B">
        <w:rPr>
          <w:sz w:val="26"/>
          <w:szCs w:val="26"/>
        </w:rPr>
        <w:t xml:space="preserve">The number of Palestinians living in the 1948 </w:t>
      </w:r>
      <w:r w:rsidR="00722837" w:rsidRPr="00574F2B">
        <w:rPr>
          <w:sz w:val="26"/>
          <w:szCs w:val="26"/>
        </w:rPr>
        <w:t xml:space="preserve">Territories </w:t>
      </w:r>
      <w:r w:rsidRPr="00574F2B">
        <w:rPr>
          <w:sz w:val="26"/>
          <w:szCs w:val="26"/>
        </w:rPr>
        <w:t>is estimated at 1.63 million Palestinians at the end of 2020. The percentage of male population under 15 years reached 32.4% compared to 31.4% of females. In addition, the percentage of males aged 65 years and above reached 4.5% compared to</w:t>
      </w:r>
      <w:r w:rsidR="006D4D0C" w:rsidRPr="00574F2B">
        <w:rPr>
          <w:sz w:val="26"/>
          <w:szCs w:val="26"/>
        </w:rPr>
        <w:t xml:space="preserve"> </w:t>
      </w:r>
      <w:r w:rsidRPr="00574F2B">
        <w:rPr>
          <w:sz w:val="26"/>
          <w:szCs w:val="26"/>
        </w:rPr>
        <w:t>5.4% of females during 2019.</w:t>
      </w:r>
    </w:p>
    <w:p w:rsidR="003E4102" w:rsidRPr="00574F2B" w:rsidRDefault="003E4102" w:rsidP="00D336A4">
      <w:pPr>
        <w:bidi w:val="0"/>
        <w:rPr>
          <w:sz w:val="16"/>
          <w:szCs w:val="16"/>
        </w:rPr>
      </w:pPr>
    </w:p>
    <w:p w:rsidR="00574F2B" w:rsidRDefault="00574F2B" w:rsidP="003E1B78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</w:p>
    <w:p w:rsidR="00574F2B" w:rsidRDefault="00574F2B" w:rsidP="00574F2B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</w:p>
    <w:p w:rsidR="000414B9" w:rsidRPr="00574F2B" w:rsidRDefault="000414B9" w:rsidP="00574F2B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>The number of employed persons decreased by 82 thousand in the 3</w:t>
      </w:r>
      <w:r w:rsidRPr="00574F2B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rd</w:t>
      </w:r>
      <w:r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quarter of 2020 compared </w:t>
      </w:r>
      <w:r w:rsidR="003E1B78"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>with the</w:t>
      </w:r>
      <w:r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3</w:t>
      </w:r>
      <w:r w:rsidRPr="00574F2B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rd</w:t>
      </w:r>
      <w:r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proofErr w:type="gramStart"/>
      <w:r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quarter </w:t>
      </w:r>
      <w:r w:rsidR="003E1B78"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of</w:t>
      </w:r>
      <w:proofErr w:type="gramEnd"/>
      <w:r w:rsidR="003E1B78"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>2019</w:t>
      </w:r>
    </w:p>
    <w:p w:rsidR="000414B9" w:rsidRPr="00574F2B" w:rsidRDefault="000414B9" w:rsidP="003E1B78">
      <w:pPr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574F2B">
        <w:rPr>
          <w:rFonts w:asciiTheme="majorBidi" w:hAnsiTheme="majorBidi" w:cstheme="majorBidi"/>
          <w:sz w:val="26"/>
          <w:szCs w:val="26"/>
          <w:lang w:val="en-GB"/>
        </w:rPr>
        <w:t>The number of employed persons</w:t>
      </w:r>
      <w:r w:rsidRPr="00574F2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574F2B">
        <w:rPr>
          <w:rFonts w:asciiTheme="majorBidi" w:hAnsiTheme="majorBidi" w:cstheme="majorBidi"/>
          <w:sz w:val="26"/>
          <w:szCs w:val="26"/>
          <w:lang w:val="en-GB"/>
        </w:rPr>
        <w:t xml:space="preserve">decreased from </w:t>
      </w:r>
      <w:proofErr w:type="gramStart"/>
      <w:r w:rsidRPr="00574F2B">
        <w:rPr>
          <w:rFonts w:asciiTheme="majorBidi" w:hAnsiTheme="majorBidi" w:cstheme="majorBidi"/>
          <w:sz w:val="26"/>
          <w:szCs w:val="26"/>
          <w:lang w:val="en-GB"/>
        </w:rPr>
        <w:t xml:space="preserve">1,022  </w:t>
      </w:r>
      <w:r w:rsidRPr="00574F2B">
        <w:rPr>
          <w:sz w:val="26"/>
          <w:szCs w:val="26"/>
          <w:lang w:val="en-GB"/>
        </w:rPr>
        <w:t>thousand</w:t>
      </w:r>
      <w:proofErr w:type="gramEnd"/>
      <w:r w:rsidRPr="00574F2B">
        <w:rPr>
          <w:sz w:val="26"/>
          <w:szCs w:val="26"/>
          <w:lang w:val="en-GB"/>
        </w:rPr>
        <w:t xml:space="preserve"> </w:t>
      </w:r>
      <w:r w:rsidRPr="00574F2B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3E1B78" w:rsidRPr="00574F2B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3E1B78" w:rsidRPr="00574F2B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rd</w:t>
      </w:r>
      <w:r w:rsidRPr="00574F2B">
        <w:rPr>
          <w:rFonts w:asciiTheme="majorBidi" w:hAnsiTheme="majorBidi" w:cstheme="majorBidi"/>
          <w:sz w:val="26"/>
          <w:szCs w:val="26"/>
          <w:lang w:val="en-GB"/>
        </w:rPr>
        <w:t xml:space="preserve"> quarter of 2019 to 935 </w:t>
      </w:r>
      <w:r w:rsidRPr="00574F2B">
        <w:rPr>
          <w:sz w:val="26"/>
          <w:szCs w:val="26"/>
          <w:lang w:val="en-GB"/>
        </w:rPr>
        <w:t xml:space="preserve">thousand </w:t>
      </w:r>
      <w:r w:rsidRPr="00574F2B">
        <w:rPr>
          <w:rFonts w:asciiTheme="majorBidi" w:hAnsiTheme="majorBidi" w:cstheme="majorBidi"/>
          <w:sz w:val="26"/>
          <w:szCs w:val="26"/>
          <w:lang w:val="en-GB"/>
        </w:rPr>
        <w:t>in the 3</w:t>
      </w:r>
      <w:r w:rsidRPr="00574F2B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rd</w:t>
      </w:r>
      <w:r w:rsidRPr="00574F2B">
        <w:rPr>
          <w:rFonts w:asciiTheme="majorBidi" w:hAnsiTheme="majorBidi" w:cstheme="majorBidi"/>
          <w:sz w:val="26"/>
          <w:szCs w:val="26"/>
          <w:lang w:val="en-GB"/>
        </w:rPr>
        <w:t xml:space="preserve"> quarter of 2020, by 8%. It decreased in Gaza Strip by 17% compared to the </w:t>
      </w:r>
      <w:r w:rsidR="003E1B78" w:rsidRPr="00574F2B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3E1B78" w:rsidRPr="00574F2B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rd</w:t>
      </w:r>
      <w:r w:rsidRPr="00574F2B">
        <w:rPr>
          <w:rFonts w:asciiTheme="majorBidi" w:hAnsiTheme="majorBidi" w:cstheme="majorBidi"/>
          <w:sz w:val="26"/>
          <w:szCs w:val="26"/>
          <w:lang w:val="en-GB"/>
        </w:rPr>
        <w:t xml:space="preserve"> quarter 2019, </w:t>
      </w:r>
      <w:r w:rsidR="003E1B78" w:rsidRPr="00574F2B">
        <w:rPr>
          <w:rFonts w:asciiTheme="majorBidi" w:hAnsiTheme="majorBidi" w:cstheme="majorBidi"/>
          <w:sz w:val="26"/>
          <w:szCs w:val="26"/>
          <w:lang w:val="en-GB"/>
        </w:rPr>
        <w:t>and</w:t>
      </w:r>
      <w:r w:rsidRPr="00574F2B">
        <w:rPr>
          <w:rFonts w:asciiTheme="majorBidi" w:hAnsiTheme="majorBidi" w:cstheme="majorBidi"/>
          <w:sz w:val="26"/>
          <w:szCs w:val="26"/>
          <w:lang w:val="en-GB"/>
        </w:rPr>
        <w:t xml:space="preserve"> decreased by 5.5% in the West Bank for the same period.</w:t>
      </w:r>
    </w:p>
    <w:p w:rsidR="000414B9" w:rsidRPr="00574F2B" w:rsidRDefault="000414B9" w:rsidP="000414B9">
      <w:pPr>
        <w:jc w:val="right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0414B9" w:rsidRPr="00574F2B" w:rsidRDefault="000414B9" w:rsidP="000414B9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6"/>
          <w:szCs w:val="26"/>
          <w:lang w:val="en-GB"/>
        </w:rPr>
      </w:pPr>
      <w:r w:rsidRPr="00574F2B">
        <w:rPr>
          <w:b/>
          <w:bCs/>
          <w:sz w:val="26"/>
          <w:szCs w:val="26"/>
          <w:lang w:val="en-GB"/>
        </w:rPr>
        <w:t>13% of employed persons were absent from their jobs during the 3</w:t>
      </w:r>
      <w:r w:rsidRPr="00574F2B">
        <w:rPr>
          <w:b/>
          <w:bCs/>
          <w:sz w:val="26"/>
          <w:szCs w:val="26"/>
          <w:vertAlign w:val="superscript"/>
          <w:lang w:val="en-GB"/>
        </w:rPr>
        <w:t xml:space="preserve">rd </w:t>
      </w:r>
      <w:r w:rsidRPr="00574F2B">
        <w:rPr>
          <w:b/>
          <w:bCs/>
          <w:sz w:val="26"/>
          <w:szCs w:val="26"/>
          <w:lang w:val="en-GB"/>
        </w:rPr>
        <w:t>quarter of 2020 due to the pandemic</w:t>
      </w:r>
    </w:p>
    <w:p w:rsidR="000414B9" w:rsidRPr="00574F2B" w:rsidRDefault="000414B9" w:rsidP="003E1B78">
      <w:pPr>
        <w:bidi w:val="0"/>
        <w:jc w:val="both"/>
        <w:rPr>
          <w:sz w:val="26"/>
          <w:szCs w:val="26"/>
          <w:lang w:val="en-GB"/>
        </w:rPr>
      </w:pPr>
      <w:r w:rsidRPr="00574F2B">
        <w:rPr>
          <w:sz w:val="26"/>
          <w:szCs w:val="26"/>
          <w:lang w:val="en-GB"/>
        </w:rPr>
        <w:t xml:space="preserve">The results showed that the number of employed persons who were absent from their jobs increased from 99 thousand in the </w:t>
      </w:r>
      <w:r w:rsidR="003E1B78" w:rsidRPr="00574F2B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3E1B78" w:rsidRPr="00574F2B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rd</w:t>
      </w:r>
      <w:r w:rsidRPr="00574F2B">
        <w:rPr>
          <w:sz w:val="26"/>
          <w:szCs w:val="26"/>
          <w:lang w:val="en-GB"/>
        </w:rPr>
        <w:t xml:space="preserve"> quarter 2019 to 11</w:t>
      </w:r>
      <w:r w:rsidRPr="00574F2B">
        <w:rPr>
          <w:sz w:val="26"/>
          <w:szCs w:val="26"/>
        </w:rPr>
        <w:t>7</w:t>
      </w:r>
      <w:r w:rsidRPr="00574F2B">
        <w:rPr>
          <w:sz w:val="26"/>
          <w:szCs w:val="26"/>
          <w:lang w:val="en-GB"/>
        </w:rPr>
        <w:t xml:space="preserve"> thousand in 3</w:t>
      </w:r>
      <w:r w:rsidRPr="00574F2B">
        <w:rPr>
          <w:sz w:val="26"/>
          <w:szCs w:val="26"/>
          <w:vertAlign w:val="superscript"/>
          <w:lang w:val="en-GB"/>
        </w:rPr>
        <w:t>rd</w:t>
      </w:r>
      <w:r w:rsidRPr="00574F2B">
        <w:rPr>
          <w:sz w:val="26"/>
          <w:szCs w:val="26"/>
          <w:lang w:val="en-GB"/>
        </w:rPr>
        <w:t xml:space="preserve"> quarter 2020 by 18%</w:t>
      </w:r>
      <w:r w:rsidRPr="00574F2B">
        <w:rPr>
          <w:rFonts w:hint="cs"/>
          <w:sz w:val="26"/>
          <w:szCs w:val="26"/>
          <w:rtl/>
          <w:lang w:val="en-GB"/>
        </w:rPr>
        <w:t xml:space="preserve"> </w:t>
      </w:r>
      <w:r w:rsidRPr="00574F2B">
        <w:rPr>
          <w:sz w:val="26"/>
          <w:szCs w:val="26"/>
          <w:lang w:val="en-GB"/>
        </w:rPr>
        <w:t>The reasons for such absence are mainly related to COVID-19 pandemic</w:t>
      </w:r>
      <w:r w:rsidR="003E1B78" w:rsidRPr="00574F2B">
        <w:rPr>
          <w:sz w:val="26"/>
          <w:szCs w:val="26"/>
          <w:lang w:val="en-GB"/>
        </w:rPr>
        <w:t xml:space="preserve"> </w:t>
      </w:r>
      <w:r w:rsidRPr="00574F2B">
        <w:rPr>
          <w:sz w:val="26"/>
          <w:szCs w:val="26"/>
        </w:rPr>
        <w:t>and</w:t>
      </w:r>
      <w:r w:rsidRPr="00574F2B">
        <w:rPr>
          <w:sz w:val="26"/>
          <w:szCs w:val="26"/>
          <w:lang w:val="en-GB"/>
        </w:rPr>
        <w:t xml:space="preserve"> </w:t>
      </w:r>
      <w:r w:rsidR="003E1B78" w:rsidRPr="00574F2B">
        <w:rPr>
          <w:sz w:val="26"/>
          <w:szCs w:val="26"/>
          <w:lang w:val="en-GB"/>
        </w:rPr>
        <w:t>procedure followed to mitigate it spreads</w:t>
      </w:r>
    </w:p>
    <w:p w:rsidR="000414B9" w:rsidRPr="00574F2B" w:rsidRDefault="000414B9" w:rsidP="00D336A4">
      <w:pPr>
        <w:bidi w:val="0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0414B9" w:rsidRPr="00574F2B" w:rsidRDefault="000414B9" w:rsidP="000414B9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6"/>
          <w:szCs w:val="26"/>
          <w:lang w:val="en-GB"/>
        </w:rPr>
      </w:pPr>
      <w:r w:rsidRPr="00574F2B">
        <w:rPr>
          <w:b/>
          <w:bCs/>
          <w:sz w:val="26"/>
          <w:szCs w:val="26"/>
          <w:lang w:val="en-GB"/>
        </w:rPr>
        <w:t>A decrease in the number of employed persons in the local market between the 3</w:t>
      </w:r>
      <w:r w:rsidRPr="00574F2B">
        <w:rPr>
          <w:b/>
          <w:bCs/>
          <w:sz w:val="26"/>
          <w:szCs w:val="26"/>
          <w:vertAlign w:val="superscript"/>
          <w:lang w:val="en-GB"/>
        </w:rPr>
        <w:t>rd</w:t>
      </w:r>
      <w:r w:rsidRPr="00574F2B">
        <w:rPr>
          <w:b/>
          <w:bCs/>
          <w:sz w:val="26"/>
          <w:szCs w:val="26"/>
          <w:lang w:val="en-GB"/>
        </w:rPr>
        <w:t xml:space="preserve"> quarter </w:t>
      </w:r>
      <w:proofErr w:type="gramStart"/>
      <w:r w:rsidRPr="00574F2B">
        <w:rPr>
          <w:b/>
          <w:bCs/>
          <w:sz w:val="26"/>
          <w:szCs w:val="26"/>
          <w:lang w:val="en-GB"/>
        </w:rPr>
        <w:t>2019  and</w:t>
      </w:r>
      <w:proofErr w:type="gramEnd"/>
      <w:r w:rsidRPr="00574F2B">
        <w:rPr>
          <w:b/>
          <w:bCs/>
          <w:sz w:val="26"/>
          <w:szCs w:val="26"/>
          <w:lang w:val="en-GB"/>
        </w:rPr>
        <w:t xml:space="preserve"> 3</w:t>
      </w:r>
      <w:r w:rsidRPr="00574F2B">
        <w:rPr>
          <w:b/>
          <w:bCs/>
          <w:sz w:val="26"/>
          <w:szCs w:val="26"/>
          <w:vertAlign w:val="superscript"/>
          <w:lang w:val="en-GB"/>
        </w:rPr>
        <w:t>rd</w:t>
      </w:r>
      <w:r w:rsidRPr="00574F2B">
        <w:rPr>
          <w:b/>
          <w:bCs/>
          <w:sz w:val="26"/>
          <w:szCs w:val="26"/>
          <w:lang w:val="en-GB"/>
        </w:rPr>
        <w:t xml:space="preserve">  quarter of 2020</w:t>
      </w:r>
    </w:p>
    <w:p w:rsidR="000414B9" w:rsidRPr="00574F2B" w:rsidRDefault="000414B9" w:rsidP="003E1B78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574F2B">
        <w:rPr>
          <w:sz w:val="26"/>
          <w:szCs w:val="26"/>
          <w:lang w:val="en-GB"/>
        </w:rPr>
        <w:t>The number of employed persons in the local market decreased from 881 thousand employed persons in the 3</w:t>
      </w:r>
      <w:r w:rsidRPr="00574F2B">
        <w:rPr>
          <w:sz w:val="26"/>
          <w:szCs w:val="26"/>
          <w:vertAlign w:val="superscript"/>
          <w:lang w:val="en-GB"/>
        </w:rPr>
        <w:t>rd</w:t>
      </w:r>
      <w:r w:rsidRPr="00574F2B">
        <w:rPr>
          <w:sz w:val="26"/>
          <w:szCs w:val="26"/>
          <w:lang w:val="en-GB"/>
        </w:rPr>
        <w:t xml:space="preserve">  quarter of 2019 to 800 thousand employed persons in the </w:t>
      </w:r>
      <w:r w:rsidR="003E1B78" w:rsidRPr="00574F2B">
        <w:rPr>
          <w:sz w:val="26"/>
          <w:szCs w:val="26"/>
          <w:lang w:val="en-GB"/>
        </w:rPr>
        <w:t>3</w:t>
      </w:r>
      <w:r w:rsidR="003E1B78" w:rsidRPr="00574F2B">
        <w:rPr>
          <w:sz w:val="26"/>
          <w:szCs w:val="26"/>
          <w:vertAlign w:val="superscript"/>
          <w:lang w:val="en-GB"/>
        </w:rPr>
        <w:t>rd</w:t>
      </w:r>
      <w:r w:rsidRPr="00574F2B">
        <w:rPr>
          <w:sz w:val="26"/>
          <w:szCs w:val="26"/>
          <w:lang w:val="en-GB"/>
        </w:rPr>
        <w:t xml:space="preserve"> quarter of 2020, where it decreased by 17% in Gaza Strip and it decreased by </w:t>
      </w:r>
      <w:r w:rsidR="003E1B78" w:rsidRPr="00574F2B">
        <w:rPr>
          <w:sz w:val="26"/>
          <w:szCs w:val="26"/>
          <w:lang w:val="en-GB"/>
        </w:rPr>
        <w:t>6</w:t>
      </w:r>
      <w:r w:rsidRPr="00574F2B">
        <w:rPr>
          <w:sz w:val="26"/>
          <w:szCs w:val="26"/>
          <w:lang w:val="en-GB"/>
        </w:rPr>
        <w:t>% in the West Bank for the same period.</w:t>
      </w:r>
    </w:p>
    <w:p w:rsidR="0026616A" w:rsidRPr="00574F2B" w:rsidRDefault="0026616A" w:rsidP="00D336A4">
      <w:pPr>
        <w:tabs>
          <w:tab w:val="right" w:pos="142"/>
          <w:tab w:val="num" w:pos="900"/>
        </w:tabs>
        <w:bidi w:val="0"/>
        <w:ind w:right="-1"/>
        <w:rPr>
          <w:b/>
          <w:bCs/>
          <w:sz w:val="16"/>
          <w:szCs w:val="16"/>
          <w:lang w:val="en-GB"/>
        </w:rPr>
      </w:pPr>
    </w:p>
    <w:p w:rsidR="0026616A" w:rsidRPr="00574F2B" w:rsidRDefault="0026616A" w:rsidP="0026616A">
      <w:pPr>
        <w:jc w:val="right"/>
        <w:rPr>
          <w:b/>
          <w:bCs/>
          <w:sz w:val="26"/>
          <w:szCs w:val="26"/>
        </w:rPr>
      </w:pPr>
      <w:r w:rsidRPr="00574F2B">
        <w:rPr>
          <w:b/>
          <w:bCs/>
          <w:sz w:val="26"/>
          <w:szCs w:val="26"/>
        </w:rPr>
        <w:t>About half of main households breadwinners were absent from work during the lockdown.</w:t>
      </w:r>
    </w:p>
    <w:p w:rsidR="0026616A" w:rsidRPr="00574F2B" w:rsidRDefault="0026616A" w:rsidP="0026616A">
      <w:pPr>
        <w:bidi w:val="0"/>
        <w:jc w:val="both"/>
        <w:rPr>
          <w:color w:val="000000"/>
          <w:sz w:val="26"/>
          <w:szCs w:val="26"/>
          <w:rtl/>
        </w:rPr>
      </w:pPr>
      <w:r w:rsidRPr="00574F2B">
        <w:rPr>
          <w:sz w:val="26"/>
          <w:szCs w:val="26"/>
        </w:rPr>
        <w:t>47% of breadwinners were absent from their jobs during the lock down which extend from the 5th of March 2020 until 25th of May 2020, taking into consideration a noticeable differences between regions by 54% in the West Bank and 32% in Gaza Strip</w:t>
      </w:r>
    </w:p>
    <w:p w:rsidR="0026616A" w:rsidRPr="00574F2B" w:rsidRDefault="0026616A" w:rsidP="00D336A4">
      <w:pPr>
        <w:bidi w:val="0"/>
        <w:rPr>
          <w:sz w:val="16"/>
          <w:szCs w:val="16"/>
          <w:lang w:val="en-GB"/>
        </w:rPr>
      </w:pPr>
    </w:p>
    <w:p w:rsidR="00194121" w:rsidRPr="00574F2B" w:rsidRDefault="00F61A25" w:rsidP="000237FC">
      <w:pPr>
        <w:bidi w:val="0"/>
        <w:jc w:val="lowKashida"/>
        <w:rPr>
          <w:b/>
          <w:bCs/>
          <w:sz w:val="26"/>
          <w:szCs w:val="26"/>
          <w:rtl/>
        </w:rPr>
      </w:pPr>
      <w:r w:rsidRPr="00574F2B">
        <w:rPr>
          <w:b/>
          <w:bCs/>
          <w:sz w:val="26"/>
          <w:szCs w:val="26"/>
        </w:rPr>
        <w:t xml:space="preserve">More than the half of students in the West Bank participated in the online educational activities </w:t>
      </w:r>
    </w:p>
    <w:p w:rsidR="00194121" w:rsidRPr="00574F2B" w:rsidRDefault="00F61A25" w:rsidP="00C67697">
      <w:pPr>
        <w:bidi w:val="0"/>
        <w:jc w:val="lowKashida"/>
        <w:rPr>
          <w:sz w:val="26"/>
          <w:szCs w:val="26"/>
        </w:rPr>
      </w:pPr>
      <w:r w:rsidRPr="00574F2B">
        <w:rPr>
          <w:sz w:val="26"/>
          <w:szCs w:val="26"/>
        </w:rPr>
        <w:t xml:space="preserve">The preventative measures taken by the government </w:t>
      </w:r>
      <w:r w:rsidR="00722837" w:rsidRPr="00574F2B">
        <w:rPr>
          <w:sz w:val="26"/>
          <w:szCs w:val="26"/>
        </w:rPr>
        <w:t>under</w:t>
      </w:r>
      <w:r w:rsidRPr="00574F2B">
        <w:rPr>
          <w:sz w:val="26"/>
          <w:szCs w:val="26"/>
        </w:rPr>
        <w:t xml:space="preserve"> COVID</w:t>
      </w:r>
      <w:r w:rsidR="00722837" w:rsidRPr="00574F2B">
        <w:rPr>
          <w:sz w:val="26"/>
          <w:szCs w:val="26"/>
        </w:rPr>
        <w:t>-</w:t>
      </w:r>
      <w:r w:rsidRPr="00574F2B">
        <w:rPr>
          <w:sz w:val="26"/>
          <w:szCs w:val="26"/>
        </w:rPr>
        <w:t>19 pandemic led to the closure of the educational institutions during the lockdown period (March 5</w:t>
      </w:r>
      <w:r w:rsidRPr="00574F2B">
        <w:rPr>
          <w:sz w:val="26"/>
          <w:szCs w:val="26"/>
          <w:vertAlign w:val="superscript"/>
        </w:rPr>
        <w:t>th</w:t>
      </w:r>
      <w:r w:rsidRPr="00574F2B">
        <w:rPr>
          <w:sz w:val="26"/>
          <w:szCs w:val="26"/>
        </w:rPr>
        <w:t xml:space="preserve"> - May 25</w:t>
      </w:r>
      <w:r w:rsidRPr="00574F2B">
        <w:rPr>
          <w:sz w:val="26"/>
          <w:szCs w:val="26"/>
          <w:vertAlign w:val="superscript"/>
        </w:rPr>
        <w:t>th</w:t>
      </w:r>
      <w:r w:rsidRPr="00574F2B">
        <w:rPr>
          <w:sz w:val="26"/>
          <w:szCs w:val="26"/>
        </w:rPr>
        <w:t xml:space="preserve">/2020). Accordingly, such closure led to changing the type of education during this period to be an online/remote education in order to catch up with students on their school studies. However, the results of the previously mentioned survey showed that 51% of households in </w:t>
      </w:r>
      <w:r w:rsidR="00251F4D" w:rsidRPr="00574F2B">
        <w:rPr>
          <w:sz w:val="26"/>
          <w:szCs w:val="26"/>
        </w:rPr>
        <w:t xml:space="preserve">the State of </w:t>
      </w:r>
      <w:r w:rsidRPr="00574F2B">
        <w:rPr>
          <w:sz w:val="26"/>
          <w:szCs w:val="26"/>
        </w:rPr>
        <w:t>Palestine, with children between the ages (6-18 years), who were enrolled in education before the lockdown period, have participated in the remote educational activities during the lockdown (March 5</w:t>
      </w:r>
      <w:r w:rsidRPr="00574F2B">
        <w:rPr>
          <w:sz w:val="26"/>
          <w:szCs w:val="26"/>
          <w:vertAlign w:val="superscript"/>
        </w:rPr>
        <w:t>th</w:t>
      </w:r>
      <w:r w:rsidRPr="00574F2B">
        <w:rPr>
          <w:sz w:val="26"/>
          <w:szCs w:val="26"/>
        </w:rPr>
        <w:t xml:space="preserve"> - May 25</w:t>
      </w:r>
      <w:r w:rsidRPr="00574F2B">
        <w:rPr>
          <w:sz w:val="26"/>
          <w:szCs w:val="26"/>
          <w:vertAlign w:val="superscript"/>
        </w:rPr>
        <w:t>th</w:t>
      </w:r>
      <w:r w:rsidRPr="00574F2B">
        <w:rPr>
          <w:sz w:val="26"/>
          <w:szCs w:val="26"/>
        </w:rPr>
        <w:t xml:space="preserve">/2020; (53.3% in the West Bank and 48.5% in Gaza Strip). </w:t>
      </w:r>
    </w:p>
    <w:p w:rsidR="00B8617C" w:rsidRPr="00574F2B" w:rsidRDefault="00B8617C" w:rsidP="00D336A4">
      <w:pPr>
        <w:jc w:val="right"/>
        <w:rPr>
          <w:color w:val="FF0000"/>
          <w:sz w:val="16"/>
          <w:szCs w:val="16"/>
          <w:rtl/>
        </w:rPr>
      </w:pPr>
    </w:p>
    <w:p w:rsidR="009B6339" w:rsidRPr="00574F2B" w:rsidRDefault="00F61A25" w:rsidP="00722837">
      <w:pPr>
        <w:bidi w:val="0"/>
        <w:jc w:val="lowKashida"/>
        <w:rPr>
          <w:b/>
          <w:bCs/>
          <w:sz w:val="26"/>
          <w:szCs w:val="26"/>
          <w:rtl/>
        </w:rPr>
      </w:pPr>
      <w:r w:rsidRPr="00574F2B">
        <w:rPr>
          <w:b/>
          <w:bCs/>
          <w:sz w:val="26"/>
          <w:szCs w:val="26"/>
        </w:rPr>
        <w:t xml:space="preserve">Two Households out of every Five Households Evaluated the Remote Education Experience as </w:t>
      </w:r>
      <w:r w:rsidR="00722837" w:rsidRPr="00574F2B">
        <w:rPr>
          <w:b/>
          <w:bCs/>
          <w:sz w:val="26"/>
          <w:szCs w:val="26"/>
        </w:rPr>
        <w:t>b</w:t>
      </w:r>
      <w:r w:rsidRPr="00574F2B">
        <w:rPr>
          <w:b/>
          <w:bCs/>
          <w:sz w:val="26"/>
          <w:szCs w:val="26"/>
        </w:rPr>
        <w:t xml:space="preserve">eing </w:t>
      </w:r>
      <w:proofErr w:type="gramStart"/>
      <w:r w:rsidRPr="00574F2B">
        <w:rPr>
          <w:b/>
          <w:bCs/>
          <w:sz w:val="26"/>
          <w:szCs w:val="26"/>
        </w:rPr>
        <w:t>Bad</w:t>
      </w:r>
      <w:proofErr w:type="gramEnd"/>
      <w:r w:rsidRPr="00574F2B">
        <w:rPr>
          <w:b/>
          <w:bCs/>
          <w:sz w:val="26"/>
          <w:szCs w:val="26"/>
        </w:rPr>
        <w:t xml:space="preserve"> and did not </w:t>
      </w:r>
      <w:r w:rsidR="00722837" w:rsidRPr="00574F2B">
        <w:rPr>
          <w:b/>
          <w:bCs/>
          <w:sz w:val="26"/>
          <w:szCs w:val="26"/>
        </w:rPr>
        <w:t>F</w:t>
      </w:r>
      <w:r w:rsidRPr="00574F2B">
        <w:rPr>
          <w:b/>
          <w:bCs/>
          <w:sz w:val="26"/>
          <w:szCs w:val="26"/>
        </w:rPr>
        <w:t>ulfill the Desired Purpose</w:t>
      </w:r>
    </w:p>
    <w:p w:rsidR="009B6339" w:rsidRPr="00574F2B" w:rsidRDefault="00F61A25" w:rsidP="00722837">
      <w:pPr>
        <w:bidi w:val="0"/>
        <w:jc w:val="both"/>
        <w:rPr>
          <w:bCs/>
          <w:sz w:val="26"/>
          <w:szCs w:val="26"/>
          <w:rtl/>
        </w:rPr>
      </w:pPr>
      <w:r w:rsidRPr="00574F2B">
        <w:rPr>
          <w:sz w:val="26"/>
          <w:szCs w:val="26"/>
        </w:rPr>
        <w:t>Results of Impact of COVID</w:t>
      </w:r>
      <w:r w:rsidR="00722837" w:rsidRPr="00574F2B">
        <w:rPr>
          <w:sz w:val="26"/>
          <w:szCs w:val="26"/>
        </w:rPr>
        <w:t>-</w:t>
      </w:r>
      <w:r w:rsidRPr="00574F2B">
        <w:rPr>
          <w:sz w:val="26"/>
          <w:szCs w:val="26"/>
        </w:rPr>
        <w:t>19 Pandemic on the Palestinian Households Socio-economic Conditions Survey, 2020 showed that 40% of the households, who</w:t>
      </w:r>
      <w:r w:rsidR="00722837" w:rsidRPr="00574F2B">
        <w:rPr>
          <w:sz w:val="26"/>
          <w:szCs w:val="26"/>
        </w:rPr>
        <w:t>se</w:t>
      </w:r>
      <w:r w:rsidRPr="00574F2B">
        <w:rPr>
          <w:sz w:val="26"/>
          <w:szCs w:val="26"/>
        </w:rPr>
        <w:t xml:space="preserve"> children participated in any type of educational activities during the lockdown period (March 5</w:t>
      </w:r>
      <w:r w:rsidRPr="00574F2B">
        <w:rPr>
          <w:sz w:val="26"/>
          <w:szCs w:val="26"/>
          <w:vertAlign w:val="superscript"/>
        </w:rPr>
        <w:t>th</w:t>
      </w:r>
      <w:r w:rsidRPr="00574F2B">
        <w:rPr>
          <w:sz w:val="26"/>
          <w:szCs w:val="26"/>
        </w:rPr>
        <w:t xml:space="preserve"> - May 25</w:t>
      </w:r>
      <w:r w:rsidRPr="00574F2B">
        <w:rPr>
          <w:sz w:val="26"/>
          <w:szCs w:val="26"/>
          <w:vertAlign w:val="superscript"/>
        </w:rPr>
        <w:t>th</w:t>
      </w:r>
      <w:r w:rsidRPr="00574F2B">
        <w:rPr>
          <w:sz w:val="26"/>
          <w:szCs w:val="26"/>
        </w:rPr>
        <w:t>/2020), have evaluated the experience as being bad and didn’t fulfill the desired</w:t>
      </w:r>
      <w:r w:rsidR="009B6339" w:rsidRPr="00574F2B">
        <w:rPr>
          <w:sz w:val="26"/>
          <w:szCs w:val="26"/>
        </w:rPr>
        <w:t xml:space="preserve"> </w:t>
      </w:r>
      <w:r w:rsidRPr="00574F2B">
        <w:rPr>
          <w:sz w:val="26"/>
          <w:szCs w:val="26"/>
        </w:rPr>
        <w:t>purpose. However, 39% of the households have evaluated it as being good and fulfilled the desired purpose, but there is a room for enhancing this experience, whereas 21% of them evaluated it as being good and fulfilled the desired purpose</w:t>
      </w:r>
      <w:r w:rsidRPr="00574F2B">
        <w:rPr>
          <w:sz w:val="26"/>
          <w:szCs w:val="26"/>
          <w:rtl/>
        </w:rPr>
        <w:t>.</w:t>
      </w:r>
    </w:p>
    <w:p w:rsidR="00FB7842" w:rsidRDefault="00FB7842" w:rsidP="00D336A4">
      <w:pPr>
        <w:jc w:val="right"/>
        <w:rPr>
          <w:b/>
          <w:bCs/>
          <w:smallCaps/>
          <w:color w:val="FF0000"/>
          <w:sz w:val="26"/>
          <w:szCs w:val="26"/>
        </w:rPr>
      </w:pPr>
    </w:p>
    <w:p w:rsidR="00574F2B" w:rsidRDefault="00574F2B" w:rsidP="00D336A4">
      <w:pPr>
        <w:jc w:val="right"/>
        <w:rPr>
          <w:b/>
          <w:bCs/>
          <w:smallCaps/>
          <w:color w:val="FF0000"/>
          <w:sz w:val="26"/>
          <w:szCs w:val="26"/>
        </w:rPr>
      </w:pPr>
    </w:p>
    <w:p w:rsidR="00574F2B" w:rsidRDefault="00574F2B" w:rsidP="00D336A4">
      <w:pPr>
        <w:jc w:val="right"/>
        <w:rPr>
          <w:b/>
          <w:bCs/>
          <w:smallCaps/>
          <w:color w:val="FF0000"/>
          <w:sz w:val="26"/>
          <w:szCs w:val="26"/>
        </w:rPr>
      </w:pPr>
    </w:p>
    <w:p w:rsidR="00574F2B" w:rsidRDefault="00574F2B" w:rsidP="00D336A4">
      <w:pPr>
        <w:jc w:val="right"/>
        <w:rPr>
          <w:b/>
          <w:bCs/>
          <w:smallCaps/>
          <w:color w:val="FF0000"/>
          <w:sz w:val="26"/>
          <w:szCs w:val="26"/>
        </w:rPr>
      </w:pPr>
    </w:p>
    <w:p w:rsidR="00574F2B" w:rsidRDefault="00574F2B" w:rsidP="00D336A4">
      <w:pPr>
        <w:jc w:val="right"/>
        <w:rPr>
          <w:b/>
          <w:bCs/>
          <w:smallCaps/>
          <w:color w:val="FF0000"/>
          <w:sz w:val="26"/>
          <w:szCs w:val="26"/>
        </w:rPr>
      </w:pPr>
    </w:p>
    <w:p w:rsidR="00574F2B" w:rsidRDefault="00574F2B" w:rsidP="00D336A4">
      <w:pPr>
        <w:jc w:val="right"/>
        <w:rPr>
          <w:b/>
          <w:bCs/>
          <w:smallCaps/>
          <w:color w:val="FF0000"/>
          <w:sz w:val="26"/>
          <w:szCs w:val="26"/>
        </w:rPr>
      </w:pPr>
    </w:p>
    <w:p w:rsidR="00574F2B" w:rsidRPr="00574F2B" w:rsidRDefault="00574F2B" w:rsidP="00D336A4">
      <w:pPr>
        <w:jc w:val="right"/>
        <w:rPr>
          <w:b/>
          <w:bCs/>
          <w:smallCaps/>
          <w:color w:val="FF0000"/>
          <w:sz w:val="26"/>
          <w:szCs w:val="26"/>
          <w:rtl/>
        </w:rPr>
      </w:pPr>
    </w:p>
    <w:p w:rsidR="00A5312C" w:rsidRPr="00574F2B" w:rsidRDefault="00F61A25" w:rsidP="00256FD6">
      <w:pPr>
        <w:bidi w:val="0"/>
        <w:rPr>
          <w:b/>
          <w:sz w:val="26"/>
          <w:szCs w:val="26"/>
          <w:rtl/>
        </w:rPr>
      </w:pPr>
      <w:r w:rsidRPr="00574F2B">
        <w:rPr>
          <w:b/>
          <w:sz w:val="26"/>
          <w:szCs w:val="26"/>
        </w:rPr>
        <w:t xml:space="preserve">Income of Two Households out of Every Five Households </w:t>
      </w:r>
      <w:r w:rsidR="00722837" w:rsidRPr="00574F2B">
        <w:rPr>
          <w:b/>
          <w:sz w:val="26"/>
          <w:szCs w:val="26"/>
        </w:rPr>
        <w:t>D</w:t>
      </w:r>
      <w:r w:rsidRPr="00574F2B">
        <w:rPr>
          <w:b/>
          <w:sz w:val="26"/>
          <w:szCs w:val="26"/>
        </w:rPr>
        <w:t xml:space="preserve">ecreased to the </w:t>
      </w:r>
      <w:r w:rsidR="00722837" w:rsidRPr="00574F2B">
        <w:rPr>
          <w:b/>
          <w:sz w:val="26"/>
          <w:szCs w:val="26"/>
        </w:rPr>
        <w:t>H</w:t>
      </w:r>
      <w:r w:rsidRPr="00574F2B">
        <w:rPr>
          <w:b/>
          <w:sz w:val="26"/>
          <w:szCs w:val="26"/>
        </w:rPr>
        <w:t>alf and even more</w:t>
      </w:r>
    </w:p>
    <w:p w:rsidR="00A5312C" w:rsidRPr="00574F2B" w:rsidRDefault="00F61A25" w:rsidP="003E4102">
      <w:pPr>
        <w:bidi w:val="0"/>
        <w:jc w:val="lowKashida"/>
        <w:rPr>
          <w:bCs/>
          <w:sz w:val="26"/>
          <w:szCs w:val="26"/>
          <w:rtl/>
        </w:rPr>
      </w:pPr>
      <w:r w:rsidRPr="00574F2B">
        <w:rPr>
          <w:bCs/>
          <w:sz w:val="26"/>
          <w:szCs w:val="26"/>
        </w:rPr>
        <w:t>The results of the aforementioned survey also showed that the income of 42% of the Palestinian households declined to the half and even more during the lockdown period (</w:t>
      </w:r>
      <w:r w:rsidRPr="00574F2B">
        <w:rPr>
          <w:sz w:val="26"/>
          <w:szCs w:val="26"/>
        </w:rPr>
        <w:t>March 5</w:t>
      </w:r>
      <w:r w:rsidRPr="00574F2B">
        <w:rPr>
          <w:sz w:val="26"/>
          <w:szCs w:val="26"/>
          <w:vertAlign w:val="superscript"/>
        </w:rPr>
        <w:t xml:space="preserve">th </w:t>
      </w:r>
      <w:r w:rsidRPr="00574F2B">
        <w:rPr>
          <w:sz w:val="26"/>
          <w:szCs w:val="26"/>
        </w:rPr>
        <w:t>- May 25</w:t>
      </w:r>
      <w:r w:rsidRPr="00574F2B">
        <w:rPr>
          <w:sz w:val="26"/>
          <w:szCs w:val="26"/>
          <w:vertAlign w:val="superscript"/>
        </w:rPr>
        <w:t>th</w:t>
      </w:r>
      <w:r w:rsidRPr="00574F2B">
        <w:rPr>
          <w:sz w:val="26"/>
          <w:szCs w:val="26"/>
        </w:rPr>
        <w:t>/2020)</w:t>
      </w:r>
      <w:r w:rsidRPr="00574F2B">
        <w:rPr>
          <w:bCs/>
          <w:sz w:val="26"/>
          <w:szCs w:val="26"/>
        </w:rPr>
        <w:t xml:space="preserve"> compared to February 2020.</w:t>
      </w:r>
    </w:p>
    <w:p w:rsidR="00574F2B" w:rsidRPr="00574F2B" w:rsidRDefault="00574F2B" w:rsidP="00574F2B">
      <w:pPr>
        <w:bidi w:val="0"/>
        <w:rPr>
          <w:rFonts w:cs="Simplified Arabic"/>
          <w:color w:val="FF0000"/>
          <w:sz w:val="16"/>
          <w:szCs w:val="16"/>
        </w:rPr>
      </w:pPr>
    </w:p>
    <w:p w:rsidR="005772AD" w:rsidRPr="00574F2B" w:rsidRDefault="005772AD" w:rsidP="005772AD">
      <w:pPr>
        <w:bidi w:val="0"/>
        <w:jc w:val="lowKashida"/>
        <w:rPr>
          <w:b/>
          <w:sz w:val="26"/>
          <w:szCs w:val="26"/>
          <w:rtl/>
        </w:rPr>
      </w:pPr>
      <w:r w:rsidRPr="00574F2B">
        <w:rPr>
          <w:b/>
          <w:sz w:val="26"/>
          <w:szCs w:val="26"/>
        </w:rPr>
        <w:t>A decline in household monthly expenditures on food during the lockdown</w:t>
      </w:r>
    </w:p>
    <w:p w:rsidR="005772AD" w:rsidRPr="00574F2B" w:rsidRDefault="005772AD" w:rsidP="005772AD">
      <w:pPr>
        <w:bidi w:val="0"/>
        <w:jc w:val="lowKashida"/>
        <w:rPr>
          <w:sz w:val="26"/>
          <w:szCs w:val="26"/>
        </w:rPr>
      </w:pPr>
      <w:r w:rsidRPr="00574F2B">
        <w:rPr>
          <w:sz w:val="26"/>
          <w:szCs w:val="26"/>
        </w:rPr>
        <w:t>The monthly expenditures on food supplies declined for 41% of the households during the lockdown compared with February 2020 (42% in the West Bank and 40% in Gaza Strip). About 29% of households indicated that cash transfer programs are the most desirable measures and procedures the government should be taken in such times of crisis (29%). While</w:t>
      </w:r>
      <w:r w:rsidRPr="00574F2B">
        <w:rPr>
          <w:sz w:val="26"/>
          <w:szCs w:val="26"/>
          <w:rtl/>
        </w:rPr>
        <w:t xml:space="preserve"> </w:t>
      </w:r>
      <w:r w:rsidRPr="00574F2B">
        <w:rPr>
          <w:sz w:val="26"/>
          <w:szCs w:val="26"/>
        </w:rPr>
        <w:t xml:space="preserve">job opportunity and employment program came as the second priority (21%). Whereas the third priority are food supplies parcels and procurement coupons (19%). </w:t>
      </w:r>
    </w:p>
    <w:p w:rsidR="000A2992" w:rsidRPr="00574F2B" w:rsidRDefault="000A2992" w:rsidP="003E1C4E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  <w:lang w:val="en-GB"/>
        </w:rPr>
      </w:pPr>
    </w:p>
    <w:p w:rsidR="000A2992" w:rsidRPr="00574F2B" w:rsidRDefault="000A2992" w:rsidP="00CD465D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  <w:lang w:val="en-GB"/>
        </w:rPr>
      </w:pPr>
    </w:p>
    <w:p w:rsidR="00251F4D" w:rsidRDefault="00251F4D">
      <w:pPr>
        <w:jc w:val="center"/>
        <w:rPr>
          <w:rFonts w:cs="Simplified Arabic"/>
          <w:b/>
          <w:bCs/>
          <w:color w:val="000000" w:themeColor="text1"/>
          <w:sz w:val="22"/>
          <w:szCs w:val="22"/>
          <w:lang w:val="en-GB"/>
        </w:rPr>
      </w:pPr>
    </w:p>
    <w:sectPr w:rsidR="00251F4D" w:rsidSect="00574F2B">
      <w:footerReference w:type="even" r:id="rId10"/>
      <w:footerReference w:type="default" r:id="rId11"/>
      <w:headerReference w:type="first" r:id="rId12"/>
      <w:pgSz w:w="11906" w:h="16838" w:code="9"/>
      <w:pgMar w:top="850" w:right="850" w:bottom="850" w:left="850" w:header="677" w:footer="677" w:gutter="0"/>
      <w:pgNumType w:start="1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B8" w:rsidRDefault="009161B8">
      <w:r>
        <w:separator/>
      </w:r>
    </w:p>
  </w:endnote>
  <w:endnote w:type="continuationSeparator" w:id="0">
    <w:p w:rsidR="009161B8" w:rsidRDefault="0091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22" w:rsidRDefault="009723D5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915822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91582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915822" w:rsidRDefault="00915822">
    <w:pPr>
      <w:pStyle w:val="Footer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22" w:rsidRDefault="009723D5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915822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37084B">
      <w:rPr>
        <w:rStyle w:val="PageNumber"/>
        <w:noProof/>
        <w:sz w:val="20"/>
        <w:szCs w:val="20"/>
        <w:rtl/>
      </w:rPr>
      <w:t>1</w:t>
    </w:r>
    <w:r>
      <w:rPr>
        <w:rStyle w:val="PageNumber"/>
        <w:sz w:val="20"/>
        <w:szCs w:val="20"/>
        <w:rtl/>
      </w:rPr>
      <w:fldChar w:fldCharType="end"/>
    </w:r>
  </w:p>
  <w:p w:rsidR="00915822" w:rsidRDefault="00915822">
    <w:pPr>
      <w:pStyle w:val="Footer"/>
      <w:rPr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B8" w:rsidRDefault="009161B8">
      <w:r>
        <w:separator/>
      </w:r>
    </w:p>
  </w:footnote>
  <w:footnote w:type="continuationSeparator" w:id="0">
    <w:p w:rsidR="009161B8" w:rsidRDefault="00916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72"/>
      <w:gridCol w:w="3474"/>
      <w:gridCol w:w="3474"/>
    </w:tblGrid>
    <w:tr w:rsidR="00915822" w:rsidTr="00B10EE0">
      <w:tc>
        <w:tcPr>
          <w:tcW w:w="3473" w:type="dxa"/>
          <w:vAlign w:val="center"/>
        </w:tcPr>
        <w:p w:rsidR="00915822" w:rsidRDefault="00915822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915822" w:rsidRDefault="00915822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915822" w:rsidRDefault="00915822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915822" w:rsidRDefault="00915822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19/06/2011</w:t>
          </w:r>
        </w:p>
      </w:tc>
    </w:tr>
  </w:tbl>
  <w:p w:rsidR="00915822" w:rsidRPr="00237AA1" w:rsidRDefault="00915822" w:rsidP="00237AA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 w15:restartNumberingAfterBreak="0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 w15:restartNumberingAfterBreak="0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 w15:restartNumberingAfterBreak="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 w15:restartNumberingAfterBreak="0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 w15:restartNumberingAfterBreak="0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 w15:restartNumberingAfterBreak="0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 w15:restartNumberingAfterBreak="0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39BE6540"/>
    <w:multiLevelType w:val="hybridMultilevel"/>
    <w:tmpl w:val="F05812F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7" w15:restartNumberingAfterBreak="0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30" w15:restartNumberingAfterBreak="0">
    <w:nsid w:val="498670A6"/>
    <w:multiLevelType w:val="hybridMultilevel"/>
    <w:tmpl w:val="F1B6712C"/>
    <w:lvl w:ilvl="0" w:tplc="674A16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4" w15:restartNumberingAfterBreak="0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8" w15:restartNumberingAfterBreak="0">
    <w:nsid w:val="5FD3625B"/>
    <w:multiLevelType w:val="hybridMultilevel"/>
    <w:tmpl w:val="08F05846"/>
    <w:lvl w:ilvl="0" w:tplc="F08E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0" w15:restartNumberingAfterBreak="0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2" w15:restartNumberingAfterBreak="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3" w15:restartNumberingAfterBreak="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4" w15:restartNumberingAfterBreak="0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6" w15:restartNumberingAfterBreak="0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8" w15:restartNumberingAfterBreak="0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42"/>
  </w:num>
  <w:num w:numId="3">
    <w:abstractNumId w:val="37"/>
  </w:num>
  <w:num w:numId="4">
    <w:abstractNumId w:val="43"/>
  </w:num>
  <w:num w:numId="5">
    <w:abstractNumId w:val="44"/>
  </w:num>
  <w:num w:numId="6">
    <w:abstractNumId w:val="29"/>
  </w:num>
  <w:num w:numId="7">
    <w:abstractNumId w:val="48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8"/>
  </w:num>
  <w:num w:numId="14">
    <w:abstractNumId w:val="32"/>
  </w:num>
  <w:num w:numId="15">
    <w:abstractNumId w:val="23"/>
  </w:num>
  <w:num w:numId="16">
    <w:abstractNumId w:val="2"/>
  </w:num>
  <w:num w:numId="17">
    <w:abstractNumId w:val="36"/>
  </w:num>
  <w:num w:numId="18">
    <w:abstractNumId w:val="33"/>
  </w:num>
  <w:num w:numId="19">
    <w:abstractNumId w:val="8"/>
  </w:num>
  <w:num w:numId="20">
    <w:abstractNumId w:val="7"/>
  </w:num>
  <w:num w:numId="21">
    <w:abstractNumId w:val="18"/>
  </w:num>
  <w:num w:numId="22">
    <w:abstractNumId w:val="26"/>
  </w:num>
  <w:num w:numId="23">
    <w:abstractNumId w:val="12"/>
  </w:num>
  <w:num w:numId="24">
    <w:abstractNumId w:val="9"/>
  </w:num>
  <w:num w:numId="25">
    <w:abstractNumId w:val="47"/>
  </w:num>
  <w:num w:numId="26">
    <w:abstractNumId w:val="39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40"/>
  </w:num>
  <w:num w:numId="34">
    <w:abstractNumId w:val="35"/>
  </w:num>
  <w:num w:numId="35">
    <w:abstractNumId w:val="13"/>
  </w:num>
  <w:num w:numId="36">
    <w:abstractNumId w:val="31"/>
  </w:num>
  <w:num w:numId="37">
    <w:abstractNumId w:val="0"/>
  </w:num>
  <w:num w:numId="38">
    <w:abstractNumId w:val="27"/>
  </w:num>
  <w:num w:numId="39">
    <w:abstractNumId w:val="20"/>
  </w:num>
  <w:num w:numId="40">
    <w:abstractNumId w:val="45"/>
  </w:num>
  <w:num w:numId="41">
    <w:abstractNumId w:val="19"/>
  </w:num>
  <w:num w:numId="42">
    <w:abstractNumId w:val="25"/>
  </w:num>
  <w:num w:numId="43">
    <w:abstractNumId w:val="41"/>
  </w:num>
  <w:num w:numId="44">
    <w:abstractNumId w:val="34"/>
  </w:num>
  <w:num w:numId="45">
    <w:abstractNumId w:val="46"/>
  </w:num>
  <w:num w:numId="46">
    <w:abstractNumId w:val="24"/>
  </w:num>
  <w:num w:numId="47">
    <w:abstractNumId w:val="30"/>
  </w:num>
  <w:num w:numId="48">
    <w:abstractNumId w:val="3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D"/>
    <w:rsid w:val="000009B3"/>
    <w:rsid w:val="000026C1"/>
    <w:rsid w:val="00007967"/>
    <w:rsid w:val="0001013E"/>
    <w:rsid w:val="0001657B"/>
    <w:rsid w:val="00020FC8"/>
    <w:rsid w:val="000237FC"/>
    <w:rsid w:val="00024A21"/>
    <w:rsid w:val="000254EF"/>
    <w:rsid w:val="0002590B"/>
    <w:rsid w:val="00026B13"/>
    <w:rsid w:val="0003252F"/>
    <w:rsid w:val="000414B9"/>
    <w:rsid w:val="00042D56"/>
    <w:rsid w:val="000460DC"/>
    <w:rsid w:val="00050563"/>
    <w:rsid w:val="000512B5"/>
    <w:rsid w:val="0005342B"/>
    <w:rsid w:val="00054F57"/>
    <w:rsid w:val="000606F0"/>
    <w:rsid w:val="00064502"/>
    <w:rsid w:val="0006769B"/>
    <w:rsid w:val="00071E94"/>
    <w:rsid w:val="000734B3"/>
    <w:rsid w:val="000761AF"/>
    <w:rsid w:val="00076DF8"/>
    <w:rsid w:val="00080728"/>
    <w:rsid w:val="000840A2"/>
    <w:rsid w:val="000860C5"/>
    <w:rsid w:val="00086CAA"/>
    <w:rsid w:val="0009101D"/>
    <w:rsid w:val="0009306C"/>
    <w:rsid w:val="000A20E4"/>
    <w:rsid w:val="000A2143"/>
    <w:rsid w:val="000A2992"/>
    <w:rsid w:val="000B05B1"/>
    <w:rsid w:val="000B2899"/>
    <w:rsid w:val="000B2EAA"/>
    <w:rsid w:val="000B493A"/>
    <w:rsid w:val="000B757D"/>
    <w:rsid w:val="000C3718"/>
    <w:rsid w:val="000C45E5"/>
    <w:rsid w:val="000C6358"/>
    <w:rsid w:val="000D0C52"/>
    <w:rsid w:val="000D12A0"/>
    <w:rsid w:val="000D2FF5"/>
    <w:rsid w:val="000D332A"/>
    <w:rsid w:val="000D41AC"/>
    <w:rsid w:val="000D4428"/>
    <w:rsid w:val="000E2236"/>
    <w:rsid w:val="000E2620"/>
    <w:rsid w:val="000E2DC1"/>
    <w:rsid w:val="000E7B62"/>
    <w:rsid w:val="000F46B8"/>
    <w:rsid w:val="000F7363"/>
    <w:rsid w:val="00103936"/>
    <w:rsid w:val="00110AF6"/>
    <w:rsid w:val="0011171C"/>
    <w:rsid w:val="001204F0"/>
    <w:rsid w:val="0012106F"/>
    <w:rsid w:val="00126095"/>
    <w:rsid w:val="00127A42"/>
    <w:rsid w:val="00132082"/>
    <w:rsid w:val="00132416"/>
    <w:rsid w:val="00132472"/>
    <w:rsid w:val="00135B24"/>
    <w:rsid w:val="00143DBF"/>
    <w:rsid w:val="0014641A"/>
    <w:rsid w:val="001472D6"/>
    <w:rsid w:val="00147AF3"/>
    <w:rsid w:val="00165F0D"/>
    <w:rsid w:val="00173AF0"/>
    <w:rsid w:val="00176C3B"/>
    <w:rsid w:val="00194121"/>
    <w:rsid w:val="001A129E"/>
    <w:rsid w:val="001A2E41"/>
    <w:rsid w:val="001A39ED"/>
    <w:rsid w:val="001A7E63"/>
    <w:rsid w:val="001B2A5B"/>
    <w:rsid w:val="001B3736"/>
    <w:rsid w:val="001B77C2"/>
    <w:rsid w:val="001D0D82"/>
    <w:rsid w:val="001D3F26"/>
    <w:rsid w:val="001D4F23"/>
    <w:rsid w:val="001E26AF"/>
    <w:rsid w:val="001E2C0B"/>
    <w:rsid w:val="001F24F9"/>
    <w:rsid w:val="001F32D8"/>
    <w:rsid w:val="001F3B0A"/>
    <w:rsid w:val="0020040D"/>
    <w:rsid w:val="002020BC"/>
    <w:rsid w:val="00203033"/>
    <w:rsid w:val="002067FB"/>
    <w:rsid w:val="00210333"/>
    <w:rsid w:val="002107DF"/>
    <w:rsid w:val="00212F4A"/>
    <w:rsid w:val="002132AA"/>
    <w:rsid w:val="002164D8"/>
    <w:rsid w:val="00217A0F"/>
    <w:rsid w:val="00220A64"/>
    <w:rsid w:val="00224FA9"/>
    <w:rsid w:val="00225ECA"/>
    <w:rsid w:val="002276F8"/>
    <w:rsid w:val="00227D61"/>
    <w:rsid w:val="00237AA1"/>
    <w:rsid w:val="002443CC"/>
    <w:rsid w:val="00247528"/>
    <w:rsid w:val="00251F4D"/>
    <w:rsid w:val="00254242"/>
    <w:rsid w:val="00254FA1"/>
    <w:rsid w:val="002560B7"/>
    <w:rsid w:val="00256FD6"/>
    <w:rsid w:val="00260AFA"/>
    <w:rsid w:val="00261467"/>
    <w:rsid w:val="0026616A"/>
    <w:rsid w:val="00267642"/>
    <w:rsid w:val="00272CC7"/>
    <w:rsid w:val="00273617"/>
    <w:rsid w:val="0028046F"/>
    <w:rsid w:val="00284D38"/>
    <w:rsid w:val="00287E2D"/>
    <w:rsid w:val="00292E16"/>
    <w:rsid w:val="002A293C"/>
    <w:rsid w:val="002A3556"/>
    <w:rsid w:val="002A378A"/>
    <w:rsid w:val="002A6913"/>
    <w:rsid w:val="002B2F8F"/>
    <w:rsid w:val="002B3B89"/>
    <w:rsid w:val="002B6133"/>
    <w:rsid w:val="002B72AA"/>
    <w:rsid w:val="002C4877"/>
    <w:rsid w:val="002D04F6"/>
    <w:rsid w:val="002D4251"/>
    <w:rsid w:val="002D543D"/>
    <w:rsid w:val="002E38E1"/>
    <w:rsid w:val="00301ABA"/>
    <w:rsid w:val="003059FC"/>
    <w:rsid w:val="00310E9A"/>
    <w:rsid w:val="00311F0E"/>
    <w:rsid w:val="00312577"/>
    <w:rsid w:val="00312B2B"/>
    <w:rsid w:val="00314FDA"/>
    <w:rsid w:val="003160FC"/>
    <w:rsid w:val="003163D0"/>
    <w:rsid w:val="00322966"/>
    <w:rsid w:val="00325089"/>
    <w:rsid w:val="0032568B"/>
    <w:rsid w:val="00325C93"/>
    <w:rsid w:val="00325D6B"/>
    <w:rsid w:val="00335394"/>
    <w:rsid w:val="0034535D"/>
    <w:rsid w:val="003457FC"/>
    <w:rsid w:val="00347F6E"/>
    <w:rsid w:val="00356629"/>
    <w:rsid w:val="00356CE0"/>
    <w:rsid w:val="003609DD"/>
    <w:rsid w:val="00360B13"/>
    <w:rsid w:val="0037084B"/>
    <w:rsid w:val="003735DD"/>
    <w:rsid w:val="00375995"/>
    <w:rsid w:val="00376EDF"/>
    <w:rsid w:val="00380323"/>
    <w:rsid w:val="00385706"/>
    <w:rsid w:val="003951D4"/>
    <w:rsid w:val="00397E7D"/>
    <w:rsid w:val="003B10D2"/>
    <w:rsid w:val="003B4E32"/>
    <w:rsid w:val="003C57B2"/>
    <w:rsid w:val="003D154B"/>
    <w:rsid w:val="003D4232"/>
    <w:rsid w:val="003E1915"/>
    <w:rsid w:val="003E1B78"/>
    <w:rsid w:val="003E1C4E"/>
    <w:rsid w:val="003E4102"/>
    <w:rsid w:val="003F1817"/>
    <w:rsid w:val="003F4698"/>
    <w:rsid w:val="003F5067"/>
    <w:rsid w:val="003F7FEB"/>
    <w:rsid w:val="00402DFA"/>
    <w:rsid w:val="00410898"/>
    <w:rsid w:val="004130D7"/>
    <w:rsid w:val="0041539B"/>
    <w:rsid w:val="0041603D"/>
    <w:rsid w:val="00422BF7"/>
    <w:rsid w:val="004318DB"/>
    <w:rsid w:val="00434A35"/>
    <w:rsid w:val="00446DC7"/>
    <w:rsid w:val="00453F57"/>
    <w:rsid w:val="00465267"/>
    <w:rsid w:val="00470051"/>
    <w:rsid w:val="00471326"/>
    <w:rsid w:val="00474CC7"/>
    <w:rsid w:val="004806EE"/>
    <w:rsid w:val="004841C0"/>
    <w:rsid w:val="00485A39"/>
    <w:rsid w:val="004974D1"/>
    <w:rsid w:val="004A0594"/>
    <w:rsid w:val="004A4C5A"/>
    <w:rsid w:val="004A4E84"/>
    <w:rsid w:val="004B2084"/>
    <w:rsid w:val="004B2D88"/>
    <w:rsid w:val="004C1BBE"/>
    <w:rsid w:val="004C330A"/>
    <w:rsid w:val="004D1DD3"/>
    <w:rsid w:val="004E5E79"/>
    <w:rsid w:val="004F4CED"/>
    <w:rsid w:val="00502FC3"/>
    <w:rsid w:val="00506ED9"/>
    <w:rsid w:val="005118CC"/>
    <w:rsid w:val="00513320"/>
    <w:rsid w:val="005167B4"/>
    <w:rsid w:val="0052132A"/>
    <w:rsid w:val="00531DE9"/>
    <w:rsid w:val="00535468"/>
    <w:rsid w:val="00535B24"/>
    <w:rsid w:val="005368CC"/>
    <w:rsid w:val="00545FDD"/>
    <w:rsid w:val="00546089"/>
    <w:rsid w:val="00546F4B"/>
    <w:rsid w:val="00547CEC"/>
    <w:rsid w:val="005516C5"/>
    <w:rsid w:val="005550A1"/>
    <w:rsid w:val="0055795A"/>
    <w:rsid w:val="005579D0"/>
    <w:rsid w:val="00557BE0"/>
    <w:rsid w:val="00561952"/>
    <w:rsid w:val="00562AA6"/>
    <w:rsid w:val="00564554"/>
    <w:rsid w:val="005664FC"/>
    <w:rsid w:val="005727D0"/>
    <w:rsid w:val="00574F2B"/>
    <w:rsid w:val="0057675A"/>
    <w:rsid w:val="005772AD"/>
    <w:rsid w:val="00585285"/>
    <w:rsid w:val="00591418"/>
    <w:rsid w:val="00594A0A"/>
    <w:rsid w:val="00595E96"/>
    <w:rsid w:val="005A19DF"/>
    <w:rsid w:val="005A627C"/>
    <w:rsid w:val="005B0702"/>
    <w:rsid w:val="005B3453"/>
    <w:rsid w:val="005B383E"/>
    <w:rsid w:val="005B494E"/>
    <w:rsid w:val="005B6652"/>
    <w:rsid w:val="005B697D"/>
    <w:rsid w:val="005B6C87"/>
    <w:rsid w:val="005B6FD5"/>
    <w:rsid w:val="005D42C9"/>
    <w:rsid w:val="005D71CA"/>
    <w:rsid w:val="005E1046"/>
    <w:rsid w:val="005E353A"/>
    <w:rsid w:val="005E392B"/>
    <w:rsid w:val="005E62C4"/>
    <w:rsid w:val="005F1127"/>
    <w:rsid w:val="005F1EBE"/>
    <w:rsid w:val="006143C9"/>
    <w:rsid w:val="00617884"/>
    <w:rsid w:val="00632E80"/>
    <w:rsid w:val="006332D1"/>
    <w:rsid w:val="0064236B"/>
    <w:rsid w:val="00653001"/>
    <w:rsid w:val="00662920"/>
    <w:rsid w:val="00663048"/>
    <w:rsid w:val="006759C7"/>
    <w:rsid w:val="00680ED9"/>
    <w:rsid w:val="0068445D"/>
    <w:rsid w:val="00690D64"/>
    <w:rsid w:val="006932DE"/>
    <w:rsid w:val="006945B7"/>
    <w:rsid w:val="00695353"/>
    <w:rsid w:val="00697C27"/>
    <w:rsid w:val="006A6058"/>
    <w:rsid w:val="006B08FC"/>
    <w:rsid w:val="006C176A"/>
    <w:rsid w:val="006C5CD2"/>
    <w:rsid w:val="006C7784"/>
    <w:rsid w:val="006C7BF0"/>
    <w:rsid w:val="006D1270"/>
    <w:rsid w:val="006D19E0"/>
    <w:rsid w:val="006D4D0C"/>
    <w:rsid w:val="006D7554"/>
    <w:rsid w:val="006E0C76"/>
    <w:rsid w:val="006E211B"/>
    <w:rsid w:val="006E2267"/>
    <w:rsid w:val="006E3E08"/>
    <w:rsid w:val="006E698D"/>
    <w:rsid w:val="00701324"/>
    <w:rsid w:val="00701A99"/>
    <w:rsid w:val="007040DF"/>
    <w:rsid w:val="00715D55"/>
    <w:rsid w:val="007161A4"/>
    <w:rsid w:val="00720FC1"/>
    <w:rsid w:val="00721AED"/>
    <w:rsid w:val="00721C43"/>
    <w:rsid w:val="00722837"/>
    <w:rsid w:val="0072303F"/>
    <w:rsid w:val="007277FE"/>
    <w:rsid w:val="00731130"/>
    <w:rsid w:val="00731720"/>
    <w:rsid w:val="00731B85"/>
    <w:rsid w:val="00735808"/>
    <w:rsid w:val="00735B24"/>
    <w:rsid w:val="00741B7B"/>
    <w:rsid w:val="0074448B"/>
    <w:rsid w:val="00744C9F"/>
    <w:rsid w:val="00746B86"/>
    <w:rsid w:val="0075301D"/>
    <w:rsid w:val="00761640"/>
    <w:rsid w:val="00762F9A"/>
    <w:rsid w:val="00766F5C"/>
    <w:rsid w:val="007672C9"/>
    <w:rsid w:val="00770501"/>
    <w:rsid w:val="00770980"/>
    <w:rsid w:val="00772257"/>
    <w:rsid w:val="00774F8E"/>
    <w:rsid w:val="007751FE"/>
    <w:rsid w:val="0077633D"/>
    <w:rsid w:val="00791FBA"/>
    <w:rsid w:val="00792CE9"/>
    <w:rsid w:val="007A1EC3"/>
    <w:rsid w:val="007A2D27"/>
    <w:rsid w:val="007B0FCF"/>
    <w:rsid w:val="007B1A57"/>
    <w:rsid w:val="007D038C"/>
    <w:rsid w:val="007D4A6F"/>
    <w:rsid w:val="007E49BD"/>
    <w:rsid w:val="007F043A"/>
    <w:rsid w:val="007F6E11"/>
    <w:rsid w:val="00801A3F"/>
    <w:rsid w:val="00802F33"/>
    <w:rsid w:val="008032C6"/>
    <w:rsid w:val="0080368A"/>
    <w:rsid w:val="00807CC7"/>
    <w:rsid w:val="008108C2"/>
    <w:rsid w:val="00813D80"/>
    <w:rsid w:val="0081532D"/>
    <w:rsid w:val="008168D4"/>
    <w:rsid w:val="008221C6"/>
    <w:rsid w:val="00822BFB"/>
    <w:rsid w:val="00823A74"/>
    <w:rsid w:val="008261AC"/>
    <w:rsid w:val="0082798F"/>
    <w:rsid w:val="00831222"/>
    <w:rsid w:val="00831244"/>
    <w:rsid w:val="008369CB"/>
    <w:rsid w:val="00842E5A"/>
    <w:rsid w:val="00845A83"/>
    <w:rsid w:val="00847526"/>
    <w:rsid w:val="00847DE7"/>
    <w:rsid w:val="0085097E"/>
    <w:rsid w:val="00852F3B"/>
    <w:rsid w:val="008558DA"/>
    <w:rsid w:val="00856BF5"/>
    <w:rsid w:val="008612C0"/>
    <w:rsid w:val="00867FA7"/>
    <w:rsid w:val="00870681"/>
    <w:rsid w:val="0087384A"/>
    <w:rsid w:val="00881E93"/>
    <w:rsid w:val="00883EB1"/>
    <w:rsid w:val="008945C1"/>
    <w:rsid w:val="00894C87"/>
    <w:rsid w:val="008A2EDD"/>
    <w:rsid w:val="008A538F"/>
    <w:rsid w:val="008B563A"/>
    <w:rsid w:val="008B5798"/>
    <w:rsid w:val="008B6EB3"/>
    <w:rsid w:val="008B7ECB"/>
    <w:rsid w:val="008C0974"/>
    <w:rsid w:val="008C45A9"/>
    <w:rsid w:val="008C71E5"/>
    <w:rsid w:val="008D1EE5"/>
    <w:rsid w:val="008D5D94"/>
    <w:rsid w:val="008D67FE"/>
    <w:rsid w:val="008D6C41"/>
    <w:rsid w:val="008E2CE1"/>
    <w:rsid w:val="008E3951"/>
    <w:rsid w:val="008F0371"/>
    <w:rsid w:val="008F50F4"/>
    <w:rsid w:val="008F7AC9"/>
    <w:rsid w:val="00915822"/>
    <w:rsid w:val="009161B8"/>
    <w:rsid w:val="00921393"/>
    <w:rsid w:val="00924840"/>
    <w:rsid w:val="00925280"/>
    <w:rsid w:val="00926DDA"/>
    <w:rsid w:val="0093576B"/>
    <w:rsid w:val="00935ED9"/>
    <w:rsid w:val="00947191"/>
    <w:rsid w:val="00947EEE"/>
    <w:rsid w:val="00955C05"/>
    <w:rsid w:val="0096066C"/>
    <w:rsid w:val="0096504F"/>
    <w:rsid w:val="00972224"/>
    <w:rsid w:val="009723D5"/>
    <w:rsid w:val="0097298D"/>
    <w:rsid w:val="00972E51"/>
    <w:rsid w:val="00973356"/>
    <w:rsid w:val="00974D91"/>
    <w:rsid w:val="009764B5"/>
    <w:rsid w:val="009817B6"/>
    <w:rsid w:val="00990378"/>
    <w:rsid w:val="00994DBC"/>
    <w:rsid w:val="009A126F"/>
    <w:rsid w:val="009A1388"/>
    <w:rsid w:val="009A16AD"/>
    <w:rsid w:val="009A5C25"/>
    <w:rsid w:val="009B0748"/>
    <w:rsid w:val="009B53EF"/>
    <w:rsid w:val="009B5790"/>
    <w:rsid w:val="009B6339"/>
    <w:rsid w:val="009B7CD4"/>
    <w:rsid w:val="009C2CCB"/>
    <w:rsid w:val="009C4F03"/>
    <w:rsid w:val="009C592D"/>
    <w:rsid w:val="009D0AF5"/>
    <w:rsid w:val="009D2B03"/>
    <w:rsid w:val="009E0CEE"/>
    <w:rsid w:val="009E76B5"/>
    <w:rsid w:val="009F20CC"/>
    <w:rsid w:val="009F6330"/>
    <w:rsid w:val="009F6A29"/>
    <w:rsid w:val="00A02135"/>
    <w:rsid w:val="00A024A3"/>
    <w:rsid w:val="00A03A4B"/>
    <w:rsid w:val="00A11C94"/>
    <w:rsid w:val="00A1232E"/>
    <w:rsid w:val="00A12A52"/>
    <w:rsid w:val="00A12F1A"/>
    <w:rsid w:val="00A131EE"/>
    <w:rsid w:val="00A13E1B"/>
    <w:rsid w:val="00A158C4"/>
    <w:rsid w:val="00A161E1"/>
    <w:rsid w:val="00A16B45"/>
    <w:rsid w:val="00A2088C"/>
    <w:rsid w:val="00A24DFB"/>
    <w:rsid w:val="00A266B1"/>
    <w:rsid w:val="00A279EE"/>
    <w:rsid w:val="00A318A3"/>
    <w:rsid w:val="00A31AA0"/>
    <w:rsid w:val="00A367DC"/>
    <w:rsid w:val="00A36FB9"/>
    <w:rsid w:val="00A46995"/>
    <w:rsid w:val="00A5053A"/>
    <w:rsid w:val="00A5312C"/>
    <w:rsid w:val="00A537DC"/>
    <w:rsid w:val="00A57E48"/>
    <w:rsid w:val="00A605BB"/>
    <w:rsid w:val="00A64613"/>
    <w:rsid w:val="00A64EA3"/>
    <w:rsid w:val="00A67EF0"/>
    <w:rsid w:val="00A741FA"/>
    <w:rsid w:val="00A80B0B"/>
    <w:rsid w:val="00A829FE"/>
    <w:rsid w:val="00A854EA"/>
    <w:rsid w:val="00A913C1"/>
    <w:rsid w:val="00A9547E"/>
    <w:rsid w:val="00A97BC3"/>
    <w:rsid w:val="00AA7930"/>
    <w:rsid w:val="00AB0B76"/>
    <w:rsid w:val="00AB5664"/>
    <w:rsid w:val="00AB7080"/>
    <w:rsid w:val="00AC064B"/>
    <w:rsid w:val="00AC39EC"/>
    <w:rsid w:val="00AC48B4"/>
    <w:rsid w:val="00AD0920"/>
    <w:rsid w:val="00AD4E51"/>
    <w:rsid w:val="00AD6533"/>
    <w:rsid w:val="00AE2646"/>
    <w:rsid w:val="00AE3B6D"/>
    <w:rsid w:val="00AF0CE1"/>
    <w:rsid w:val="00AF18DF"/>
    <w:rsid w:val="00B00D52"/>
    <w:rsid w:val="00B02F9E"/>
    <w:rsid w:val="00B04579"/>
    <w:rsid w:val="00B10EE0"/>
    <w:rsid w:val="00B203FA"/>
    <w:rsid w:val="00B274FB"/>
    <w:rsid w:val="00B27CDC"/>
    <w:rsid w:val="00B30B8F"/>
    <w:rsid w:val="00B337A2"/>
    <w:rsid w:val="00B3434A"/>
    <w:rsid w:val="00B35C47"/>
    <w:rsid w:val="00B36D89"/>
    <w:rsid w:val="00B471A0"/>
    <w:rsid w:val="00B50BAD"/>
    <w:rsid w:val="00B528E1"/>
    <w:rsid w:val="00B60F62"/>
    <w:rsid w:val="00B60FB6"/>
    <w:rsid w:val="00B67C2E"/>
    <w:rsid w:val="00B71BEB"/>
    <w:rsid w:val="00B74F39"/>
    <w:rsid w:val="00B8308F"/>
    <w:rsid w:val="00B8617C"/>
    <w:rsid w:val="00B930F0"/>
    <w:rsid w:val="00B934A2"/>
    <w:rsid w:val="00B964EE"/>
    <w:rsid w:val="00BA02E3"/>
    <w:rsid w:val="00BA2078"/>
    <w:rsid w:val="00BA524E"/>
    <w:rsid w:val="00BA68DA"/>
    <w:rsid w:val="00BA69D8"/>
    <w:rsid w:val="00BB29D4"/>
    <w:rsid w:val="00BB32B7"/>
    <w:rsid w:val="00BB43C7"/>
    <w:rsid w:val="00BC4F31"/>
    <w:rsid w:val="00BC7CBA"/>
    <w:rsid w:val="00BD2F84"/>
    <w:rsid w:val="00BD4930"/>
    <w:rsid w:val="00BE10E4"/>
    <w:rsid w:val="00BE2C1A"/>
    <w:rsid w:val="00BE5FA3"/>
    <w:rsid w:val="00BF0E58"/>
    <w:rsid w:val="00BF3F43"/>
    <w:rsid w:val="00C04333"/>
    <w:rsid w:val="00C1100E"/>
    <w:rsid w:val="00C119B9"/>
    <w:rsid w:val="00C13507"/>
    <w:rsid w:val="00C15E76"/>
    <w:rsid w:val="00C23191"/>
    <w:rsid w:val="00C305DE"/>
    <w:rsid w:val="00C357E1"/>
    <w:rsid w:val="00C35C2F"/>
    <w:rsid w:val="00C433D0"/>
    <w:rsid w:val="00C46E5F"/>
    <w:rsid w:val="00C5189C"/>
    <w:rsid w:val="00C53C39"/>
    <w:rsid w:val="00C64C39"/>
    <w:rsid w:val="00C65206"/>
    <w:rsid w:val="00C67697"/>
    <w:rsid w:val="00C723E9"/>
    <w:rsid w:val="00C72B83"/>
    <w:rsid w:val="00C73DFB"/>
    <w:rsid w:val="00C7521E"/>
    <w:rsid w:val="00C86A0B"/>
    <w:rsid w:val="00C919A2"/>
    <w:rsid w:val="00C91CCE"/>
    <w:rsid w:val="00C92226"/>
    <w:rsid w:val="00C94D9B"/>
    <w:rsid w:val="00CA03EE"/>
    <w:rsid w:val="00CA431D"/>
    <w:rsid w:val="00CB4FFD"/>
    <w:rsid w:val="00CB5683"/>
    <w:rsid w:val="00CB5E5D"/>
    <w:rsid w:val="00CC1F0B"/>
    <w:rsid w:val="00CD0507"/>
    <w:rsid w:val="00CD21D8"/>
    <w:rsid w:val="00CD22B7"/>
    <w:rsid w:val="00CD465D"/>
    <w:rsid w:val="00CE22A7"/>
    <w:rsid w:val="00CE2EA5"/>
    <w:rsid w:val="00CE6F87"/>
    <w:rsid w:val="00CF0A70"/>
    <w:rsid w:val="00CF1028"/>
    <w:rsid w:val="00CF4A6F"/>
    <w:rsid w:val="00D027F9"/>
    <w:rsid w:val="00D03308"/>
    <w:rsid w:val="00D065FF"/>
    <w:rsid w:val="00D1179A"/>
    <w:rsid w:val="00D14846"/>
    <w:rsid w:val="00D15564"/>
    <w:rsid w:val="00D22DEE"/>
    <w:rsid w:val="00D27C6D"/>
    <w:rsid w:val="00D3184E"/>
    <w:rsid w:val="00D336A4"/>
    <w:rsid w:val="00D34659"/>
    <w:rsid w:val="00D351BF"/>
    <w:rsid w:val="00D362AB"/>
    <w:rsid w:val="00D379A6"/>
    <w:rsid w:val="00D4303F"/>
    <w:rsid w:val="00D52F19"/>
    <w:rsid w:val="00D54CFB"/>
    <w:rsid w:val="00D57F0D"/>
    <w:rsid w:val="00D617A2"/>
    <w:rsid w:val="00D63037"/>
    <w:rsid w:val="00D6558B"/>
    <w:rsid w:val="00D658BC"/>
    <w:rsid w:val="00D725C5"/>
    <w:rsid w:val="00D736D3"/>
    <w:rsid w:val="00D73861"/>
    <w:rsid w:val="00D74A3C"/>
    <w:rsid w:val="00D75A5C"/>
    <w:rsid w:val="00D806D4"/>
    <w:rsid w:val="00D81904"/>
    <w:rsid w:val="00D94A23"/>
    <w:rsid w:val="00DA012A"/>
    <w:rsid w:val="00DB599C"/>
    <w:rsid w:val="00DB7CD9"/>
    <w:rsid w:val="00DE01A5"/>
    <w:rsid w:val="00DF0D0D"/>
    <w:rsid w:val="00DF25E5"/>
    <w:rsid w:val="00E04A10"/>
    <w:rsid w:val="00E13456"/>
    <w:rsid w:val="00E13E41"/>
    <w:rsid w:val="00E17675"/>
    <w:rsid w:val="00E2311A"/>
    <w:rsid w:val="00E23E84"/>
    <w:rsid w:val="00E240AE"/>
    <w:rsid w:val="00E302EF"/>
    <w:rsid w:val="00E35849"/>
    <w:rsid w:val="00E46B3C"/>
    <w:rsid w:val="00E4717C"/>
    <w:rsid w:val="00E4721C"/>
    <w:rsid w:val="00E519EE"/>
    <w:rsid w:val="00E57F4B"/>
    <w:rsid w:val="00E61E9E"/>
    <w:rsid w:val="00E624F4"/>
    <w:rsid w:val="00E65BF4"/>
    <w:rsid w:val="00E670D4"/>
    <w:rsid w:val="00E70CA1"/>
    <w:rsid w:val="00E90778"/>
    <w:rsid w:val="00E95D3C"/>
    <w:rsid w:val="00EA0791"/>
    <w:rsid w:val="00EA0F9A"/>
    <w:rsid w:val="00EA23C3"/>
    <w:rsid w:val="00EA5C2B"/>
    <w:rsid w:val="00EB0998"/>
    <w:rsid w:val="00EB1207"/>
    <w:rsid w:val="00EB230A"/>
    <w:rsid w:val="00EB68C6"/>
    <w:rsid w:val="00EC4B5B"/>
    <w:rsid w:val="00ED1E8A"/>
    <w:rsid w:val="00ED3A3B"/>
    <w:rsid w:val="00ED7664"/>
    <w:rsid w:val="00EE4AB8"/>
    <w:rsid w:val="00EE6DEE"/>
    <w:rsid w:val="00EF3400"/>
    <w:rsid w:val="00F02087"/>
    <w:rsid w:val="00F057D1"/>
    <w:rsid w:val="00F11000"/>
    <w:rsid w:val="00F14889"/>
    <w:rsid w:val="00F219C2"/>
    <w:rsid w:val="00F21D80"/>
    <w:rsid w:val="00F34A18"/>
    <w:rsid w:val="00F35E20"/>
    <w:rsid w:val="00F36FFF"/>
    <w:rsid w:val="00F40996"/>
    <w:rsid w:val="00F418B7"/>
    <w:rsid w:val="00F43700"/>
    <w:rsid w:val="00F43CE1"/>
    <w:rsid w:val="00F459C6"/>
    <w:rsid w:val="00F501A3"/>
    <w:rsid w:val="00F54484"/>
    <w:rsid w:val="00F60959"/>
    <w:rsid w:val="00F6150D"/>
    <w:rsid w:val="00F61A25"/>
    <w:rsid w:val="00F650F4"/>
    <w:rsid w:val="00F73CF4"/>
    <w:rsid w:val="00F77E8C"/>
    <w:rsid w:val="00F85F64"/>
    <w:rsid w:val="00F86CE3"/>
    <w:rsid w:val="00F96C16"/>
    <w:rsid w:val="00F96F49"/>
    <w:rsid w:val="00FA0786"/>
    <w:rsid w:val="00FB2D5D"/>
    <w:rsid w:val="00FB718C"/>
    <w:rsid w:val="00FB7842"/>
    <w:rsid w:val="00FC0372"/>
    <w:rsid w:val="00FE4F40"/>
    <w:rsid w:val="00FF0F8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6548C42-8257-44C1-AA3E-E76CB564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A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E26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E26AF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1E26AF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E26AF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1E26AF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1E26AF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1E26AF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E26AF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1E26AF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E26AF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1E26AF"/>
    <w:pPr>
      <w:ind w:left="283" w:hanging="283"/>
    </w:pPr>
  </w:style>
  <w:style w:type="paragraph" w:styleId="List2">
    <w:name w:val="List 2"/>
    <w:basedOn w:val="Normal"/>
    <w:semiHidden/>
    <w:rsid w:val="001E26AF"/>
    <w:pPr>
      <w:ind w:left="566" w:hanging="283"/>
    </w:pPr>
  </w:style>
  <w:style w:type="paragraph" w:styleId="BodyText2">
    <w:name w:val="Body Text 2"/>
    <w:basedOn w:val="Normal"/>
    <w:semiHidden/>
    <w:rsid w:val="001E26AF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1E26AF"/>
    <w:pPr>
      <w:ind w:left="2040"/>
    </w:pPr>
  </w:style>
  <w:style w:type="paragraph" w:styleId="BodyText3">
    <w:name w:val="Body Text 3"/>
    <w:basedOn w:val="Normal"/>
    <w:semiHidden/>
    <w:rsid w:val="001E26AF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1E26AF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1E26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E26AF"/>
  </w:style>
  <w:style w:type="paragraph" w:customStyle="1" w:styleId="xl24">
    <w:name w:val="xl2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1E26AF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1E26AF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1E26AF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1E26AF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1E26AF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1E26AF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1E26AF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uiPriority w:val="99"/>
    <w:rsid w:val="001E26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E26AF"/>
    <w:rPr>
      <w:sz w:val="20"/>
      <w:szCs w:val="20"/>
    </w:rPr>
  </w:style>
  <w:style w:type="paragraph" w:styleId="BlockText">
    <w:name w:val="Block Text"/>
    <w:basedOn w:val="Normal"/>
    <w:semiHidden/>
    <w:rsid w:val="001E26AF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1E26AF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1E26AF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rsid w:val="001E26A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26AF"/>
    <w:rPr>
      <w:color w:val="800080"/>
      <w:u w:val="single"/>
    </w:rPr>
  </w:style>
  <w:style w:type="paragraph" w:styleId="CommentText">
    <w:name w:val="annotation text"/>
    <w:basedOn w:val="Normal"/>
    <w:semiHidden/>
    <w:rsid w:val="001E26AF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1E26AF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1E26A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E26A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LightShading-Accent6">
    <w:name w:val="Light Shading Accent 6"/>
    <w:basedOn w:val="TableNormal"/>
    <w:uiPriority w:val="60"/>
    <w:rsid w:val="0032568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3256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A5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5F1EBE"/>
    <w:rPr>
      <w:rFonts w:cs="Simplified Arabic"/>
      <w:snapToGrid w:val="0"/>
    </w:rPr>
  </w:style>
  <w:style w:type="paragraph" w:styleId="NoSpacing">
    <w:name w:val="No Spacing"/>
    <w:uiPriority w:val="1"/>
    <w:qFormat/>
    <w:rsid w:val="00690D64"/>
    <w:pPr>
      <w:bidi/>
    </w:pPr>
    <w:rPr>
      <w:sz w:val="24"/>
      <w:szCs w:val="24"/>
      <w:lang w:eastAsia="ar-SA"/>
    </w:rPr>
  </w:style>
  <w:style w:type="character" w:customStyle="1" w:styleId="1H">
    <w:name w:val="1H"/>
    <w:rsid w:val="00A13E1B"/>
    <w:rPr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65D"/>
    <w:rPr>
      <w:lang w:eastAsia="ar-SA"/>
    </w:rPr>
  </w:style>
  <w:style w:type="paragraph" w:styleId="ListParagraph">
    <w:name w:val="List Paragraph"/>
    <w:basedOn w:val="Normal"/>
    <w:uiPriority w:val="34"/>
    <w:qFormat/>
    <w:rsid w:val="00F5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51029599075637"/>
          <c:y val="5.0591519005685232E-2"/>
          <c:w val="0.88160913110947392"/>
          <c:h val="0.751955121365456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Sheet6!$A$2</c:f>
              <c:strCache>
                <c:ptCount val="1"/>
                <c:pt idx="0">
                  <c:v>Gaza Strip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Sheet6!$B$2:$C$2</c:f>
              <c:numCache>
                <c:formatCode>General</c:formatCode>
                <c:ptCount val="2"/>
                <c:pt idx="0">
                  <c:v>5.8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1-4B21-AF72-1FC2AC35E396}"/>
            </c:ext>
          </c:extLst>
        </c:ser>
        <c:ser>
          <c:idx val="1"/>
          <c:order val="1"/>
          <c:tx>
            <c:strRef>
              <c:f>Sheet6!$A$3</c:f>
              <c:strCache>
                <c:ptCount val="1"/>
                <c:pt idx="0">
                  <c:v>West Bank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Sheet6!$B$3:$C$3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B1-4B21-AF72-1FC2AC35E396}"/>
            </c:ext>
          </c:extLst>
        </c:ser>
        <c:ser>
          <c:idx val="2"/>
          <c:order val="2"/>
          <c:tx>
            <c:strRef>
              <c:f>Sheet6!$A$4</c:f>
              <c:strCache>
                <c:ptCount val="1"/>
                <c:pt idx="0">
                  <c:v>Palestine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Sheet6!$B$4:$C$4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B1-4B21-AF72-1FC2AC35E3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1324800"/>
        <c:axId val="91562368"/>
      </c:barChart>
      <c:catAx>
        <c:axId val="9132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4977242985471888"/>
              <c:y val="0.9006216114877596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9156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562368"/>
        <c:scaling>
          <c:orientation val="minMax"/>
          <c:max val="7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91324800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35904884874033621"/>
          <c:y val="3.1707854927154853E-2"/>
          <c:w val="0.56703322281605351"/>
          <c:h val="0.16254294917680742"/>
        </c:manualLayout>
      </c:layout>
      <c:overlay val="0"/>
      <c:spPr>
        <a:ln>
          <a:solidFill>
            <a:srgbClr val="4F81BD"/>
          </a:solidFill>
        </a:ln>
      </c:sp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Region</a:t>
            </a:r>
          </a:p>
        </c:rich>
      </c:tx>
      <c:layout>
        <c:manualLayout>
          <c:xMode val="edge"/>
          <c:yMode val="edge"/>
          <c:x val="0.44002138202552266"/>
          <c:y val="0.879581151832460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>
        <c:manualLayout>
          <c:layoutTarget val="inner"/>
          <c:xMode val="edge"/>
          <c:yMode val="edge"/>
          <c:x val="8.985270160195491E-2"/>
          <c:y val="8.2028220798222237E-2"/>
          <c:w val="0.86590381482487166"/>
          <c:h val="0.642710499754209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State of Palestine 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6.1</c:v>
                </c:pt>
                <c:pt idx="1">
                  <c:v>5.7</c:v>
                </c:pt>
                <c:pt idx="2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0F-4016-9B7A-3A46CBC9861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State of Palestine 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4.9000000000000004</c:v>
                </c:pt>
                <c:pt idx="2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0F-4016-9B7A-3A46CBC98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88992"/>
        <c:axId val="86663552"/>
      </c:barChart>
      <c:catAx>
        <c:axId val="76388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86663552"/>
        <c:crosses val="autoZero"/>
        <c:auto val="1"/>
        <c:lblAlgn val="ctr"/>
        <c:lblOffset val="100"/>
        <c:noMultiLvlLbl val="0"/>
      </c:catAx>
      <c:valAx>
        <c:axId val="86663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763889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1868755090958461"/>
          <c:y val="3.5557021340918815E-2"/>
          <c:w val="0.34596762150420868"/>
          <c:h val="0.126825465619900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4B7D-D329-435C-BDA3-1B10EEE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1343</Words>
  <Characters>6761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LOAY SHEHADEH</cp:lastModifiedBy>
  <cp:revision>4</cp:revision>
  <cp:lastPrinted>2020-12-30T12:31:00Z</cp:lastPrinted>
  <dcterms:created xsi:type="dcterms:W3CDTF">2020-12-30T12:33:00Z</dcterms:created>
  <dcterms:modified xsi:type="dcterms:W3CDTF">2020-12-31T05:37:00Z</dcterms:modified>
</cp:coreProperties>
</file>