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11" w:rsidRDefault="00DC2111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60" w:rsidRDefault="00932060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60" w:rsidRDefault="00932060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60" w:rsidRDefault="00932060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60" w:rsidRDefault="00932060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2060" w:rsidRDefault="00932060" w:rsidP="00932060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</w:rPr>
      </w:pPr>
    </w:p>
    <w:p w:rsidR="00932060" w:rsidRDefault="00932060" w:rsidP="00932060">
      <w:pPr>
        <w:pStyle w:val="Heading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Palestinian Central Bureau of Statistics (PCBS)</w:t>
      </w:r>
    </w:p>
    <w:p w:rsidR="00932060" w:rsidRDefault="00932060" w:rsidP="00932060">
      <w:pPr>
        <w:pStyle w:val="Heading1"/>
        <w:jc w:val="center"/>
        <w:rPr>
          <w:rFonts w:eastAsia="Times New Roman" w:hint="cs"/>
          <w:b w:val="0"/>
          <w:bCs w:val="0"/>
          <w:sz w:val="16"/>
          <w:szCs w:val="16"/>
          <w:rtl/>
        </w:rPr>
      </w:pPr>
    </w:p>
    <w:p w:rsidR="00932060" w:rsidRPr="00932060" w:rsidRDefault="00932060" w:rsidP="00932060">
      <w:pPr>
        <w:jc w:val="center"/>
        <w:rPr>
          <w:rFonts w:ascii="Times New Roman" w:eastAsiaTheme="minorHAnsi" w:hAnsi="Times New Roman" w:hint="cs"/>
          <w:b/>
          <w:bCs/>
          <w:color w:val="auto"/>
          <w:sz w:val="28"/>
          <w:szCs w:val="28"/>
          <w:rtl/>
        </w:rPr>
      </w:pPr>
      <w:r w:rsidRPr="00932060">
        <w:rPr>
          <w:rFonts w:ascii="Times New Roman" w:hAnsi="Times New Roman"/>
          <w:b/>
          <w:bCs/>
          <w:color w:val="auto"/>
          <w:sz w:val="28"/>
          <w:szCs w:val="28"/>
        </w:rPr>
        <w:t>Palestinian Producer Price Index</w:t>
      </w:r>
      <w:r w:rsidRPr="00932060">
        <w:rPr>
          <w:rFonts w:ascii="Times New Roman" w:hAnsi="Times New Roman" w:cs="Times New Roman"/>
          <w:b/>
          <w:bCs/>
          <w:color w:val="auto"/>
          <w:sz w:val="28"/>
          <w:szCs w:val="28"/>
        </w:rPr>
        <w:t>(PPI) during 2017</w:t>
      </w:r>
      <w:r w:rsidRPr="00932060">
        <w:rPr>
          <w:rFonts w:ascii="Times New Roman" w:hAnsi="Times New Roman"/>
          <w:b/>
          <w:bCs/>
          <w:color w:val="auto"/>
          <w:sz w:val="28"/>
          <w:szCs w:val="28"/>
        </w:rPr>
        <w:t xml:space="preserve">&amp; </w:t>
      </w:r>
      <w:r w:rsidRPr="00932060">
        <w:rPr>
          <w:rFonts w:ascii="Times New Roman" w:hAnsi="Times New Roman" w:cs="Times New Roman"/>
          <w:b/>
          <w:bCs/>
          <w:color w:val="auto"/>
          <w:sz w:val="28"/>
          <w:szCs w:val="28"/>
        </w:rPr>
        <w:t>during December</w:t>
      </w:r>
      <w:r w:rsidRPr="00932060">
        <w:rPr>
          <w:rFonts w:ascii="Times New Roman" w:hAnsi="Times New Roman"/>
          <w:b/>
          <w:bCs/>
          <w:color w:val="auto"/>
          <w:sz w:val="28"/>
          <w:szCs w:val="28"/>
        </w:rPr>
        <w:t>,12/2017</w:t>
      </w:r>
    </w:p>
    <w:p w:rsidR="00932060" w:rsidRDefault="00932060" w:rsidP="00932060">
      <w:pPr>
        <w:jc w:val="center"/>
        <w:rPr>
          <w:rFonts w:ascii="Times New Roman" w:hAnsi="Times New Roman" w:hint="cs"/>
          <w:b/>
          <w:bCs/>
          <w:sz w:val="28"/>
          <w:szCs w:val="28"/>
          <w:rtl/>
        </w:rPr>
      </w:pPr>
    </w:p>
    <w:p w:rsidR="00932060" w:rsidRPr="00B7127B" w:rsidRDefault="00932060" w:rsidP="0053589B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:rsidR="00AA0BA4" w:rsidRPr="00932060" w:rsidRDefault="00AA0BA4" w:rsidP="0053589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932060">
        <w:rPr>
          <w:rFonts w:ascii="Times New Roman" w:hAnsi="Times New Roman" w:cs="Times New Roman"/>
          <w:b/>
          <w:bCs/>
          <w:sz w:val="25"/>
          <w:szCs w:val="25"/>
        </w:rPr>
        <w:t>Increase in the Producer Price</w:t>
      </w:r>
      <w:r w:rsidRPr="00932060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932060">
        <w:rPr>
          <w:rFonts w:ascii="Times New Roman" w:hAnsi="Times New Roman" w:cs="Times New Roman"/>
          <w:b/>
          <w:bCs/>
          <w:sz w:val="25"/>
          <w:szCs w:val="25"/>
        </w:rPr>
        <w:t xml:space="preserve"> Index (PPI) during </w:t>
      </w:r>
      <w:r w:rsidR="00BF0632" w:rsidRPr="00932060">
        <w:rPr>
          <w:rFonts w:ascii="Times New Roman" w:hAnsi="Times New Roman" w:cs="Times New Roman"/>
          <w:b/>
          <w:bCs/>
          <w:sz w:val="25"/>
          <w:szCs w:val="25"/>
        </w:rPr>
        <w:t>2017</w:t>
      </w:r>
    </w:p>
    <w:p w:rsidR="00AA0BA4" w:rsidRPr="0053589B" w:rsidRDefault="00AA0BA4" w:rsidP="0053589B">
      <w:pPr>
        <w:spacing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53589B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>PPI in Palestine</w:t>
      </w:r>
      <w:r w:rsidRPr="0053589B">
        <w:rPr>
          <w:rFonts w:ascii="Times New Roman" w:hAnsi="Times New Roman" w:cs="Times New Roman"/>
          <w:sz w:val="24"/>
          <w:szCs w:val="24"/>
        </w:rPr>
        <w:t xml:space="preserve"> with its base month (December 2015=100) reached </w:t>
      </w:r>
      <w:r w:rsidR="00BF0632" w:rsidRPr="0053589B">
        <w:rPr>
          <w:rFonts w:ascii="Times New Roman" w:hAnsi="Times New Roman" w:cs="Times New Roman"/>
          <w:b/>
          <w:bCs/>
          <w:sz w:val="24"/>
          <w:szCs w:val="24"/>
        </w:rPr>
        <w:t>101.15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 in </w:t>
      </w:r>
      <w:r w:rsidR="00BF0632" w:rsidRPr="0053589B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, which indicates an increase by </w:t>
      </w:r>
      <w:r w:rsidR="00BF0632" w:rsidRPr="0053589B">
        <w:rPr>
          <w:rFonts w:ascii="Times New Roman" w:hAnsi="Times New Roman" w:cs="Times New Roman"/>
          <w:b/>
          <w:bCs/>
          <w:sz w:val="24"/>
          <w:szCs w:val="24"/>
        </w:rPr>
        <w:t>0.88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% compared to </w:t>
      </w:r>
      <w:r w:rsidR="00BF0632" w:rsidRPr="0053589B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53589B">
        <w:rPr>
          <w:rFonts w:ascii="Times New Roman" w:hAnsi="Times New Roman" w:cs="Times New Roman"/>
          <w:sz w:val="24"/>
          <w:szCs w:val="24"/>
        </w:rPr>
        <w:t>.</w:t>
      </w:r>
    </w:p>
    <w:p w:rsidR="00AA0BA4" w:rsidRPr="00B7127B" w:rsidRDefault="00AA0BA4" w:rsidP="0053589B">
      <w:pPr>
        <w:spacing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:rsidR="0053589B" w:rsidRDefault="00AA0BA4" w:rsidP="0053589B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589B">
        <w:rPr>
          <w:rFonts w:ascii="Times New Roman" w:hAnsi="Times New Roman" w:cs="Times New Roman"/>
          <w:sz w:val="24"/>
          <w:szCs w:val="24"/>
        </w:rPr>
        <w:t xml:space="preserve">Prices of PPI for </w:t>
      </w:r>
      <w:r w:rsidR="00BF0632" w:rsidRPr="0053589B">
        <w:rPr>
          <w:rFonts w:ascii="Times New Roman" w:hAnsi="Times New Roman" w:cs="Times New Roman"/>
          <w:sz w:val="24"/>
          <w:szCs w:val="24"/>
        </w:rPr>
        <w:t>2017</w:t>
      </w:r>
      <w:r w:rsidRPr="0053589B">
        <w:rPr>
          <w:rFonts w:ascii="Times New Roman" w:hAnsi="Times New Roman" w:cs="Times New Roman"/>
          <w:sz w:val="24"/>
          <w:szCs w:val="24"/>
        </w:rPr>
        <w:t xml:space="preserve"> increased due to the increase in the </w:t>
      </w:r>
      <w:r w:rsidR="001A2B84" w:rsidRPr="0053589B">
        <w:rPr>
          <w:rFonts w:ascii="Times New Roman" w:hAnsi="Times New Roman" w:cs="Times New Roman"/>
          <w:sz w:val="24"/>
          <w:szCs w:val="24"/>
        </w:rPr>
        <w:t xml:space="preserve">prices of goods in </w:t>
      </w:r>
      <w:r w:rsidR="001A2B84" w:rsidRPr="0053589B">
        <w:rPr>
          <w:rFonts w:ascii="Times New Roman" w:hAnsi="Times New Roman" w:cs="Times New Roman"/>
          <w:b/>
          <w:bCs/>
          <w:sz w:val="24"/>
          <w:szCs w:val="24"/>
        </w:rPr>
        <w:t>Water supply; sewerage, waste management and remediation activities group by 7.65%</w:t>
      </w:r>
      <w:r w:rsidR="001A2B84" w:rsidRPr="0053589B">
        <w:rPr>
          <w:rFonts w:ascii="Times New Roman" w:hAnsi="Times New Roman" w:cs="Times New Roman"/>
          <w:sz w:val="24"/>
          <w:szCs w:val="24"/>
        </w:rPr>
        <w:t xml:space="preserve">, </w:t>
      </w:r>
      <w:r w:rsidR="00F319A6">
        <w:rPr>
          <w:rFonts w:ascii="Times New Roman" w:hAnsi="Times New Roman" w:cs="Times New Roman"/>
          <w:sz w:val="24"/>
          <w:szCs w:val="24"/>
        </w:rPr>
        <w:t xml:space="preserve">the </w:t>
      </w:r>
      <w:r w:rsidRPr="0053589B">
        <w:rPr>
          <w:rFonts w:ascii="Times New Roman" w:hAnsi="Times New Roman" w:cs="Times New Roman"/>
          <w:sz w:val="24"/>
          <w:szCs w:val="24"/>
        </w:rPr>
        <w:t xml:space="preserve">prices of goods in 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Electricity, gas, steam and air conditioning supply group by </w:t>
      </w:r>
      <w:r w:rsidR="001A2B84" w:rsidRPr="0053589B">
        <w:rPr>
          <w:rFonts w:ascii="Times New Roman" w:hAnsi="Times New Roman" w:cs="Times New Roman"/>
          <w:b/>
          <w:bCs/>
          <w:sz w:val="24"/>
          <w:szCs w:val="24"/>
        </w:rPr>
        <w:t>6.13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3589B">
        <w:rPr>
          <w:rFonts w:ascii="Times New Roman" w:hAnsi="Times New Roman" w:cs="Times New Roman"/>
          <w:sz w:val="24"/>
          <w:szCs w:val="24"/>
        </w:rPr>
        <w:t>, and the prices of goods in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Agriculture, forestry and fishing group by 0.</w:t>
      </w:r>
      <w:r w:rsidR="001A2B84" w:rsidRPr="0053589B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53589B">
        <w:rPr>
          <w:rFonts w:ascii="Times New Roman" w:hAnsi="Times New Roman" w:cs="Times New Roman"/>
          <w:sz w:val="24"/>
          <w:szCs w:val="24"/>
        </w:rPr>
        <w:t xml:space="preserve">, </w:t>
      </w:r>
      <w:r w:rsidRPr="0053589B">
        <w:rPr>
          <w:rFonts w:ascii="Times New Roman" w:hAnsi="Times New Roman" w:cs="Times New Roman"/>
          <w:sz w:val="24"/>
          <w:szCs w:val="24"/>
        </w:rPr>
        <w:t xml:space="preserve">While the prices of goods in 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Mining and quarrying group decreased by </w:t>
      </w:r>
      <w:r w:rsidR="001A2B84" w:rsidRPr="0053589B">
        <w:rPr>
          <w:rFonts w:ascii="Times New Roman" w:hAnsi="Times New Roman" w:cs="Times New Roman"/>
          <w:b/>
          <w:bCs/>
          <w:sz w:val="24"/>
          <w:szCs w:val="24"/>
        </w:rPr>
        <w:t>0.32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A2B84" w:rsidRPr="0053589B">
        <w:rPr>
          <w:rFonts w:ascii="Times New Roman" w:hAnsi="Times New Roman" w:cs="Times New Roman"/>
          <w:sz w:val="24"/>
          <w:szCs w:val="24"/>
        </w:rPr>
        <w:t>, and</w:t>
      </w:r>
      <w:r w:rsidRPr="0053589B">
        <w:rPr>
          <w:rFonts w:ascii="Times New Roman" w:hAnsi="Times New Roman" w:cs="Times New Roman"/>
          <w:sz w:val="24"/>
          <w:szCs w:val="24"/>
        </w:rPr>
        <w:t xml:space="preserve"> </w:t>
      </w:r>
      <w:r w:rsidR="001A2B84" w:rsidRPr="0053589B">
        <w:rPr>
          <w:rFonts w:ascii="Times New Roman" w:hAnsi="Times New Roman" w:cs="Times New Roman"/>
          <w:sz w:val="24"/>
          <w:szCs w:val="24"/>
        </w:rPr>
        <w:t xml:space="preserve">the prices of goods in </w:t>
      </w:r>
      <w:r w:rsidR="001A2B84" w:rsidRPr="0053589B">
        <w:rPr>
          <w:rFonts w:ascii="Times New Roman" w:hAnsi="Times New Roman" w:cs="Times New Roman"/>
          <w:b/>
          <w:bCs/>
          <w:sz w:val="24"/>
          <w:szCs w:val="24"/>
        </w:rPr>
        <w:t>Manufacturing group  decreased by 0.20%</w:t>
      </w:r>
      <w:r w:rsidR="001A2B84" w:rsidRPr="0053589B">
        <w:rPr>
          <w:rFonts w:ascii="Times New Roman" w:hAnsi="Times New Roman" w:cs="Times New Roman"/>
          <w:sz w:val="24"/>
          <w:szCs w:val="24"/>
        </w:rPr>
        <w:t xml:space="preserve">, </w:t>
      </w:r>
      <w:r w:rsidRPr="0053589B">
        <w:rPr>
          <w:rFonts w:ascii="Times New Roman" w:hAnsi="Times New Roman" w:cs="Times New Roman"/>
          <w:sz w:val="24"/>
          <w:szCs w:val="24"/>
        </w:rPr>
        <w:t xml:space="preserve">in </w:t>
      </w:r>
      <w:r w:rsidR="00A12DED" w:rsidRPr="0053589B">
        <w:rPr>
          <w:rFonts w:ascii="Times New Roman" w:hAnsi="Times New Roman" w:cs="Times New Roman"/>
          <w:sz w:val="24"/>
          <w:szCs w:val="24"/>
        </w:rPr>
        <w:t>2017</w:t>
      </w:r>
      <w:r w:rsidRPr="0053589B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A12DED" w:rsidRPr="0053589B">
        <w:rPr>
          <w:rFonts w:ascii="Times New Roman" w:hAnsi="Times New Roman" w:cs="Times New Roman"/>
          <w:sz w:val="24"/>
          <w:szCs w:val="24"/>
        </w:rPr>
        <w:t>2016</w:t>
      </w:r>
      <w:r w:rsidRPr="0053589B">
        <w:rPr>
          <w:rFonts w:ascii="Times New Roman" w:hAnsi="Times New Roman" w:cs="Times New Roman"/>
          <w:sz w:val="24"/>
          <w:szCs w:val="24"/>
        </w:rPr>
        <w:t>.</w:t>
      </w:r>
      <w:r w:rsidR="0053589B" w:rsidRPr="00535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89B" w:rsidRPr="00B7127B" w:rsidRDefault="0053589B" w:rsidP="0053589B">
      <w:pPr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3589B" w:rsidRDefault="0053589B" w:rsidP="005358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89B">
        <w:rPr>
          <w:rFonts w:ascii="Times New Roman" w:hAnsi="Times New Roman" w:cs="Times New Roman"/>
          <w:sz w:val="24"/>
          <w:szCs w:val="24"/>
        </w:rPr>
        <w:t>The prices of locally consumed products increased by 0.98%, while the prices of local exported products slightly decreased by 0.04%.</w:t>
      </w:r>
      <w:r w:rsidRPr="00535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589B" w:rsidRPr="00B7127B" w:rsidRDefault="0053589B" w:rsidP="0053589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589B" w:rsidRDefault="0053589B" w:rsidP="005358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9B">
        <w:rPr>
          <w:rFonts w:ascii="Times New Roman" w:hAnsi="Times New Roman" w:cs="Times New Roman"/>
          <w:b/>
          <w:bCs/>
          <w:sz w:val="24"/>
          <w:szCs w:val="24"/>
        </w:rPr>
        <w:t>Yearly Percent Change in PPI in Palestine for 2007 – 2017</w:t>
      </w:r>
    </w:p>
    <w:p w:rsidR="009A2891" w:rsidRDefault="009A2891" w:rsidP="005358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86"/>
      </w:tblGrid>
      <w:tr w:rsidR="0053589B" w:rsidTr="00932060">
        <w:trPr>
          <w:jc w:val="center"/>
        </w:trPr>
        <w:tc>
          <w:tcPr>
            <w:tcW w:w="4635" w:type="dxa"/>
          </w:tcPr>
          <w:p w:rsidR="0053589B" w:rsidRDefault="0053589B" w:rsidP="00535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30995" cy="1812897"/>
                  <wp:effectExtent l="0" t="0" r="7455" b="0"/>
                  <wp:docPr id="4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AA0BA4" w:rsidRPr="0053589B" w:rsidRDefault="00AA0BA4" w:rsidP="0053589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A0BA4" w:rsidRPr="0053589B" w:rsidRDefault="00AA0BA4" w:rsidP="005358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  <w:r w:rsidRPr="0053589B">
        <w:rPr>
          <w:rFonts w:ascii="Times New Roman" w:hAnsi="Times New Roman" w:cs="Times New Roman"/>
          <w:b/>
          <w:bCs/>
          <w:snapToGrid w:val="0"/>
          <w:sz w:val="24"/>
          <w:szCs w:val="24"/>
        </w:rPr>
        <w:softHyphen/>
      </w:r>
    </w:p>
    <w:p w:rsidR="009A2891" w:rsidRPr="009A2891" w:rsidRDefault="00AA0BA4" w:rsidP="009A2891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2891" w:rsidRDefault="009A2891" w:rsidP="00375D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A0BA4" w:rsidRPr="009A2891" w:rsidRDefault="00AA0BA4" w:rsidP="009A28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9A2891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The table shows yearly </w:t>
      </w:r>
      <w:r w:rsidR="00EB0A54" w:rsidRPr="009A2891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Percent Change</w:t>
      </w:r>
      <w:r w:rsidRPr="009A2891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 xml:space="preserve"> in PPI in Palestine for the period 2007 – </w:t>
      </w:r>
      <w:r w:rsidR="006A638E" w:rsidRPr="009A2891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2017</w:t>
      </w:r>
      <w:r w:rsidRPr="009A2891"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  <w:t>:</w:t>
      </w:r>
    </w:p>
    <w:p w:rsidR="00AA0BA4" w:rsidRPr="00EB0A54" w:rsidRDefault="00AA0BA4" w:rsidP="005358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tbl>
      <w:tblPr>
        <w:tblW w:w="5273" w:type="dxa"/>
        <w:jc w:val="center"/>
        <w:tblInd w:w="-25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93"/>
        <w:gridCol w:w="1259"/>
        <w:gridCol w:w="1276"/>
        <w:gridCol w:w="1645"/>
      </w:tblGrid>
      <w:tr w:rsidR="00AA0BA4" w:rsidRPr="009A2891" w:rsidTr="009A2891">
        <w:trPr>
          <w:jc w:val="center"/>
        </w:trPr>
        <w:tc>
          <w:tcPr>
            <w:tcW w:w="1093" w:type="dxa"/>
            <w:vMerge w:val="restart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Year</w:t>
            </w:r>
          </w:p>
        </w:tc>
        <w:tc>
          <w:tcPr>
            <w:tcW w:w="4180" w:type="dxa"/>
            <w:gridSpan w:val="3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 xml:space="preserve">Yearly </w:t>
            </w:r>
            <w:r w:rsidR="00EB0A54"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Percent Change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Merge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59" w:type="dxa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Local Products</w:t>
            </w:r>
          </w:p>
        </w:tc>
        <w:tc>
          <w:tcPr>
            <w:tcW w:w="1276" w:type="dxa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Export Products</w:t>
            </w:r>
          </w:p>
        </w:tc>
        <w:tc>
          <w:tcPr>
            <w:tcW w:w="1645" w:type="dxa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Total Products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2007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+ 2.37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+ 1.43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+ 2.27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2008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+ 8.51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+ 4.95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+ 8.16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2009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+ 1.46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+ 2.62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+ 1.53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2010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+ 3.60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+ 1.95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+ 3.36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2011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+ 3.75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+ 2.83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+ 3.63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2012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+ 2.41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+ 3.87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+ 2.55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2013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+ 0.94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+ 0.30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+ 0.89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2014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+ 0.98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- 1.19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+ 0.78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2015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+ 1.89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+ 0.06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+ 1.73</w:t>
            </w:r>
          </w:p>
        </w:tc>
      </w:tr>
      <w:tr w:rsidR="00AA0BA4" w:rsidRPr="009A2891" w:rsidTr="009A2891">
        <w:trPr>
          <w:jc w:val="center"/>
        </w:trPr>
        <w:tc>
          <w:tcPr>
            <w:tcW w:w="1093" w:type="dxa"/>
            <w:vAlign w:val="center"/>
          </w:tcPr>
          <w:p w:rsidR="00AA0BA4" w:rsidRPr="009A2891" w:rsidRDefault="00AA0BA4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2016</w:t>
            </w:r>
          </w:p>
        </w:tc>
        <w:tc>
          <w:tcPr>
            <w:tcW w:w="1259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+ 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1</w:t>
            </w: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.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+ 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0</w:t>
            </w: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.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645" w:type="dxa"/>
            <w:vAlign w:val="center"/>
          </w:tcPr>
          <w:p w:rsidR="00AA0BA4" w:rsidRPr="009A2891" w:rsidRDefault="00AA0BA4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+ 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1</w:t>
            </w: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.</w:t>
            </w:r>
            <w:r w:rsidR="00CB2CE5"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76</w:t>
            </w:r>
          </w:p>
        </w:tc>
      </w:tr>
      <w:tr w:rsidR="00CB2CE5" w:rsidRPr="009A2891" w:rsidTr="009A2891">
        <w:trPr>
          <w:jc w:val="center"/>
        </w:trPr>
        <w:tc>
          <w:tcPr>
            <w:tcW w:w="1093" w:type="dxa"/>
            <w:vAlign w:val="center"/>
          </w:tcPr>
          <w:p w:rsidR="00CB2CE5" w:rsidRPr="009A2891" w:rsidRDefault="00CB2CE5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1259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+ 0.98</w:t>
            </w:r>
          </w:p>
        </w:tc>
        <w:tc>
          <w:tcPr>
            <w:tcW w:w="1276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- 0.04</w:t>
            </w:r>
          </w:p>
        </w:tc>
        <w:tc>
          <w:tcPr>
            <w:tcW w:w="1645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+ 0.88</w:t>
            </w:r>
          </w:p>
        </w:tc>
      </w:tr>
      <w:tr w:rsidR="00CB2CE5" w:rsidRPr="009A2891" w:rsidTr="009A2891">
        <w:trPr>
          <w:jc w:val="center"/>
        </w:trPr>
        <w:tc>
          <w:tcPr>
            <w:tcW w:w="1093" w:type="dxa"/>
            <w:vAlign w:val="center"/>
          </w:tcPr>
          <w:p w:rsidR="00CB2CE5" w:rsidRPr="009A2891" w:rsidRDefault="00CB2CE5" w:rsidP="0053589B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Cum.</w:t>
            </w:r>
          </w:p>
        </w:tc>
        <w:tc>
          <w:tcPr>
            <w:tcW w:w="1259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+ 32.54</w:t>
            </w:r>
          </w:p>
        </w:tc>
        <w:tc>
          <w:tcPr>
            <w:tcW w:w="1276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+ 18.66</w:t>
            </w:r>
          </w:p>
        </w:tc>
        <w:tc>
          <w:tcPr>
            <w:tcW w:w="1645" w:type="dxa"/>
            <w:vAlign w:val="center"/>
          </w:tcPr>
          <w:p w:rsidR="00CB2CE5" w:rsidRPr="009A2891" w:rsidRDefault="00CB2CE5" w:rsidP="00EB0A5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9A2891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+ 30.97</w:t>
            </w:r>
          </w:p>
        </w:tc>
      </w:tr>
    </w:tbl>
    <w:p w:rsidR="009A2891" w:rsidRDefault="009A2891" w:rsidP="0053589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2891" w:rsidRDefault="009A2891" w:rsidP="0053589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FE4" w:rsidRPr="00EB0A54" w:rsidRDefault="005E78B3" w:rsidP="0053589B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0A5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E13FE4" w:rsidRPr="00EB0A54">
        <w:rPr>
          <w:rFonts w:ascii="Times New Roman" w:hAnsi="Times New Roman" w:cs="Times New Roman"/>
          <w:b/>
          <w:bCs/>
          <w:sz w:val="24"/>
          <w:szCs w:val="24"/>
        </w:rPr>
        <w:t xml:space="preserve">crease in the Producer Price Index during </w:t>
      </w:r>
      <w:r w:rsidR="006A638E" w:rsidRPr="00EB0A54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E13FE4" w:rsidRPr="00EB0A54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</w:p>
    <w:p w:rsidR="00E13FE4" w:rsidRPr="0053589B" w:rsidRDefault="00E13FE4" w:rsidP="0053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9B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6A638E" w:rsidRPr="0053589B">
        <w:rPr>
          <w:rFonts w:ascii="Times New Roman" w:hAnsi="Times New Roman" w:cs="Times New Roman"/>
          <w:sz w:val="24"/>
          <w:szCs w:val="24"/>
        </w:rPr>
        <w:t>99.04</w:t>
      </w:r>
      <w:r w:rsidR="005E78B3" w:rsidRPr="0053589B">
        <w:rPr>
          <w:rFonts w:ascii="Times New Roman" w:hAnsi="Times New Roman" w:cs="Times New Roman"/>
          <w:sz w:val="24"/>
          <w:szCs w:val="24"/>
        </w:rPr>
        <w:t xml:space="preserve"> </w:t>
      </w:r>
      <w:r w:rsidR="00B25F02" w:rsidRPr="0053589B">
        <w:rPr>
          <w:rFonts w:ascii="Times New Roman" w:hAnsi="Times New Roman" w:cs="Times New Roman"/>
          <w:sz w:val="24"/>
          <w:szCs w:val="24"/>
        </w:rPr>
        <w:t xml:space="preserve">in </w:t>
      </w:r>
      <w:r w:rsidR="006A638E" w:rsidRPr="0053589B">
        <w:rPr>
          <w:rFonts w:ascii="Times New Roman" w:hAnsi="Times New Roman" w:cs="Times New Roman"/>
          <w:sz w:val="24"/>
          <w:szCs w:val="24"/>
        </w:rPr>
        <w:t>December</w:t>
      </w:r>
      <w:r w:rsidR="00CB681B" w:rsidRPr="0053589B">
        <w:rPr>
          <w:rFonts w:ascii="Times New Roman" w:hAnsi="Times New Roman" w:cs="Times New Roman"/>
          <w:sz w:val="24"/>
          <w:szCs w:val="24"/>
        </w:rPr>
        <w:t xml:space="preserve"> 2017, as it </w:t>
      </w:r>
      <w:r w:rsidR="005E78B3" w:rsidRPr="0053589B">
        <w:rPr>
          <w:rFonts w:ascii="Times New Roman" w:hAnsi="Times New Roman" w:cs="Times New Roman"/>
          <w:sz w:val="24"/>
          <w:szCs w:val="24"/>
        </w:rPr>
        <w:t>de</w:t>
      </w:r>
      <w:r w:rsidRPr="0053589B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6A638E" w:rsidRPr="0053589B">
        <w:rPr>
          <w:rFonts w:ascii="Times New Roman" w:hAnsi="Times New Roman" w:cs="Times New Roman"/>
          <w:sz w:val="24"/>
          <w:szCs w:val="24"/>
        </w:rPr>
        <w:t>0.45</w:t>
      </w:r>
      <w:r w:rsidRPr="0053589B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6A638E" w:rsidRPr="0053589B">
        <w:rPr>
          <w:rFonts w:ascii="Times New Roman" w:hAnsi="Times New Roman" w:cs="Times New Roman"/>
          <w:sz w:val="24"/>
          <w:szCs w:val="24"/>
        </w:rPr>
        <w:t>November</w:t>
      </w:r>
      <w:r w:rsidR="000E2F3A" w:rsidRPr="0053589B">
        <w:rPr>
          <w:rFonts w:ascii="Times New Roman" w:hAnsi="Times New Roman" w:cs="Times New Roman"/>
          <w:sz w:val="24"/>
          <w:szCs w:val="24"/>
        </w:rPr>
        <w:t xml:space="preserve"> </w:t>
      </w:r>
      <w:r w:rsidRPr="0053589B">
        <w:rPr>
          <w:rFonts w:ascii="Times New Roman" w:hAnsi="Times New Roman" w:cs="Times New Roman"/>
          <w:sz w:val="24"/>
          <w:szCs w:val="24"/>
        </w:rPr>
        <w:t>2017.</w:t>
      </w:r>
    </w:p>
    <w:p w:rsidR="00E13FE4" w:rsidRPr="009A2891" w:rsidRDefault="00E13FE4" w:rsidP="0053589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53589B" w:rsidRDefault="00E13FE4" w:rsidP="0053589B">
      <w:pPr>
        <w:pStyle w:val="BodyText2"/>
        <w:bidi w:val="0"/>
        <w:spacing w:after="0" w:line="240" w:lineRule="auto"/>
        <w:jc w:val="both"/>
      </w:pPr>
      <w:r w:rsidRPr="0053589B">
        <w:t>Producer Price Index for locally consumed products (</w:t>
      </w:r>
      <w:r w:rsidRPr="0053589B">
        <w:rPr>
          <w:color w:val="000000"/>
        </w:rPr>
        <w:t>December 2015</w:t>
      </w:r>
      <w:r w:rsidRPr="0053589B">
        <w:t xml:space="preserve">=100) reached </w:t>
      </w:r>
      <w:r w:rsidR="006A638E" w:rsidRPr="0053589B">
        <w:t>98.99</w:t>
      </w:r>
      <w:r w:rsidR="00B25F02" w:rsidRPr="0053589B">
        <w:t xml:space="preserve"> in </w:t>
      </w:r>
      <w:r w:rsidR="00DD1BC3" w:rsidRPr="0053589B">
        <w:t>December</w:t>
      </w:r>
      <w:r w:rsidRPr="0053589B">
        <w:rPr>
          <w:color w:val="000000"/>
        </w:rPr>
        <w:t xml:space="preserve"> 2017</w:t>
      </w:r>
      <w:r w:rsidR="00CB681B" w:rsidRPr="0053589B">
        <w:t xml:space="preserve">, which indicates a </w:t>
      </w:r>
      <w:r w:rsidR="005E78B3" w:rsidRPr="0053589B">
        <w:t>de</w:t>
      </w:r>
      <w:r w:rsidRPr="0053589B">
        <w:t xml:space="preserve">crease by </w:t>
      </w:r>
      <w:r w:rsidR="00DD1BC3" w:rsidRPr="0053589B">
        <w:t>0.47</w:t>
      </w:r>
      <w:r w:rsidRPr="0053589B">
        <w:t xml:space="preserve">% compared to </w:t>
      </w:r>
      <w:r w:rsidR="00DD1BC3" w:rsidRPr="0053589B">
        <w:rPr>
          <w:color w:val="000000"/>
        </w:rPr>
        <w:t>November</w:t>
      </w:r>
      <w:r w:rsidRPr="0053589B">
        <w:rPr>
          <w:color w:val="000000"/>
        </w:rPr>
        <w:t xml:space="preserve"> </w:t>
      </w:r>
      <w:r w:rsidRPr="0053589B">
        <w:t>2017.</w:t>
      </w:r>
    </w:p>
    <w:p w:rsidR="00E13FE4" w:rsidRPr="009A2891" w:rsidRDefault="00E13FE4" w:rsidP="0053589B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Pr="0053589B" w:rsidRDefault="00E13FE4" w:rsidP="0053589B">
      <w:pPr>
        <w:pStyle w:val="BodyText2"/>
        <w:bidi w:val="0"/>
        <w:spacing w:after="0" w:line="240" w:lineRule="auto"/>
        <w:jc w:val="both"/>
      </w:pPr>
      <w:r w:rsidRPr="0053589B">
        <w:t>Producer Price Index for local exported products (</w:t>
      </w:r>
      <w:r w:rsidRPr="0053589B">
        <w:rPr>
          <w:color w:val="000000"/>
        </w:rPr>
        <w:t>December 2015</w:t>
      </w:r>
      <w:r w:rsidRPr="0053589B">
        <w:t xml:space="preserve">=100) reached </w:t>
      </w:r>
      <w:r w:rsidR="00934542" w:rsidRPr="0053589B">
        <w:t>99.23</w:t>
      </w:r>
      <w:r w:rsidRPr="0053589B">
        <w:t xml:space="preserve"> in </w:t>
      </w:r>
      <w:r w:rsidR="00934542" w:rsidRPr="0053589B">
        <w:rPr>
          <w:color w:val="000000"/>
        </w:rPr>
        <w:t>December</w:t>
      </w:r>
      <w:r w:rsidRPr="0053589B">
        <w:rPr>
          <w:color w:val="000000"/>
        </w:rPr>
        <w:t xml:space="preserve"> 2017</w:t>
      </w:r>
      <w:r w:rsidR="00CB681B" w:rsidRPr="0053589B">
        <w:t xml:space="preserve">, which indicates a </w:t>
      </w:r>
      <w:r w:rsidR="00442929" w:rsidRPr="0053589B">
        <w:t>de</w:t>
      </w:r>
      <w:r w:rsidRPr="0053589B">
        <w:t xml:space="preserve">crease </w:t>
      </w:r>
      <w:r w:rsidRPr="0053589B">
        <w:rPr>
          <w:color w:val="000000"/>
        </w:rPr>
        <w:t>by</w:t>
      </w:r>
      <w:r w:rsidRPr="0053589B">
        <w:t xml:space="preserve"> </w:t>
      </w:r>
      <w:r w:rsidR="005E78B3" w:rsidRPr="0053589B">
        <w:t>0.</w:t>
      </w:r>
      <w:r w:rsidR="00934542" w:rsidRPr="0053589B">
        <w:t>33</w:t>
      </w:r>
      <w:r w:rsidRPr="0053589B">
        <w:t xml:space="preserve">% compared to </w:t>
      </w:r>
      <w:r w:rsidR="00934542" w:rsidRPr="0053589B">
        <w:rPr>
          <w:color w:val="000000"/>
        </w:rPr>
        <w:t>November</w:t>
      </w:r>
      <w:r w:rsidRPr="0053589B">
        <w:rPr>
          <w:color w:val="000000"/>
        </w:rPr>
        <w:t xml:space="preserve"> </w:t>
      </w:r>
      <w:r w:rsidRPr="0053589B">
        <w:t>2017.</w:t>
      </w: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9A2891" w:rsidRDefault="009A2891" w:rsidP="009A2891">
      <w:pPr>
        <w:pStyle w:val="BodyText2"/>
        <w:bidi w:val="0"/>
        <w:spacing w:after="0" w:line="240" w:lineRule="auto"/>
        <w:rPr>
          <w:sz w:val="16"/>
          <w:szCs w:val="16"/>
        </w:rPr>
      </w:pPr>
    </w:p>
    <w:p w:rsidR="00DA2BB6" w:rsidRPr="009A2891" w:rsidRDefault="00E13FE4" w:rsidP="009A2891">
      <w:pPr>
        <w:pStyle w:val="BodyText2"/>
        <w:bidi w:val="0"/>
        <w:spacing w:after="0" w:line="240" w:lineRule="auto"/>
        <w:jc w:val="center"/>
        <w:rPr>
          <w:b/>
          <w:bCs/>
          <w:sz w:val="25"/>
          <w:szCs w:val="25"/>
        </w:rPr>
      </w:pPr>
      <w:r w:rsidRPr="009A2891">
        <w:rPr>
          <w:b/>
          <w:bCs/>
          <w:sz w:val="25"/>
          <w:szCs w:val="25"/>
        </w:rPr>
        <w:t xml:space="preserve">The changes of Producer </w:t>
      </w:r>
      <w:r w:rsidR="00B25F02" w:rsidRPr="009A2891">
        <w:rPr>
          <w:b/>
          <w:bCs/>
          <w:sz w:val="25"/>
          <w:szCs w:val="25"/>
        </w:rPr>
        <w:t xml:space="preserve">Price Index for </w:t>
      </w:r>
      <w:r w:rsidR="00934542" w:rsidRPr="009A2891">
        <w:rPr>
          <w:b/>
          <w:bCs/>
          <w:sz w:val="25"/>
          <w:szCs w:val="25"/>
        </w:rPr>
        <w:t>December</w:t>
      </w:r>
      <w:r w:rsidRPr="009A2891">
        <w:rPr>
          <w:b/>
          <w:bCs/>
          <w:sz w:val="25"/>
          <w:szCs w:val="25"/>
        </w:rPr>
        <w:t xml:space="preserve"> 2017 were traced back to changes in</w:t>
      </w:r>
      <w:r w:rsidR="00DD6373" w:rsidRPr="009A2891">
        <w:rPr>
          <w:b/>
          <w:bCs/>
          <w:sz w:val="25"/>
          <w:szCs w:val="25"/>
        </w:rPr>
        <w:t xml:space="preserve"> </w:t>
      </w:r>
      <w:r w:rsidR="00890F34" w:rsidRPr="009A2891">
        <w:rPr>
          <w:b/>
          <w:bCs/>
          <w:sz w:val="25"/>
          <w:szCs w:val="25"/>
        </w:rPr>
        <w:t>prices of the following major activities compared to the previous month:</w:t>
      </w: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tbl>
      <w:tblPr>
        <w:tblpPr w:leftFromText="180" w:rightFromText="180" w:vertAnchor="page" w:horzAnchor="margin" w:tblpXSpec="center" w:tblpY="4171"/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18"/>
      </w:tblGrid>
      <w:tr w:rsidR="009A2891" w:rsidRPr="0053589B" w:rsidTr="009A2891">
        <w:trPr>
          <w:trHeight w:val="410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center"/>
            </w:pPr>
            <w:r w:rsidRPr="0053589B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% </w:t>
            </w:r>
            <w:r w:rsidRPr="0053589B">
              <w:rPr>
                <w:b/>
                <w:bCs/>
              </w:rPr>
              <w:t>Change</w:t>
            </w:r>
          </w:p>
        </w:tc>
      </w:tr>
      <w:tr w:rsidR="009A2891" w:rsidRPr="0053589B" w:rsidTr="009A2891">
        <w:trPr>
          <w:trHeight w:val="624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Electricity, gas, steam and air conditioning supply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jc w:val="center"/>
            </w:pPr>
            <w:r>
              <w:t>- 2.15%</w:t>
            </w:r>
          </w:p>
        </w:tc>
      </w:tr>
      <w:tr w:rsidR="009A2891" w:rsidRPr="0053589B" w:rsidTr="009A2891">
        <w:trPr>
          <w:trHeight w:val="389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rPr>
                <w:color w:val="000000"/>
              </w:rPr>
              <w:t>Manufacturing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t>- 0.41%</w:t>
            </w:r>
          </w:p>
        </w:tc>
      </w:tr>
      <w:tr w:rsidR="009A2891" w:rsidRPr="0053589B" w:rsidTr="009A2891">
        <w:trPr>
          <w:trHeight w:val="389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center"/>
            </w:pPr>
            <w:r>
              <w:t>+ 3.30%</w:t>
            </w:r>
          </w:p>
        </w:tc>
      </w:tr>
      <w:tr w:rsidR="009A2891" w:rsidRPr="0053589B" w:rsidTr="009A2891">
        <w:trPr>
          <w:trHeight w:val="498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rPr>
                <w:color w:val="000000"/>
              </w:rPr>
              <w:t>Agriculture, forestry and fishing goods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center"/>
            </w:pPr>
            <w:r>
              <w:t>+ 0.15%</w:t>
            </w:r>
          </w:p>
        </w:tc>
      </w:tr>
      <w:tr w:rsidR="009A2891" w:rsidRPr="0053589B" w:rsidTr="009A2891">
        <w:trPr>
          <w:trHeight w:val="389"/>
        </w:trPr>
        <w:tc>
          <w:tcPr>
            <w:tcW w:w="3510" w:type="dxa"/>
            <w:vAlign w:val="center"/>
          </w:tcPr>
          <w:p w:rsidR="009A2891" w:rsidRPr="0053589B" w:rsidRDefault="009A2891" w:rsidP="009A2891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53589B">
              <w:rPr>
                <w:color w:val="000000"/>
              </w:rPr>
              <w:t>Mining and quarrying</w:t>
            </w:r>
          </w:p>
        </w:tc>
        <w:tc>
          <w:tcPr>
            <w:tcW w:w="1418" w:type="dxa"/>
            <w:vAlign w:val="center"/>
          </w:tcPr>
          <w:p w:rsidR="009A2891" w:rsidRPr="0053589B" w:rsidRDefault="009A2891" w:rsidP="009A2891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t xml:space="preserve">   0.00%</w:t>
            </w:r>
          </w:p>
        </w:tc>
      </w:tr>
    </w:tbl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9A2891">
      <w:pPr>
        <w:pStyle w:val="BodyText2"/>
        <w:bidi w:val="0"/>
        <w:spacing w:after="0" w:line="240" w:lineRule="auto"/>
        <w:jc w:val="both"/>
        <w:rPr>
          <w:color w:val="000000"/>
        </w:rPr>
      </w:pPr>
    </w:p>
    <w:p w:rsidR="009A2891" w:rsidRDefault="009A2891" w:rsidP="007F32FB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9A2891" w:rsidRDefault="009A2891" w:rsidP="007F32FB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EB0A54" w:rsidRPr="009A2891" w:rsidRDefault="00EB0A54" w:rsidP="007F32FB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A2891">
        <w:rPr>
          <w:rFonts w:ascii="Times New Roman" w:hAnsi="Times New Roman" w:cs="Times New Roman"/>
          <w:b/>
          <w:bCs/>
          <w:sz w:val="25"/>
          <w:szCs w:val="25"/>
        </w:rPr>
        <w:t xml:space="preserve">The trend line of the </w:t>
      </w:r>
      <w:r w:rsidR="007F32FB" w:rsidRPr="009A2891">
        <w:rPr>
          <w:rFonts w:ascii="Times New Roman" w:hAnsi="Times New Roman" w:cs="Times New Roman"/>
          <w:b/>
          <w:bCs/>
          <w:sz w:val="25"/>
          <w:szCs w:val="25"/>
        </w:rPr>
        <w:t>PPI</w:t>
      </w:r>
      <w:r w:rsidRPr="009A2891">
        <w:rPr>
          <w:rFonts w:ascii="Times New Roman" w:hAnsi="Times New Roman" w:cs="Times New Roman"/>
          <w:b/>
          <w:bCs/>
          <w:sz w:val="25"/>
          <w:szCs w:val="25"/>
        </w:rPr>
        <w:t xml:space="preserve"> in Palestine</w:t>
      </w:r>
      <w:r w:rsidR="007F32FB" w:rsidRPr="009A2891">
        <w:rPr>
          <w:rFonts w:ascii="Times New Roman" w:hAnsi="Times New Roman" w:cs="Times New Roman"/>
          <w:b/>
          <w:bCs/>
          <w:sz w:val="25"/>
          <w:szCs w:val="25"/>
        </w:rPr>
        <w:t>, for the period:</w:t>
      </w:r>
      <w:r w:rsidRPr="009A2891">
        <w:rPr>
          <w:rFonts w:ascii="Times New Roman" w:hAnsi="Times New Roman" w:cs="Times New Roman"/>
          <w:b/>
          <w:bCs/>
          <w:sz w:val="25"/>
          <w:szCs w:val="25"/>
        </w:rPr>
        <w:t xml:space="preserve"> January – December 2017</w:t>
      </w:r>
    </w:p>
    <w:p w:rsidR="00EB0A54" w:rsidRPr="009A2891" w:rsidRDefault="00EB0A54" w:rsidP="00EB0A54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A2891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934542" w:rsidRPr="009A2891" w:rsidRDefault="00934542" w:rsidP="0053589B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pPr w:leftFromText="180" w:rightFromText="180" w:vertAnchor="text" w:horzAnchor="margin" w:tblpXSpec="center" w:tblpY="-35"/>
        <w:tblW w:w="5070" w:type="dxa"/>
        <w:tblLook w:val="04A0"/>
      </w:tblPr>
      <w:tblGrid>
        <w:gridCol w:w="5070"/>
      </w:tblGrid>
      <w:tr w:rsidR="007F32FB" w:rsidRPr="0053589B" w:rsidTr="009A2891">
        <w:tc>
          <w:tcPr>
            <w:tcW w:w="5070" w:type="dxa"/>
          </w:tcPr>
          <w:p w:rsidR="007F32FB" w:rsidRPr="0053589B" w:rsidRDefault="007F32FB" w:rsidP="009A2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9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576223" cy="2393343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2891" w:rsidRDefault="009A2891" w:rsidP="0053589B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67B2" w:rsidRPr="007F32FB" w:rsidRDefault="00CF67B2" w:rsidP="0053589B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7F32FB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7F32FB" w:rsidRDefault="00E13FE4" w:rsidP="005358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2FB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7F32FB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7F32FB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53589B" w:rsidRDefault="00B872E5" w:rsidP="0053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53589B" w:rsidSect="00932060"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CF" w:rsidRDefault="00CE47CF" w:rsidP="0089530C">
      <w:r>
        <w:separator/>
      </w:r>
    </w:p>
  </w:endnote>
  <w:endnote w:type="continuationSeparator" w:id="0">
    <w:p w:rsidR="00CE47CF" w:rsidRDefault="00CE47CF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9B" w:rsidRDefault="004825D2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58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89B" w:rsidRDefault="004825D2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358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89B" w:rsidRDefault="0053589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9B" w:rsidRDefault="004825D2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5358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891">
      <w:rPr>
        <w:rStyle w:val="PageNumber"/>
        <w:noProof/>
      </w:rPr>
      <w:t>1</w:t>
    </w:r>
    <w:r>
      <w:rPr>
        <w:rStyle w:val="PageNumber"/>
      </w:rPr>
      <w:fldChar w:fldCharType="end"/>
    </w:r>
  </w:p>
  <w:p w:rsidR="0053589B" w:rsidRDefault="004825D2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53589B" w:rsidRDefault="0053589B" w:rsidP="005A788A">
                <w:r>
                  <w:t>Date: 31/01/2018</w:t>
                </w:r>
              </w:p>
            </w:txbxContent>
          </v:textbox>
        </v:shape>
      </w:pict>
    </w:r>
    <w:r w:rsidR="0053589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CF" w:rsidRDefault="00CE47CF" w:rsidP="0089530C">
      <w:r>
        <w:separator/>
      </w:r>
    </w:p>
  </w:footnote>
  <w:footnote w:type="continuationSeparator" w:id="0">
    <w:p w:rsidR="00CE47CF" w:rsidRDefault="00CE47CF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9B" w:rsidRDefault="0053589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5D2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49D8"/>
    <w:rsid w:val="000356A2"/>
    <w:rsid w:val="000557A7"/>
    <w:rsid w:val="00093963"/>
    <w:rsid w:val="000D648D"/>
    <w:rsid w:val="000E2F3A"/>
    <w:rsid w:val="000F2B27"/>
    <w:rsid w:val="0018441C"/>
    <w:rsid w:val="001856B3"/>
    <w:rsid w:val="00195F2D"/>
    <w:rsid w:val="001A2B84"/>
    <w:rsid w:val="001A73CF"/>
    <w:rsid w:val="001B292F"/>
    <w:rsid w:val="001D36DE"/>
    <w:rsid w:val="00206205"/>
    <w:rsid w:val="002065FD"/>
    <w:rsid w:val="0020755C"/>
    <w:rsid w:val="00240A97"/>
    <w:rsid w:val="00256272"/>
    <w:rsid w:val="00290C50"/>
    <w:rsid w:val="002D5C92"/>
    <w:rsid w:val="003169B5"/>
    <w:rsid w:val="00316DE5"/>
    <w:rsid w:val="003261C5"/>
    <w:rsid w:val="003415C8"/>
    <w:rsid w:val="00371A13"/>
    <w:rsid w:val="00375DA2"/>
    <w:rsid w:val="003C749E"/>
    <w:rsid w:val="004010C0"/>
    <w:rsid w:val="00413945"/>
    <w:rsid w:val="00424096"/>
    <w:rsid w:val="00442929"/>
    <w:rsid w:val="0045043E"/>
    <w:rsid w:val="004825D2"/>
    <w:rsid w:val="004E0980"/>
    <w:rsid w:val="00516C24"/>
    <w:rsid w:val="0053589B"/>
    <w:rsid w:val="0056407A"/>
    <w:rsid w:val="005714D3"/>
    <w:rsid w:val="005A788A"/>
    <w:rsid w:val="005C2D82"/>
    <w:rsid w:val="005D6762"/>
    <w:rsid w:val="005E78B3"/>
    <w:rsid w:val="005F7723"/>
    <w:rsid w:val="0067430F"/>
    <w:rsid w:val="006957CF"/>
    <w:rsid w:val="006A638E"/>
    <w:rsid w:val="006A713D"/>
    <w:rsid w:val="006D6356"/>
    <w:rsid w:val="007052E2"/>
    <w:rsid w:val="00716385"/>
    <w:rsid w:val="00723FD2"/>
    <w:rsid w:val="007534F9"/>
    <w:rsid w:val="00756806"/>
    <w:rsid w:val="00790961"/>
    <w:rsid w:val="007B2530"/>
    <w:rsid w:val="007D73EA"/>
    <w:rsid w:val="007F32FB"/>
    <w:rsid w:val="007F7BAC"/>
    <w:rsid w:val="00816FF4"/>
    <w:rsid w:val="008346F0"/>
    <w:rsid w:val="00890F34"/>
    <w:rsid w:val="0089530C"/>
    <w:rsid w:val="00896EB5"/>
    <w:rsid w:val="008C12E3"/>
    <w:rsid w:val="008E6E25"/>
    <w:rsid w:val="008F2BF9"/>
    <w:rsid w:val="008F4A51"/>
    <w:rsid w:val="00932060"/>
    <w:rsid w:val="00934542"/>
    <w:rsid w:val="0098021F"/>
    <w:rsid w:val="009A2891"/>
    <w:rsid w:val="009A4FED"/>
    <w:rsid w:val="009B2B6C"/>
    <w:rsid w:val="009D3051"/>
    <w:rsid w:val="009F090A"/>
    <w:rsid w:val="009F2E29"/>
    <w:rsid w:val="009F3B10"/>
    <w:rsid w:val="00A12DED"/>
    <w:rsid w:val="00A457B7"/>
    <w:rsid w:val="00A504AA"/>
    <w:rsid w:val="00A66704"/>
    <w:rsid w:val="00A76524"/>
    <w:rsid w:val="00AA0BA4"/>
    <w:rsid w:val="00AC1324"/>
    <w:rsid w:val="00AC54F7"/>
    <w:rsid w:val="00AC7248"/>
    <w:rsid w:val="00AE3A1E"/>
    <w:rsid w:val="00AE67D3"/>
    <w:rsid w:val="00AF28BB"/>
    <w:rsid w:val="00AF4FBE"/>
    <w:rsid w:val="00B25F02"/>
    <w:rsid w:val="00B3748A"/>
    <w:rsid w:val="00B37DD5"/>
    <w:rsid w:val="00B7127B"/>
    <w:rsid w:val="00B872E5"/>
    <w:rsid w:val="00B971D5"/>
    <w:rsid w:val="00BF0632"/>
    <w:rsid w:val="00C07884"/>
    <w:rsid w:val="00C14BC7"/>
    <w:rsid w:val="00C50E44"/>
    <w:rsid w:val="00C93BD8"/>
    <w:rsid w:val="00CA0566"/>
    <w:rsid w:val="00CB2CE5"/>
    <w:rsid w:val="00CB681B"/>
    <w:rsid w:val="00CC79C0"/>
    <w:rsid w:val="00CE4778"/>
    <w:rsid w:val="00CE47CF"/>
    <w:rsid w:val="00CF3357"/>
    <w:rsid w:val="00CF67B2"/>
    <w:rsid w:val="00D1116C"/>
    <w:rsid w:val="00D209ED"/>
    <w:rsid w:val="00DA2BB6"/>
    <w:rsid w:val="00DB128F"/>
    <w:rsid w:val="00DC2111"/>
    <w:rsid w:val="00DD1BC3"/>
    <w:rsid w:val="00DD6373"/>
    <w:rsid w:val="00DF27B1"/>
    <w:rsid w:val="00DF7513"/>
    <w:rsid w:val="00E13FE4"/>
    <w:rsid w:val="00E167FF"/>
    <w:rsid w:val="00E252C0"/>
    <w:rsid w:val="00E316C4"/>
    <w:rsid w:val="00E52D86"/>
    <w:rsid w:val="00E669F6"/>
    <w:rsid w:val="00E66F6B"/>
    <w:rsid w:val="00E67C1C"/>
    <w:rsid w:val="00E76D45"/>
    <w:rsid w:val="00EB0A54"/>
    <w:rsid w:val="00EE64B7"/>
    <w:rsid w:val="00EF3A03"/>
    <w:rsid w:val="00F14DF8"/>
    <w:rsid w:val="00F319A6"/>
    <w:rsid w:val="00F66754"/>
    <w:rsid w:val="00F83E8F"/>
    <w:rsid w:val="00F95265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9320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32060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6473152588933174"/>
          <c:y val="8.0727919703607764E-2"/>
          <c:w val="0.67519493659438468"/>
          <c:h val="0.6590302703352712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inflation rate</c:v>
                </c:pt>
              </c:strCache>
            </c:strRef>
          </c:tx>
          <c:dLbls>
            <c:dLbl>
              <c:idx val="0"/>
              <c:layout>
                <c:manualLayout>
                  <c:x val="-3.1402386793335915E-2"/>
                  <c:y val="6.3048259222669559E-2"/>
                </c:manualLayout>
              </c:layout>
              <c:showVal val="1"/>
            </c:dLbl>
            <c:dLbl>
              <c:idx val="1"/>
              <c:layout>
                <c:manualLayout>
                  <c:x val="-7.177688409905357E-2"/>
                  <c:y val="-7.7058983494373984E-2"/>
                </c:manualLayout>
              </c:layout>
              <c:showVal val="1"/>
            </c:dLbl>
            <c:dLbl>
              <c:idx val="4"/>
              <c:layout>
                <c:manualLayout>
                  <c:x val="-7.177688409905357E-2"/>
                  <c:y val="-7.0053621358521945E-2"/>
                </c:manualLayout>
              </c:layout>
              <c:showVal val="1"/>
            </c:dLbl>
            <c:dLbl>
              <c:idx val="6"/>
              <c:layout>
                <c:manualLayout>
                  <c:x val="-0.18841432076001577"/>
                  <c:y val="7.0053621358521978E-3"/>
                </c:manualLayout>
              </c:layout>
              <c:showVal val="1"/>
            </c:dLbl>
            <c:dLbl>
              <c:idx val="8"/>
              <c:layout>
                <c:manualLayout>
                  <c:x val="-0.12560954717334366"/>
                  <c:y val="-7.7058983494373984E-2"/>
                </c:manualLayout>
              </c:layout>
              <c:showVal val="1"/>
            </c:dLbl>
            <c:dLbl>
              <c:idx val="10"/>
              <c:layout>
                <c:manualLayout>
                  <c:x val="-4.4860552561908473E-3"/>
                  <c:y val="-9.1069707766078201E-2"/>
                </c:manualLayout>
              </c:layout>
              <c:showVal val="1"/>
            </c:dLbl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Sheet1!$B$2:$L$2</c:f>
              <c:numCache>
                <c:formatCode>0.00%</c:formatCode>
                <c:ptCount val="11"/>
                <c:pt idx="0">
                  <c:v>2.2721722498750586E-2</c:v>
                </c:pt>
                <c:pt idx="1">
                  <c:v>8.1586837985151692E-2</c:v>
                </c:pt>
                <c:pt idx="2">
                  <c:v>1.5261928314837725E-2</c:v>
                </c:pt>
                <c:pt idx="3">
                  <c:v>3.3600321242444275E-2</c:v>
                </c:pt>
                <c:pt idx="4">
                  <c:v>3.6304986581367424E-2</c:v>
                </c:pt>
                <c:pt idx="5">
                  <c:v>2.5458559330232056E-2</c:v>
                </c:pt>
                <c:pt idx="6">
                  <c:v>8.8610433581959511E-3</c:v>
                </c:pt>
                <c:pt idx="7">
                  <c:v>7.8162584777363812E-3</c:v>
                </c:pt>
                <c:pt idx="8">
                  <c:v>1.7309587282328148E-2</c:v>
                </c:pt>
                <c:pt idx="9">
                  <c:v>1.7586171583432491E-2</c:v>
                </c:pt>
                <c:pt idx="10">
                  <c:v>8.7778662231812309E-3</c:v>
                </c:pt>
              </c:numCache>
            </c:numRef>
          </c:val>
        </c:ser>
        <c:marker val="1"/>
        <c:axId val="90222592"/>
        <c:axId val="90224512"/>
      </c:lineChart>
      <c:catAx>
        <c:axId val="90222592"/>
        <c:scaling>
          <c:orientation val="minMax"/>
        </c:scaling>
        <c:axPos val="b"/>
        <c:numFmt formatCode="General" sourceLinked="0"/>
        <c:tickLblPos val="nextTo"/>
        <c:txPr>
          <a:bodyPr rot="3900000" vert="horz"/>
          <a:lstStyle/>
          <a:p>
            <a:pPr>
              <a:defRPr/>
            </a:pPr>
            <a:endParaRPr lang="ar-SA"/>
          </a:p>
        </c:txPr>
        <c:crossAx val="90224512"/>
        <c:crosses val="autoZero"/>
        <c:auto val="1"/>
        <c:lblAlgn val="ctr"/>
        <c:lblOffset val="100"/>
        <c:tickLblSkip val="1"/>
      </c:catAx>
      <c:valAx>
        <c:axId val="90224512"/>
        <c:scaling>
          <c:orientation val="minMax"/>
          <c:max val="0.1"/>
          <c:min val="0"/>
        </c:scaling>
        <c:axPos val="l"/>
        <c:title>
          <c:tx>
            <c:rich>
              <a:bodyPr rot="-5400000" vert="horz" anchor="t" anchorCtr="1"/>
              <a:lstStyle/>
              <a:p>
                <a:pPr rtl="1">
                  <a:defRPr/>
                </a:pPr>
                <a:r>
                  <a:rPr lang="en-US"/>
                  <a:t>Yearly PPI Percent Change</a:t>
                </a:r>
              </a:p>
            </c:rich>
          </c:tx>
          <c:layout>
            <c:manualLayout>
              <c:xMode val="edge"/>
              <c:yMode val="edge"/>
              <c:x val="3.8565945895347783E-3"/>
              <c:y val="0.12102121631841205"/>
            </c:manualLayout>
          </c:layout>
        </c:title>
        <c:numFmt formatCode="0.0%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90222592"/>
        <c:crossesAt val="1"/>
        <c:crossBetween val="midCat"/>
        <c:majorUnit val="2.0000000000000046E-2"/>
        <c:minorUnit val="8.0000000000000227E-3"/>
      </c:valAx>
    </c:plotArea>
    <c:plotVisOnly val="1"/>
    <c:dispBlanksAs val="gap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661030896781839"/>
          <c:y val="8.3431417895387314E-2"/>
          <c:w val="0.77375172879055942"/>
          <c:h val="0.4938109581451555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0110518157399713E-2"/>
                  <c:y val="-5.490452233262082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showVal val="1"/>
            </c:dLbl>
            <c:dLbl>
              <c:idx val="11"/>
              <c:layout>
                <c:manualLayout>
                  <c:x val="0"/>
                  <c:y val="-5.989584254467723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showVal val="1"/>
            </c:dLbl>
            <c:delete val="1"/>
          </c:dLbls>
          <c:cat>
            <c:strRef>
              <c:f>Sheet1!$B$1:$M$1</c:f>
              <c:strCache>
                <c:ptCount val="12"/>
                <c:pt idx="0">
                  <c:v>January 2017</c:v>
                </c:pt>
                <c:pt idx="1">
                  <c:v>February 2017</c:v>
                </c:pt>
                <c:pt idx="2">
                  <c:v>March 2017</c:v>
                </c:pt>
                <c:pt idx="3">
                  <c:v>April 2017</c:v>
                </c:pt>
                <c:pt idx="4">
                  <c:v>May 2017</c:v>
                </c:pt>
                <c:pt idx="5">
                  <c:v>June 2017</c:v>
                </c:pt>
                <c:pt idx="6">
                  <c:v>July 2017</c:v>
                </c:pt>
                <c:pt idx="7">
                  <c:v>August 2017</c:v>
                </c:pt>
                <c:pt idx="8">
                  <c:v>September 2017</c:v>
                </c:pt>
                <c:pt idx="9">
                  <c:v>October 2017</c:v>
                </c:pt>
                <c:pt idx="10">
                  <c:v>November 2017</c:v>
                </c:pt>
                <c:pt idx="11">
                  <c:v>December 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100.99712372061484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102.85099533116674</c:v>
                </c:pt>
                <c:pt idx="6">
                  <c:v>104.73663701006895</c:v>
                </c:pt>
                <c:pt idx="7">
                  <c:v>102.23313006433806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  <c:pt idx="11">
                  <c:v>99.036200882585248</c:v>
                </c:pt>
              </c:numCache>
            </c:numRef>
          </c:val>
        </c:ser>
        <c:marker val="1"/>
        <c:axId val="84687104"/>
        <c:axId val="84688896"/>
      </c:lineChart>
      <c:catAx>
        <c:axId val="84687104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84688896"/>
        <c:crossesAt val="95"/>
        <c:auto val="1"/>
        <c:lblAlgn val="ctr"/>
        <c:lblOffset val="100"/>
        <c:tickLblSkip val="1"/>
        <c:tickMarkSkip val="1"/>
      </c:catAx>
      <c:valAx>
        <c:axId val="84688896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111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84687104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F72E-16FD-4A1A-8805-813AF2D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2018-01-28T12:15:00Z</cp:lastPrinted>
  <dcterms:created xsi:type="dcterms:W3CDTF">2018-01-30T12:10:00Z</dcterms:created>
  <dcterms:modified xsi:type="dcterms:W3CDTF">2018-01-30T12:10:00Z</dcterms:modified>
</cp:coreProperties>
</file>