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ED603" w14:textId="77777777" w:rsidR="00664EDA" w:rsidRDefault="00664EDA" w:rsidP="00664EDA">
      <w:pPr>
        <w:pStyle w:val="BodyText"/>
        <w:bidi w:val="0"/>
        <w:spacing w:after="0"/>
        <w:jc w:val="both"/>
        <w:rPr>
          <w:rFonts w:asciiTheme="majorBidi" w:hAnsiTheme="majorBidi" w:cstheme="majorBidi"/>
          <w:b/>
          <w:bCs/>
          <w:sz w:val="32"/>
          <w:szCs w:val="32"/>
          <w:rtl/>
        </w:rPr>
      </w:pPr>
    </w:p>
    <w:p w14:paraId="7986CE8F" w14:textId="377E9DF7" w:rsidR="00EB782D" w:rsidRPr="00664EDA" w:rsidRDefault="00EB782D" w:rsidP="00664EDA">
      <w:pPr>
        <w:pStyle w:val="BodyText"/>
        <w:bidi w:val="0"/>
        <w:spacing w:after="0"/>
        <w:jc w:val="both"/>
        <w:rPr>
          <w:rFonts w:asciiTheme="majorBidi" w:hAnsiTheme="majorBidi" w:cstheme="majorBidi"/>
          <w:b/>
          <w:bCs/>
          <w:sz w:val="32"/>
          <w:szCs w:val="32"/>
        </w:rPr>
      </w:pPr>
      <w:r w:rsidRPr="00664EDA">
        <w:rPr>
          <w:rFonts w:asciiTheme="majorBidi" w:hAnsiTheme="majorBidi" w:cstheme="majorBidi"/>
          <w:b/>
          <w:bCs/>
          <w:sz w:val="32"/>
          <w:szCs w:val="32"/>
        </w:rPr>
        <w:t>H.E. Dr. Awad, highlights the Forty-Five Annual Commemoration of Land Day</w:t>
      </w:r>
      <w:r w:rsidRPr="00664EDA">
        <w:rPr>
          <w:rFonts w:asciiTheme="majorBidi" w:hAnsiTheme="majorBidi" w:cstheme="majorBidi"/>
          <w:b/>
          <w:bCs/>
          <w:sz w:val="32"/>
          <w:szCs w:val="32"/>
          <w:rtl/>
        </w:rPr>
        <w:t xml:space="preserve"> </w:t>
      </w:r>
      <w:r w:rsidRPr="00664EDA">
        <w:rPr>
          <w:rFonts w:asciiTheme="majorBidi" w:hAnsiTheme="majorBidi" w:cstheme="majorBidi"/>
          <w:b/>
          <w:bCs/>
          <w:sz w:val="32"/>
          <w:szCs w:val="32"/>
        </w:rPr>
        <w:t>in Statistical Figures</w:t>
      </w:r>
    </w:p>
    <w:p w14:paraId="43AF4DBE" w14:textId="77777777" w:rsidR="00EB782D" w:rsidRPr="00664EDA" w:rsidRDefault="00EB782D" w:rsidP="00EB782D">
      <w:pPr>
        <w:pStyle w:val="BodyText"/>
        <w:jc w:val="right"/>
        <w:rPr>
          <w:rFonts w:asciiTheme="majorBidi" w:hAnsiTheme="majorBidi" w:cstheme="majorBidi"/>
          <w:b/>
          <w:bCs/>
          <w:sz w:val="16"/>
          <w:szCs w:val="16"/>
        </w:rPr>
      </w:pPr>
      <w:r w:rsidRPr="00664EDA">
        <w:rPr>
          <w:rFonts w:asciiTheme="majorBidi" w:hAnsiTheme="majorBidi" w:cstheme="majorBidi"/>
          <w:b/>
          <w:bCs/>
          <w:sz w:val="16"/>
          <w:szCs w:val="16"/>
          <w:rtl/>
        </w:rPr>
        <w:t xml:space="preserve"> </w:t>
      </w:r>
    </w:p>
    <w:p w14:paraId="37E93E5C" w14:textId="102884A9" w:rsidR="00EB782D" w:rsidRPr="00664EDA" w:rsidRDefault="00EB782D" w:rsidP="00EB782D">
      <w:pPr>
        <w:pStyle w:val="BodyText"/>
        <w:bidi w:val="0"/>
        <w:jc w:val="both"/>
        <w:rPr>
          <w:rFonts w:asciiTheme="majorBidi" w:hAnsiTheme="majorBidi" w:cstheme="majorBidi"/>
          <w:b/>
          <w:bCs/>
          <w:sz w:val="28"/>
          <w:szCs w:val="28"/>
          <w:rtl/>
        </w:rPr>
      </w:pPr>
      <w:r w:rsidRPr="00664EDA">
        <w:rPr>
          <w:rFonts w:asciiTheme="majorBidi" w:hAnsiTheme="majorBidi" w:cstheme="majorBidi"/>
          <w:b/>
          <w:bCs/>
          <w:sz w:val="28"/>
          <w:szCs w:val="28"/>
        </w:rPr>
        <w:t>On The Occasion of the Forty-Five annual commemoration of Land Day, on 30/03/2021, H.E. Dr. Ola Awad, President of the Palestinian Central Bureau of Statistics "PCBS", highlighted the Land Day in statistical figures, as follows:</w:t>
      </w:r>
    </w:p>
    <w:p w14:paraId="2E4F211D" w14:textId="5FA94AA0" w:rsidR="004D54B7" w:rsidRPr="00EB782D" w:rsidRDefault="00EB782D" w:rsidP="00EB782D">
      <w:pPr>
        <w:pStyle w:val="BodyText"/>
        <w:bidi w:val="0"/>
        <w:jc w:val="center"/>
        <w:rPr>
          <w:rFonts w:asciiTheme="majorBidi" w:hAnsiTheme="majorBidi" w:cstheme="majorBidi"/>
          <w:b/>
          <w:bCs/>
          <w:color w:val="0D0D0D" w:themeColor="text1" w:themeTint="F2"/>
          <w:sz w:val="16"/>
          <w:szCs w:val="16"/>
        </w:rPr>
      </w:pPr>
      <w:r w:rsidRPr="00EB782D">
        <w:rPr>
          <w:rFonts w:asciiTheme="majorBidi" w:hAnsiTheme="majorBidi" w:cstheme="majorBidi"/>
          <w:b/>
          <w:bCs/>
          <w:color w:val="0D0D0D" w:themeColor="text1" w:themeTint="F2"/>
          <w:sz w:val="16"/>
          <w:szCs w:val="16"/>
        </w:rPr>
        <w:t xml:space="preserve"> </w:t>
      </w:r>
    </w:p>
    <w:p w14:paraId="2CB60F9B" w14:textId="1E57DF4F" w:rsidR="00CA7B00" w:rsidRPr="00EB782D" w:rsidRDefault="00CA7B00" w:rsidP="00CA7B00">
      <w:pPr>
        <w:pStyle w:val="BodyTextIndent"/>
        <w:ind w:left="0"/>
        <w:rPr>
          <w:rFonts w:asciiTheme="majorBidi" w:hAnsiTheme="majorBidi" w:cstheme="majorBidi"/>
          <w:color w:val="0D0D0D"/>
          <w:sz w:val="26"/>
          <w:szCs w:val="26"/>
        </w:rPr>
      </w:pPr>
      <w:r w:rsidRPr="00EB782D">
        <w:rPr>
          <w:rFonts w:asciiTheme="majorBidi" w:hAnsiTheme="majorBidi" w:cstheme="majorBidi"/>
          <w:color w:val="0D0D0D"/>
          <w:sz w:val="26"/>
          <w:szCs w:val="26"/>
        </w:rPr>
        <w:t xml:space="preserve">The Palestinian people remember the Annual Commemoration of Land Day. </w:t>
      </w:r>
      <w:r w:rsidR="00AF2BDD" w:rsidRPr="00EB782D">
        <w:rPr>
          <w:rFonts w:asciiTheme="majorBidi" w:hAnsiTheme="majorBidi" w:cstheme="majorBidi"/>
          <w:color w:val="0D0D0D"/>
          <w:sz w:val="26"/>
          <w:szCs w:val="26"/>
        </w:rPr>
        <w:t xml:space="preserve">It is the </w:t>
      </w:r>
      <w:r w:rsidRPr="00EB782D">
        <w:rPr>
          <w:rFonts w:asciiTheme="majorBidi" w:hAnsiTheme="majorBidi" w:cstheme="majorBidi"/>
          <w:color w:val="0D0D0D"/>
          <w:sz w:val="26"/>
          <w:szCs w:val="26"/>
        </w:rPr>
        <w:t>day in which the</w:t>
      </w:r>
      <w:r w:rsidR="00AF2BDD" w:rsidRPr="00EB782D">
        <w:rPr>
          <w:rFonts w:asciiTheme="majorBidi" w:hAnsiTheme="majorBidi" w:cstheme="majorBidi"/>
          <w:color w:val="0D0D0D"/>
          <w:sz w:val="26"/>
          <w:szCs w:val="26"/>
        </w:rPr>
        <w:t xml:space="preserve"> </w:t>
      </w:r>
      <w:r w:rsidRPr="00EB782D">
        <w:rPr>
          <w:rFonts w:asciiTheme="majorBidi" w:hAnsiTheme="majorBidi" w:cstheme="majorBidi"/>
          <w:color w:val="0D0D0D"/>
          <w:sz w:val="26"/>
          <w:szCs w:val="26"/>
        </w:rPr>
        <w:t>Israeli occupation laid hand over and</w:t>
      </w:r>
      <w:r w:rsidR="00AF2BDD" w:rsidRPr="00EB782D">
        <w:rPr>
          <w:rFonts w:asciiTheme="majorBidi" w:hAnsiTheme="majorBidi" w:cstheme="majorBidi"/>
          <w:color w:val="0D0D0D"/>
          <w:sz w:val="26"/>
          <w:szCs w:val="26"/>
        </w:rPr>
        <w:t xml:space="preserve"> </w:t>
      </w:r>
      <w:r w:rsidRPr="00EB782D">
        <w:rPr>
          <w:rFonts w:asciiTheme="majorBidi" w:hAnsiTheme="majorBidi" w:cstheme="majorBidi"/>
          <w:color w:val="0D0D0D"/>
          <w:sz w:val="26"/>
          <w:szCs w:val="26"/>
        </w:rPr>
        <w:t>confiscated 21 thousand dunums of land in Al-Jalil</w:t>
      </w:r>
      <w:bookmarkStart w:id="0" w:name="_GoBack"/>
      <w:bookmarkEnd w:id="0"/>
      <w:r w:rsidRPr="00EB782D">
        <w:rPr>
          <w:rFonts w:asciiTheme="majorBidi" w:hAnsiTheme="majorBidi" w:cstheme="majorBidi"/>
          <w:color w:val="0D0D0D"/>
          <w:sz w:val="26"/>
          <w:szCs w:val="26"/>
        </w:rPr>
        <w:t xml:space="preserve">, Al-Muthalath and Al-Naqab on </w:t>
      </w:r>
      <w:r w:rsidR="00AF2BDD" w:rsidRPr="00EB782D">
        <w:rPr>
          <w:rFonts w:asciiTheme="majorBidi" w:hAnsiTheme="majorBidi" w:cstheme="majorBidi"/>
          <w:color w:val="0D0D0D"/>
          <w:sz w:val="26"/>
          <w:szCs w:val="26"/>
        </w:rPr>
        <w:t xml:space="preserve">the </w:t>
      </w:r>
      <w:r w:rsidRPr="00EB782D">
        <w:rPr>
          <w:rFonts w:asciiTheme="majorBidi" w:hAnsiTheme="majorBidi" w:cstheme="majorBidi"/>
          <w:color w:val="0D0D0D"/>
          <w:sz w:val="26"/>
          <w:szCs w:val="26"/>
        </w:rPr>
        <w:t>30</w:t>
      </w:r>
      <w:r w:rsidR="00AF2BDD" w:rsidRPr="00EB782D">
        <w:rPr>
          <w:rFonts w:asciiTheme="majorBidi" w:hAnsiTheme="majorBidi" w:cstheme="majorBidi"/>
          <w:color w:val="0D0D0D"/>
          <w:sz w:val="26"/>
          <w:szCs w:val="26"/>
          <w:vertAlign w:val="superscript"/>
        </w:rPr>
        <w:t>th</w:t>
      </w:r>
      <w:r w:rsidRPr="00EB782D">
        <w:rPr>
          <w:rFonts w:asciiTheme="majorBidi" w:hAnsiTheme="majorBidi" w:cstheme="majorBidi"/>
          <w:color w:val="0D0D0D"/>
          <w:sz w:val="26"/>
          <w:szCs w:val="26"/>
        </w:rPr>
        <w:t xml:space="preserve"> </w:t>
      </w:r>
      <w:r w:rsidR="00AF2BDD" w:rsidRPr="00EB782D">
        <w:rPr>
          <w:rFonts w:asciiTheme="majorBidi" w:hAnsiTheme="majorBidi" w:cstheme="majorBidi"/>
          <w:color w:val="0D0D0D"/>
          <w:sz w:val="26"/>
          <w:szCs w:val="26"/>
        </w:rPr>
        <w:t xml:space="preserve">of </w:t>
      </w:r>
      <w:r w:rsidRPr="00EB782D">
        <w:rPr>
          <w:rFonts w:asciiTheme="majorBidi" w:hAnsiTheme="majorBidi" w:cstheme="majorBidi"/>
          <w:color w:val="0D0D0D"/>
          <w:sz w:val="26"/>
          <w:szCs w:val="26"/>
        </w:rPr>
        <w:t>March 1976. On this day, the Israeli occupation confiscated the land and responded violently to the protestations, killing six young Palestinian demonstrators. Accordingly, this day has become a commemoration to embody the belonging of the Palestinian people to their homeland, and also to commemorate</w:t>
      </w:r>
      <w:r w:rsidR="006D4037" w:rsidRPr="00EB782D">
        <w:rPr>
          <w:rFonts w:asciiTheme="majorBidi" w:hAnsiTheme="majorBidi" w:cstheme="majorBidi"/>
          <w:color w:val="0D0D0D"/>
          <w:sz w:val="26"/>
          <w:szCs w:val="26"/>
          <w:rtl/>
        </w:rPr>
        <w:t xml:space="preserve"> </w:t>
      </w:r>
      <w:r w:rsidRPr="00EB782D">
        <w:rPr>
          <w:rFonts w:asciiTheme="majorBidi" w:hAnsiTheme="majorBidi" w:cstheme="majorBidi"/>
          <w:color w:val="0D0D0D"/>
          <w:sz w:val="26"/>
          <w:szCs w:val="26"/>
        </w:rPr>
        <w:t>those young martyrs.</w:t>
      </w:r>
    </w:p>
    <w:p w14:paraId="5F817E61" w14:textId="77777777" w:rsidR="00CA7B00" w:rsidRPr="00EB782D" w:rsidRDefault="00CA7B00" w:rsidP="00CA7B00">
      <w:pPr>
        <w:pStyle w:val="BodyTextIndent"/>
        <w:ind w:left="0"/>
        <w:rPr>
          <w:rFonts w:asciiTheme="majorBidi" w:hAnsiTheme="majorBidi" w:cstheme="majorBidi"/>
          <w:color w:val="0D0D0D"/>
          <w:sz w:val="16"/>
          <w:szCs w:val="16"/>
        </w:rPr>
      </w:pPr>
    </w:p>
    <w:p w14:paraId="05DA3D9D" w14:textId="77777777" w:rsidR="00CA7B00" w:rsidRPr="00EB782D" w:rsidRDefault="00CA7B00" w:rsidP="00CA7B00">
      <w:pPr>
        <w:pStyle w:val="BodyTextIndent"/>
        <w:ind w:left="0"/>
        <w:rPr>
          <w:rFonts w:asciiTheme="majorBidi" w:hAnsiTheme="majorBidi" w:cstheme="majorBidi"/>
          <w:color w:val="0D0D0D"/>
          <w:sz w:val="26"/>
          <w:szCs w:val="26"/>
        </w:rPr>
      </w:pPr>
      <w:r w:rsidRPr="00EB782D">
        <w:rPr>
          <w:rFonts w:asciiTheme="majorBidi" w:hAnsiTheme="majorBidi" w:cstheme="majorBidi"/>
          <w:b/>
          <w:bCs/>
          <w:color w:val="0D0D0D"/>
          <w:sz w:val="26"/>
          <w:szCs w:val="26"/>
        </w:rPr>
        <w:t>The Israeli Occupation forcibly laid hand over more than 85% of the total area of the historical Palestine</w:t>
      </w:r>
    </w:p>
    <w:p w14:paraId="207A5281" w14:textId="461496D5" w:rsidR="00CA7B00" w:rsidRPr="00EB782D" w:rsidRDefault="00CA7B00" w:rsidP="003339D1">
      <w:pPr>
        <w:pStyle w:val="BodyTextIndent"/>
        <w:ind w:left="0"/>
        <w:rPr>
          <w:rFonts w:asciiTheme="majorBidi" w:hAnsiTheme="majorBidi" w:cstheme="majorBidi"/>
          <w:color w:val="0D0D0D"/>
          <w:sz w:val="26"/>
          <w:szCs w:val="26"/>
          <w:rtl/>
        </w:rPr>
      </w:pPr>
      <w:r w:rsidRPr="00EB782D">
        <w:rPr>
          <w:rFonts w:asciiTheme="majorBidi" w:hAnsiTheme="majorBidi" w:cstheme="majorBidi"/>
          <w:color w:val="0D0D0D"/>
          <w:sz w:val="26"/>
          <w:szCs w:val="26"/>
        </w:rPr>
        <w:t>The estimated number of the Palestinians by the end of 2020 was about 13.7 million; about 5.2 million of them live in the State of Palestine and about 1.</w:t>
      </w:r>
      <w:r w:rsidR="003339D1" w:rsidRPr="00EB782D">
        <w:rPr>
          <w:rFonts w:asciiTheme="majorBidi" w:hAnsiTheme="majorBidi" w:cstheme="majorBidi"/>
          <w:color w:val="0D0D0D"/>
          <w:sz w:val="26"/>
          <w:szCs w:val="26"/>
        </w:rPr>
        <w:t>6</w:t>
      </w:r>
      <w:r w:rsidRPr="00EB782D">
        <w:rPr>
          <w:rFonts w:asciiTheme="majorBidi" w:hAnsiTheme="majorBidi" w:cstheme="majorBidi"/>
          <w:color w:val="0D0D0D"/>
          <w:sz w:val="26"/>
          <w:szCs w:val="26"/>
        </w:rPr>
        <w:t xml:space="preserve"> million Palestinians live in the 1948 territories. Also, about </w:t>
      </w:r>
      <w:r w:rsidR="003339D1" w:rsidRPr="00EB782D">
        <w:rPr>
          <w:rFonts w:asciiTheme="majorBidi" w:hAnsiTheme="majorBidi" w:cstheme="majorBidi"/>
          <w:color w:val="0D0D0D"/>
          <w:sz w:val="26"/>
          <w:szCs w:val="26"/>
        </w:rPr>
        <w:t>6.2</w:t>
      </w:r>
      <w:r w:rsidRPr="00EB782D">
        <w:rPr>
          <w:rFonts w:asciiTheme="majorBidi" w:hAnsiTheme="majorBidi" w:cstheme="majorBidi"/>
          <w:color w:val="0D0D0D"/>
          <w:sz w:val="26"/>
          <w:szCs w:val="26"/>
        </w:rPr>
        <w:t xml:space="preserve"> million Palestinians live in the Arab countries, whereas almost </w:t>
      </w:r>
      <w:r w:rsidR="003339D1" w:rsidRPr="00EB782D">
        <w:rPr>
          <w:rFonts w:asciiTheme="majorBidi" w:hAnsiTheme="majorBidi" w:cstheme="majorBidi"/>
          <w:color w:val="0D0D0D"/>
          <w:sz w:val="26"/>
          <w:szCs w:val="26"/>
        </w:rPr>
        <w:t>738</w:t>
      </w:r>
      <w:r w:rsidRPr="00EB782D">
        <w:rPr>
          <w:rFonts w:asciiTheme="majorBidi" w:hAnsiTheme="majorBidi" w:cstheme="majorBidi"/>
          <w:color w:val="0D0D0D"/>
          <w:sz w:val="26"/>
          <w:szCs w:val="26"/>
        </w:rPr>
        <w:t xml:space="preserve"> thousand Palestinians live in foreign countries. The Israeli occupation is exploiting more than 85% of the total area of the lands of the historical Palestine. It is also worth mentioning that Jews in the era of the British Mandate exploited only</w:t>
      </w:r>
      <w:r w:rsidR="00AF2BDD" w:rsidRPr="00EB782D">
        <w:rPr>
          <w:rFonts w:asciiTheme="majorBidi" w:hAnsiTheme="majorBidi" w:cstheme="majorBidi"/>
          <w:color w:val="0D0D0D"/>
          <w:sz w:val="26"/>
          <w:szCs w:val="26"/>
        </w:rPr>
        <w:t xml:space="preserve"> </w:t>
      </w:r>
      <w:r w:rsidRPr="00EB782D">
        <w:rPr>
          <w:rFonts w:asciiTheme="majorBidi" w:hAnsiTheme="majorBidi" w:cstheme="majorBidi"/>
          <w:sz w:val="26"/>
          <w:szCs w:val="26"/>
        </w:rPr>
        <w:t xml:space="preserve">1,682 </w:t>
      </w:r>
      <w:r w:rsidRPr="00EB782D">
        <w:rPr>
          <w:rFonts w:asciiTheme="majorBidi" w:hAnsiTheme="majorBidi" w:cstheme="majorBidi"/>
          <w:color w:val="0D0D0D"/>
          <w:sz w:val="26"/>
          <w:szCs w:val="26"/>
        </w:rPr>
        <w:t>Km</w:t>
      </w:r>
      <w:r w:rsidRPr="00EB782D">
        <w:rPr>
          <w:rFonts w:asciiTheme="majorBidi" w:hAnsiTheme="majorBidi" w:cstheme="majorBidi"/>
          <w:color w:val="0D0D0D"/>
          <w:sz w:val="26"/>
          <w:szCs w:val="26"/>
          <w:vertAlign w:val="superscript"/>
        </w:rPr>
        <w:t>2</w:t>
      </w:r>
      <w:r w:rsidR="00AF2BDD" w:rsidRPr="00EB782D">
        <w:rPr>
          <w:rFonts w:asciiTheme="majorBidi" w:hAnsiTheme="majorBidi" w:cstheme="majorBidi"/>
          <w:color w:val="0D0D0D"/>
          <w:sz w:val="26"/>
          <w:szCs w:val="26"/>
        </w:rPr>
        <w:t xml:space="preserve">; </w:t>
      </w:r>
      <w:r w:rsidRPr="00EB782D">
        <w:rPr>
          <w:rFonts w:asciiTheme="majorBidi" w:hAnsiTheme="majorBidi" w:cstheme="majorBidi"/>
          <w:color w:val="0D0D0D"/>
          <w:sz w:val="26"/>
          <w:szCs w:val="26"/>
        </w:rPr>
        <w:t>a percentage of 6.2% of the lands of the historical Palestine.</w:t>
      </w:r>
    </w:p>
    <w:p w14:paraId="5CC52DA4" w14:textId="1F268012" w:rsidR="00EB782D" w:rsidRPr="00664EDA" w:rsidRDefault="001572D8" w:rsidP="00664EDA">
      <w:pPr>
        <w:pStyle w:val="BodyTextIndent"/>
        <w:ind w:left="0"/>
        <w:rPr>
          <w:rFonts w:asciiTheme="majorBidi" w:hAnsiTheme="majorBidi" w:cstheme="majorBidi"/>
          <w:color w:val="0D0D0D"/>
          <w:sz w:val="16"/>
          <w:szCs w:val="16"/>
        </w:rPr>
      </w:pPr>
      <w:r w:rsidRPr="00EB782D">
        <w:rPr>
          <w:rFonts w:asciiTheme="majorBidi" w:hAnsiTheme="majorBidi" w:cstheme="majorBidi"/>
          <w:color w:val="0D0D0D"/>
          <w:sz w:val="26"/>
          <w:szCs w:val="26"/>
        </w:rPr>
        <w:t xml:space="preserve"> </w:t>
      </w:r>
    </w:p>
    <w:p w14:paraId="36B1808D" w14:textId="77777777" w:rsidR="00ED28EF" w:rsidRPr="00EB782D" w:rsidRDefault="00ED28EF" w:rsidP="004D54B7">
      <w:pPr>
        <w:pStyle w:val="BodyTextIndent"/>
        <w:ind w:left="0"/>
        <w:jc w:val="left"/>
        <w:rPr>
          <w:rFonts w:asciiTheme="majorBidi" w:hAnsiTheme="majorBidi" w:cstheme="majorBidi"/>
          <w:b/>
          <w:bCs/>
          <w:sz w:val="26"/>
          <w:szCs w:val="26"/>
        </w:rPr>
      </w:pPr>
      <w:r w:rsidRPr="00EB782D">
        <w:rPr>
          <w:rFonts w:asciiTheme="majorBidi" w:hAnsiTheme="majorBidi" w:cstheme="majorBidi"/>
          <w:b/>
          <w:bCs/>
          <w:sz w:val="26"/>
          <w:szCs w:val="26"/>
        </w:rPr>
        <w:t xml:space="preserve">Continuous </w:t>
      </w:r>
      <w:r w:rsidR="00426C79" w:rsidRPr="00EB782D">
        <w:rPr>
          <w:rFonts w:asciiTheme="majorBidi" w:hAnsiTheme="majorBidi" w:cstheme="majorBidi"/>
          <w:b/>
          <w:bCs/>
          <w:sz w:val="26"/>
          <w:szCs w:val="26"/>
        </w:rPr>
        <w:t>C</w:t>
      </w:r>
      <w:r w:rsidRPr="00EB782D">
        <w:rPr>
          <w:rFonts w:asciiTheme="majorBidi" w:hAnsiTheme="majorBidi" w:cstheme="majorBidi"/>
          <w:b/>
          <w:bCs/>
          <w:sz w:val="26"/>
          <w:szCs w:val="26"/>
        </w:rPr>
        <w:t xml:space="preserve">onfiscation of </w:t>
      </w:r>
      <w:r w:rsidR="00C40747" w:rsidRPr="00EB782D">
        <w:rPr>
          <w:rFonts w:asciiTheme="majorBidi" w:hAnsiTheme="majorBidi" w:cstheme="majorBidi"/>
          <w:b/>
          <w:bCs/>
          <w:sz w:val="26"/>
          <w:szCs w:val="26"/>
        </w:rPr>
        <w:t>Land</w:t>
      </w:r>
    </w:p>
    <w:p w14:paraId="529D6721" w14:textId="71F14C33" w:rsidR="00437935" w:rsidRPr="00EB782D" w:rsidRDefault="003339D1" w:rsidP="00CE1D09">
      <w:pPr>
        <w:pStyle w:val="BodyTextIndent"/>
        <w:ind w:left="0"/>
        <w:jc w:val="both"/>
        <w:rPr>
          <w:rFonts w:asciiTheme="majorBidi" w:hAnsiTheme="majorBidi" w:cstheme="majorBidi"/>
          <w:sz w:val="26"/>
          <w:szCs w:val="26"/>
        </w:rPr>
      </w:pPr>
      <w:r w:rsidRPr="00EB782D">
        <w:rPr>
          <w:rFonts w:asciiTheme="majorBidi" w:hAnsiTheme="majorBidi" w:cstheme="majorBidi"/>
          <w:sz w:val="26"/>
          <w:szCs w:val="26"/>
        </w:rPr>
        <w:t xml:space="preserve">The Israeli occupation used the land classification according to the Oslo Accords (A, B and C) to tighten control of the Palestinian land, especially in areas classified as (C) which are under </w:t>
      </w:r>
      <w:r w:rsidR="00AF2BDD" w:rsidRPr="00EB782D">
        <w:rPr>
          <w:rFonts w:asciiTheme="majorBidi" w:hAnsiTheme="majorBidi" w:cstheme="majorBidi"/>
          <w:sz w:val="26"/>
          <w:szCs w:val="26"/>
        </w:rPr>
        <w:t xml:space="preserve">the </w:t>
      </w:r>
      <w:r w:rsidRPr="00EB782D">
        <w:rPr>
          <w:rFonts w:asciiTheme="majorBidi" w:hAnsiTheme="majorBidi" w:cstheme="majorBidi"/>
          <w:sz w:val="26"/>
          <w:szCs w:val="26"/>
        </w:rPr>
        <w:t xml:space="preserve">full control of the Israeli occupation in terms of security, planning and construction, where 76% of the total area classified </w:t>
      </w:r>
      <w:r w:rsidR="00AF2BDD" w:rsidRPr="00EB782D">
        <w:rPr>
          <w:rFonts w:asciiTheme="majorBidi" w:hAnsiTheme="majorBidi" w:cstheme="majorBidi"/>
          <w:sz w:val="26"/>
          <w:szCs w:val="26"/>
        </w:rPr>
        <w:t xml:space="preserve">as </w:t>
      </w:r>
      <w:r w:rsidRPr="00EB782D">
        <w:rPr>
          <w:rFonts w:asciiTheme="majorBidi" w:hAnsiTheme="majorBidi" w:cstheme="majorBidi"/>
          <w:sz w:val="26"/>
          <w:szCs w:val="26"/>
        </w:rPr>
        <w:t xml:space="preserve">(C) is directly exploited by the Israeli occupation; settlements regional councils </w:t>
      </w:r>
      <w:r w:rsidR="00AF2BDD" w:rsidRPr="00EB782D">
        <w:rPr>
          <w:rFonts w:asciiTheme="majorBidi" w:hAnsiTheme="majorBidi" w:cstheme="majorBidi"/>
          <w:sz w:val="26"/>
          <w:szCs w:val="26"/>
        </w:rPr>
        <w:t xml:space="preserve">are </w:t>
      </w:r>
      <w:r w:rsidRPr="00EB782D">
        <w:rPr>
          <w:rFonts w:asciiTheme="majorBidi" w:hAnsiTheme="majorBidi" w:cstheme="majorBidi"/>
          <w:sz w:val="26"/>
          <w:szCs w:val="26"/>
        </w:rPr>
        <w:t>control</w:t>
      </w:r>
      <w:r w:rsidR="00AF2BDD" w:rsidRPr="00EB782D">
        <w:rPr>
          <w:rFonts w:asciiTheme="majorBidi" w:hAnsiTheme="majorBidi" w:cstheme="majorBidi"/>
          <w:sz w:val="26"/>
          <w:szCs w:val="26"/>
        </w:rPr>
        <w:t>ling</w:t>
      </w:r>
      <w:r w:rsidRPr="00EB782D">
        <w:rPr>
          <w:rFonts w:asciiTheme="majorBidi" w:hAnsiTheme="majorBidi" w:cstheme="majorBidi"/>
          <w:sz w:val="26"/>
          <w:szCs w:val="26"/>
        </w:rPr>
        <w:t xml:space="preserve"> 63% of it. While the area of authority regions in the Israeli settlements in the West Bank (Including closed regions allocated for expanding those settlements) is about 542 km</w:t>
      </w:r>
      <w:r w:rsidRPr="00EB782D">
        <w:rPr>
          <w:rFonts w:asciiTheme="majorBidi" w:hAnsiTheme="majorBidi" w:cstheme="majorBidi"/>
          <w:sz w:val="26"/>
          <w:szCs w:val="26"/>
          <w:vertAlign w:val="superscript"/>
        </w:rPr>
        <w:t>2</w:t>
      </w:r>
      <w:r w:rsidRPr="00EB782D">
        <w:rPr>
          <w:rFonts w:asciiTheme="majorBidi" w:hAnsiTheme="majorBidi" w:cstheme="majorBidi"/>
          <w:sz w:val="26"/>
          <w:szCs w:val="26"/>
        </w:rPr>
        <w:t xml:space="preserve"> as it is by the end of </w:t>
      </w:r>
      <w:r w:rsidR="00CE1D09" w:rsidRPr="00EB782D">
        <w:rPr>
          <w:rFonts w:asciiTheme="majorBidi" w:hAnsiTheme="majorBidi" w:cstheme="majorBidi"/>
          <w:sz w:val="26"/>
          <w:szCs w:val="26"/>
          <w:rtl/>
        </w:rPr>
        <w:t>2020</w:t>
      </w:r>
      <w:r w:rsidRPr="00EB782D">
        <w:rPr>
          <w:rFonts w:asciiTheme="majorBidi" w:hAnsiTheme="majorBidi" w:cstheme="majorBidi"/>
          <w:sz w:val="26"/>
          <w:szCs w:val="26"/>
        </w:rPr>
        <w:t xml:space="preserve">; representing about 10% of the total area of the West Bank. Whereas the confiscated areas for the purposes of military bases and military training locations represent about 18% of the West Bank area, in addition to the Annexation and Expansion Wall that has isolated more than 10% of the area of the West Bank. Consequently, </w:t>
      </w:r>
      <w:r w:rsidR="00470A15" w:rsidRPr="00EB782D">
        <w:rPr>
          <w:rFonts w:asciiTheme="majorBidi" w:hAnsiTheme="majorBidi" w:cstheme="majorBidi"/>
          <w:sz w:val="26"/>
          <w:szCs w:val="26"/>
        </w:rPr>
        <w:t xml:space="preserve">more than </w:t>
      </w:r>
      <w:r w:rsidRPr="00EB782D">
        <w:rPr>
          <w:rFonts w:asciiTheme="majorBidi" w:hAnsiTheme="majorBidi" w:cstheme="majorBidi"/>
          <w:sz w:val="26"/>
          <w:szCs w:val="26"/>
        </w:rPr>
        <w:t>219 Palestinian localities were badly affected by the establishment of th</w:t>
      </w:r>
      <w:r w:rsidR="00CE1D09" w:rsidRPr="00EB782D">
        <w:rPr>
          <w:rFonts w:asciiTheme="majorBidi" w:hAnsiTheme="majorBidi" w:cstheme="majorBidi"/>
          <w:sz w:val="26"/>
          <w:szCs w:val="26"/>
        </w:rPr>
        <w:t>e Annexation and Expansion Wall</w:t>
      </w:r>
      <w:r w:rsidR="00470A15" w:rsidRPr="00EB782D">
        <w:rPr>
          <w:rFonts w:asciiTheme="majorBidi" w:hAnsiTheme="majorBidi" w:cstheme="majorBidi"/>
          <w:sz w:val="26"/>
          <w:szCs w:val="26"/>
        </w:rPr>
        <w:t>. A</w:t>
      </w:r>
      <w:r w:rsidR="00CE1D09" w:rsidRPr="00EB782D">
        <w:rPr>
          <w:rFonts w:asciiTheme="majorBidi" w:hAnsiTheme="majorBidi" w:cstheme="majorBidi"/>
          <w:sz w:val="26"/>
          <w:szCs w:val="26"/>
        </w:rPr>
        <w:t>lso</w:t>
      </w:r>
      <w:r w:rsidR="00470A15" w:rsidRPr="00EB782D">
        <w:rPr>
          <w:rFonts w:asciiTheme="majorBidi" w:hAnsiTheme="majorBidi" w:cstheme="majorBidi"/>
          <w:sz w:val="26"/>
          <w:szCs w:val="26"/>
        </w:rPr>
        <w:t>,</w:t>
      </w:r>
      <w:r w:rsidR="00CE1D09" w:rsidRPr="00EB782D">
        <w:rPr>
          <w:rFonts w:asciiTheme="majorBidi" w:hAnsiTheme="majorBidi" w:cstheme="majorBidi"/>
          <w:sz w:val="26"/>
          <w:szCs w:val="26"/>
        </w:rPr>
        <w:t xml:space="preserve"> the Israeli occupation authorities confiscated about 8,830 dunums of </w:t>
      </w:r>
      <w:r w:rsidR="00470A15" w:rsidRPr="00EB782D">
        <w:rPr>
          <w:rFonts w:asciiTheme="majorBidi" w:hAnsiTheme="majorBidi" w:cstheme="majorBidi"/>
          <w:sz w:val="26"/>
          <w:szCs w:val="26"/>
        </w:rPr>
        <w:t xml:space="preserve">the </w:t>
      </w:r>
      <w:r w:rsidR="00CE1D09" w:rsidRPr="00EB782D">
        <w:rPr>
          <w:rFonts w:asciiTheme="majorBidi" w:hAnsiTheme="majorBidi" w:cstheme="majorBidi"/>
          <w:sz w:val="26"/>
          <w:szCs w:val="26"/>
        </w:rPr>
        <w:t xml:space="preserve">Palestinian lands, in addition to </w:t>
      </w:r>
      <w:r w:rsidR="00470A15" w:rsidRPr="00EB782D">
        <w:rPr>
          <w:rFonts w:asciiTheme="majorBidi" w:hAnsiTheme="majorBidi" w:cstheme="majorBidi"/>
          <w:sz w:val="26"/>
          <w:szCs w:val="26"/>
        </w:rPr>
        <w:t xml:space="preserve">another </w:t>
      </w:r>
      <w:r w:rsidR="00CE1D09" w:rsidRPr="00EB782D">
        <w:rPr>
          <w:rFonts w:asciiTheme="majorBidi" w:hAnsiTheme="majorBidi" w:cstheme="majorBidi"/>
          <w:sz w:val="26"/>
          <w:szCs w:val="26"/>
        </w:rPr>
        <w:t xml:space="preserve">11,200 dunums </w:t>
      </w:r>
      <w:r w:rsidR="00470A15" w:rsidRPr="00EB782D">
        <w:rPr>
          <w:rFonts w:asciiTheme="majorBidi" w:hAnsiTheme="majorBidi" w:cstheme="majorBidi"/>
          <w:sz w:val="26"/>
          <w:szCs w:val="26"/>
        </w:rPr>
        <w:t>declared to be</w:t>
      </w:r>
      <w:r w:rsidR="00CE1D09" w:rsidRPr="00EB782D">
        <w:rPr>
          <w:rFonts w:asciiTheme="majorBidi" w:hAnsiTheme="majorBidi" w:cstheme="majorBidi"/>
          <w:sz w:val="26"/>
          <w:szCs w:val="26"/>
        </w:rPr>
        <w:t xml:space="preserve"> natural reserves by the Israeli occupation in preparation for their seizure.</w:t>
      </w:r>
    </w:p>
    <w:p w14:paraId="64B63904" w14:textId="56E328B8" w:rsidR="00664EDA" w:rsidRPr="00EB782D" w:rsidRDefault="00664EDA" w:rsidP="00CE1D09">
      <w:pPr>
        <w:pStyle w:val="BodyTextIndent"/>
        <w:ind w:left="0"/>
        <w:jc w:val="both"/>
        <w:rPr>
          <w:rFonts w:asciiTheme="majorBidi" w:hAnsiTheme="majorBidi" w:cstheme="majorBidi"/>
          <w:sz w:val="16"/>
          <w:szCs w:val="16"/>
        </w:rPr>
      </w:pPr>
    </w:p>
    <w:p w14:paraId="7B8A48E2" w14:textId="5105423A" w:rsidR="00A436DF" w:rsidRPr="00EB782D" w:rsidRDefault="00A436DF" w:rsidP="004D54B7">
      <w:pPr>
        <w:pStyle w:val="BodyTextIndent"/>
        <w:ind w:left="0"/>
        <w:jc w:val="center"/>
        <w:rPr>
          <w:rFonts w:asciiTheme="majorBidi" w:hAnsiTheme="majorBidi" w:cstheme="majorBidi"/>
          <w:b/>
          <w:bCs/>
          <w:sz w:val="26"/>
          <w:szCs w:val="26"/>
        </w:rPr>
      </w:pPr>
      <w:r w:rsidRPr="00EB782D">
        <w:rPr>
          <w:rFonts w:asciiTheme="majorBidi" w:hAnsiTheme="majorBidi" w:cstheme="majorBidi"/>
          <w:b/>
          <w:bCs/>
          <w:sz w:val="26"/>
          <w:szCs w:val="26"/>
        </w:rPr>
        <w:t xml:space="preserve">Percentage Distribution of land in the West Bank </w:t>
      </w:r>
      <w:r w:rsidR="00DD33BF" w:rsidRPr="00EB782D">
        <w:rPr>
          <w:rFonts w:asciiTheme="majorBidi" w:hAnsiTheme="majorBidi" w:cstheme="majorBidi"/>
          <w:b/>
          <w:bCs/>
          <w:sz w:val="26"/>
          <w:szCs w:val="26"/>
        </w:rPr>
        <w:t xml:space="preserve">according </w:t>
      </w:r>
      <w:r w:rsidRPr="00EB782D">
        <w:rPr>
          <w:rFonts w:asciiTheme="majorBidi" w:hAnsiTheme="majorBidi" w:cstheme="majorBidi"/>
          <w:b/>
          <w:bCs/>
          <w:sz w:val="26"/>
          <w:szCs w:val="26"/>
        </w:rPr>
        <w:t xml:space="preserve">to Oslo </w:t>
      </w:r>
      <w:r w:rsidR="00470A15" w:rsidRPr="00EB782D">
        <w:rPr>
          <w:rFonts w:asciiTheme="majorBidi" w:hAnsiTheme="majorBidi" w:cstheme="majorBidi"/>
          <w:b/>
          <w:bCs/>
          <w:sz w:val="26"/>
          <w:szCs w:val="26"/>
        </w:rPr>
        <w:t>Accords</w:t>
      </w:r>
    </w:p>
    <w:p w14:paraId="031AF586" w14:textId="77777777" w:rsidR="00A436DF" w:rsidRPr="00EB782D" w:rsidRDefault="00CE1D09" w:rsidP="00A436DF">
      <w:pPr>
        <w:pStyle w:val="BodyTextIndent"/>
        <w:ind w:left="0"/>
        <w:jc w:val="center"/>
        <w:rPr>
          <w:rFonts w:asciiTheme="majorBidi" w:hAnsiTheme="majorBidi" w:cstheme="majorBidi"/>
          <w:b/>
          <w:bCs/>
          <w:color w:val="0D0D0D"/>
          <w:sz w:val="26"/>
          <w:szCs w:val="26"/>
        </w:rPr>
      </w:pPr>
      <w:r w:rsidRPr="00EB782D">
        <w:rPr>
          <w:rFonts w:asciiTheme="majorBidi" w:hAnsiTheme="majorBidi" w:cstheme="majorBidi"/>
          <w:b/>
          <w:bCs/>
          <w:noProof/>
          <w:color w:val="0D0D0D"/>
          <w:sz w:val="26"/>
          <w:szCs w:val="26"/>
          <w:lang w:eastAsia="en-US"/>
        </w:rPr>
        <w:drawing>
          <wp:inline distT="0" distB="0" distL="0" distR="0" wp14:anchorId="167DD930" wp14:editId="7D03A02E">
            <wp:extent cx="3068955" cy="1647825"/>
            <wp:effectExtent l="0" t="0" r="17145" b="952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2486BF" w14:textId="2BBA5469" w:rsidR="00470A15" w:rsidRPr="00EB782D" w:rsidRDefault="00470A15" w:rsidP="004D54B7">
      <w:pPr>
        <w:pStyle w:val="BodyTextIndent"/>
        <w:ind w:left="0"/>
        <w:jc w:val="left"/>
        <w:rPr>
          <w:rFonts w:asciiTheme="majorBidi" w:hAnsiTheme="majorBidi" w:cstheme="majorBidi"/>
          <w:b/>
          <w:bCs/>
          <w:sz w:val="16"/>
          <w:szCs w:val="16"/>
        </w:rPr>
      </w:pPr>
    </w:p>
    <w:p w14:paraId="2FDBE545" w14:textId="77777777" w:rsidR="00EB782D" w:rsidRDefault="00EB782D" w:rsidP="004D54B7">
      <w:pPr>
        <w:pStyle w:val="BodyTextIndent"/>
        <w:ind w:left="0"/>
        <w:jc w:val="left"/>
        <w:rPr>
          <w:rFonts w:asciiTheme="majorBidi" w:hAnsiTheme="majorBidi" w:cstheme="majorBidi"/>
          <w:b/>
          <w:bCs/>
          <w:sz w:val="26"/>
          <w:szCs w:val="26"/>
        </w:rPr>
      </w:pPr>
    </w:p>
    <w:p w14:paraId="599CDB9A" w14:textId="3E7525EB" w:rsidR="00EB782D" w:rsidRDefault="00EB782D" w:rsidP="004D54B7">
      <w:pPr>
        <w:pStyle w:val="BodyTextIndent"/>
        <w:ind w:left="0"/>
        <w:jc w:val="left"/>
        <w:rPr>
          <w:rFonts w:asciiTheme="majorBidi" w:hAnsiTheme="majorBidi" w:cstheme="majorBidi"/>
          <w:b/>
          <w:bCs/>
          <w:sz w:val="26"/>
          <w:szCs w:val="26"/>
        </w:rPr>
      </w:pPr>
    </w:p>
    <w:p w14:paraId="764C4E7A" w14:textId="6CC8421A" w:rsidR="00555E41" w:rsidRPr="00EB782D" w:rsidRDefault="00555E41" w:rsidP="004D54B7">
      <w:pPr>
        <w:pStyle w:val="BodyTextIndent"/>
        <w:ind w:left="0"/>
        <w:jc w:val="left"/>
        <w:rPr>
          <w:rFonts w:asciiTheme="majorBidi" w:hAnsiTheme="majorBidi" w:cstheme="majorBidi"/>
          <w:b/>
          <w:bCs/>
          <w:sz w:val="26"/>
          <w:szCs w:val="26"/>
        </w:rPr>
      </w:pPr>
      <w:r w:rsidRPr="00EB782D">
        <w:rPr>
          <w:rFonts w:asciiTheme="majorBidi" w:hAnsiTheme="majorBidi" w:cstheme="majorBidi"/>
          <w:b/>
          <w:bCs/>
          <w:sz w:val="26"/>
          <w:szCs w:val="26"/>
        </w:rPr>
        <w:t>Israeli Settlements: Continuous Expansion</w:t>
      </w:r>
    </w:p>
    <w:p w14:paraId="686B9E98" w14:textId="38EFD74B" w:rsidR="00F653F5" w:rsidRPr="00EB782D" w:rsidRDefault="00F653F5" w:rsidP="00B3166E">
      <w:pPr>
        <w:pStyle w:val="BodyTextIndent2"/>
        <w:ind w:left="0"/>
        <w:jc w:val="lowKashida"/>
        <w:rPr>
          <w:rFonts w:asciiTheme="majorBidi" w:hAnsiTheme="majorBidi" w:cstheme="majorBidi"/>
          <w:color w:val="0D0D0D" w:themeColor="text1" w:themeTint="F2"/>
          <w:sz w:val="26"/>
          <w:szCs w:val="26"/>
        </w:rPr>
      </w:pPr>
      <w:r w:rsidRPr="00EB782D">
        <w:rPr>
          <w:rFonts w:asciiTheme="majorBidi" w:hAnsiTheme="majorBidi" w:cstheme="majorBidi"/>
          <w:color w:val="0D0D0D" w:themeColor="text1" w:themeTint="F2"/>
          <w:sz w:val="26"/>
          <w:szCs w:val="26"/>
        </w:rPr>
        <w:t>By the end of 2019, there were 461 Israeli occupation sites and military bases in the West Bank</w:t>
      </w:r>
      <w:r w:rsidR="00470A15" w:rsidRPr="00EB782D">
        <w:rPr>
          <w:rFonts w:asciiTheme="majorBidi" w:hAnsiTheme="majorBidi" w:cstheme="majorBidi"/>
          <w:color w:val="0D0D0D" w:themeColor="text1" w:themeTint="F2"/>
          <w:sz w:val="26"/>
          <w:szCs w:val="26"/>
        </w:rPr>
        <w:t>,</w:t>
      </w:r>
      <w:r w:rsidRPr="00EB782D">
        <w:rPr>
          <w:rFonts w:asciiTheme="majorBidi" w:hAnsiTheme="majorBidi" w:cstheme="majorBidi"/>
          <w:color w:val="0D0D0D" w:themeColor="text1" w:themeTint="F2"/>
          <w:sz w:val="26"/>
          <w:szCs w:val="26"/>
        </w:rPr>
        <w:t xml:space="preserve"> including 151 settlements and 26 inhabited outposts that were considered as neighborhood</w:t>
      </w:r>
      <w:r w:rsidR="00470A15" w:rsidRPr="00EB782D">
        <w:rPr>
          <w:rFonts w:asciiTheme="majorBidi" w:hAnsiTheme="majorBidi" w:cstheme="majorBidi"/>
          <w:color w:val="0D0D0D" w:themeColor="text1" w:themeTint="F2"/>
          <w:sz w:val="26"/>
          <w:szCs w:val="26"/>
        </w:rPr>
        <w:t>s</w:t>
      </w:r>
      <w:r w:rsidRPr="00EB782D">
        <w:rPr>
          <w:rFonts w:asciiTheme="majorBidi" w:hAnsiTheme="majorBidi" w:cstheme="majorBidi"/>
          <w:color w:val="0D0D0D" w:themeColor="text1" w:themeTint="F2"/>
          <w:sz w:val="26"/>
          <w:szCs w:val="26"/>
        </w:rPr>
        <w:t xml:space="preserve"> following established settlements, in addition to 140 settlement outposts. As for the number of settlers in the West Bank, it reached 688,262 settlers by the end of 2019; at a growth rate of almost 2.6%. Attracting Jews from abroad represents more</w:t>
      </w:r>
      <w:r w:rsidRPr="00EB782D">
        <w:rPr>
          <w:rFonts w:asciiTheme="majorBidi" w:hAnsiTheme="majorBidi" w:cstheme="majorBidi"/>
          <w:color w:val="0D0D0D" w:themeColor="text1" w:themeTint="F2"/>
          <w:sz w:val="26"/>
          <w:szCs w:val="26"/>
          <w:rtl/>
        </w:rPr>
        <w:t xml:space="preserve"> </w:t>
      </w:r>
      <w:r w:rsidRPr="00EB782D">
        <w:rPr>
          <w:rFonts w:asciiTheme="majorBidi" w:hAnsiTheme="majorBidi" w:cstheme="majorBidi"/>
          <w:color w:val="0D0D0D" w:themeColor="text1" w:themeTint="F2"/>
          <w:sz w:val="26"/>
          <w:szCs w:val="26"/>
        </w:rPr>
        <w:t>than the third of net population growth rate in Israel. Thus, data shows that around 46% of settlers live in Jerusalem governorate, where their number reached about 316,176 settlers; out of which 232,093 settlers live in East Jerusalem (J1) “</w:t>
      </w:r>
      <w:r w:rsidRPr="00EB782D">
        <w:rPr>
          <w:rFonts w:asciiTheme="majorBidi" w:hAnsiTheme="majorBidi" w:cstheme="majorBidi"/>
          <w:sz w:val="26"/>
          <w:szCs w:val="26"/>
        </w:rPr>
        <w:t>includes those parts of Jerusalem which were annexed by Israeli occupation in 1967”.</w:t>
      </w:r>
      <w:r w:rsidRPr="00EB782D">
        <w:rPr>
          <w:rFonts w:asciiTheme="majorBidi" w:hAnsiTheme="majorBidi" w:cstheme="majorBidi"/>
          <w:color w:val="0D0D0D" w:themeColor="text1" w:themeTint="F2"/>
          <w:sz w:val="26"/>
          <w:szCs w:val="26"/>
        </w:rPr>
        <w:t xml:space="preserve"> In regards to demographics, the proportion of settlers to Palestinian population in the West Bank is about 23 settlers per 100 Palestinians, and it was the highest in Jerusalem </w:t>
      </w:r>
      <w:r w:rsidR="00FC11DE" w:rsidRPr="00EB782D">
        <w:rPr>
          <w:rFonts w:asciiTheme="majorBidi" w:hAnsiTheme="majorBidi" w:cstheme="majorBidi"/>
          <w:color w:val="0D0D0D" w:themeColor="text1" w:themeTint="F2"/>
          <w:sz w:val="26"/>
          <w:szCs w:val="26"/>
        </w:rPr>
        <w:t>G</w:t>
      </w:r>
      <w:r w:rsidRPr="00EB782D">
        <w:rPr>
          <w:rFonts w:asciiTheme="majorBidi" w:hAnsiTheme="majorBidi" w:cstheme="majorBidi"/>
          <w:color w:val="0D0D0D" w:themeColor="text1" w:themeTint="F2"/>
          <w:sz w:val="26"/>
          <w:szCs w:val="26"/>
        </w:rPr>
        <w:t>overnorate, where there were 69 settlers per 100 Palestinians.</w:t>
      </w:r>
      <w:r w:rsidR="00B3166E" w:rsidRPr="00EB782D">
        <w:rPr>
          <w:rFonts w:asciiTheme="majorBidi" w:hAnsiTheme="majorBidi" w:cstheme="majorBidi"/>
          <w:color w:val="0D0D0D" w:themeColor="text1" w:themeTint="F2"/>
          <w:sz w:val="26"/>
          <w:szCs w:val="26"/>
          <w:rtl/>
        </w:rPr>
        <w:t xml:space="preserve"> </w:t>
      </w:r>
      <w:r w:rsidR="006D4037" w:rsidRPr="00EB782D">
        <w:rPr>
          <w:rFonts w:asciiTheme="majorBidi" w:hAnsiTheme="majorBidi" w:cstheme="majorBidi"/>
          <w:color w:val="0D0D0D" w:themeColor="text1" w:themeTint="F2"/>
          <w:sz w:val="26"/>
          <w:szCs w:val="26"/>
          <w:rtl/>
        </w:rPr>
        <w:t xml:space="preserve"> </w:t>
      </w:r>
      <w:r w:rsidRPr="00EB782D">
        <w:rPr>
          <w:rFonts w:asciiTheme="majorBidi" w:hAnsiTheme="majorBidi" w:cstheme="majorBidi"/>
          <w:color w:val="0D0D0D" w:themeColor="text1" w:themeTint="F2"/>
          <w:sz w:val="26"/>
          <w:szCs w:val="26"/>
        </w:rPr>
        <w:t>Accordingly, 2020 witnessed a significant increase in the pace of construction and expansion of the Israeli settlements in the West Bank, where the Israeli occupation approved the construction of 6,719 new settlement housing units</w:t>
      </w:r>
      <w:r w:rsidR="00691F01" w:rsidRPr="00EB782D">
        <w:rPr>
          <w:rFonts w:asciiTheme="majorBidi" w:hAnsiTheme="majorBidi" w:cstheme="majorBidi"/>
          <w:color w:val="0D0D0D" w:themeColor="text1" w:themeTint="F2"/>
          <w:sz w:val="26"/>
          <w:szCs w:val="26"/>
        </w:rPr>
        <w:t xml:space="preserve"> </w:t>
      </w:r>
      <w:r w:rsidR="00256B0C" w:rsidRPr="00EB782D">
        <w:rPr>
          <w:rFonts w:asciiTheme="majorBidi" w:hAnsiTheme="majorBidi" w:cstheme="majorBidi"/>
          <w:color w:val="0D0D0D" w:themeColor="text1" w:themeTint="F2"/>
          <w:sz w:val="26"/>
          <w:szCs w:val="26"/>
        </w:rPr>
        <w:t xml:space="preserve">in addition to </w:t>
      </w:r>
      <w:r w:rsidR="00691F01" w:rsidRPr="00EB782D">
        <w:rPr>
          <w:rFonts w:asciiTheme="majorBidi" w:hAnsiTheme="majorBidi" w:cstheme="majorBidi"/>
          <w:color w:val="0D0D0D" w:themeColor="text1" w:themeTint="F2"/>
          <w:sz w:val="26"/>
          <w:szCs w:val="26"/>
        </w:rPr>
        <w:t xml:space="preserve">plans </w:t>
      </w:r>
      <w:r w:rsidR="00256B0C" w:rsidRPr="00EB782D">
        <w:rPr>
          <w:rFonts w:asciiTheme="majorBidi" w:hAnsiTheme="majorBidi" w:cstheme="majorBidi"/>
          <w:color w:val="0D0D0D" w:themeColor="text1" w:themeTint="F2"/>
          <w:sz w:val="26"/>
          <w:szCs w:val="26"/>
        </w:rPr>
        <w:t xml:space="preserve">of establishing </w:t>
      </w:r>
      <w:r w:rsidR="00691F01" w:rsidRPr="00EB782D">
        <w:rPr>
          <w:rFonts w:asciiTheme="majorBidi" w:hAnsiTheme="majorBidi" w:cstheme="majorBidi"/>
          <w:color w:val="0D0D0D" w:themeColor="text1" w:themeTint="F2"/>
          <w:sz w:val="26"/>
          <w:szCs w:val="26"/>
        </w:rPr>
        <w:t>12,159 colonial units during the same year</w:t>
      </w:r>
      <w:r w:rsidR="00256B0C" w:rsidRPr="00EB782D">
        <w:rPr>
          <w:rFonts w:asciiTheme="majorBidi" w:hAnsiTheme="majorBidi" w:cstheme="majorBidi"/>
          <w:color w:val="0D0D0D" w:themeColor="text1" w:themeTint="F2"/>
          <w:sz w:val="26"/>
          <w:szCs w:val="26"/>
        </w:rPr>
        <w:t xml:space="preserve"> and</w:t>
      </w:r>
      <w:r w:rsidR="00691F01" w:rsidRPr="00EB782D">
        <w:rPr>
          <w:rFonts w:asciiTheme="majorBidi" w:hAnsiTheme="majorBidi" w:cstheme="majorBidi"/>
          <w:color w:val="0D0D0D" w:themeColor="text1" w:themeTint="F2"/>
          <w:sz w:val="26"/>
          <w:szCs w:val="26"/>
        </w:rPr>
        <w:t xml:space="preserve"> </w:t>
      </w:r>
      <w:r w:rsidRPr="00EB782D">
        <w:rPr>
          <w:rFonts w:asciiTheme="majorBidi" w:hAnsiTheme="majorBidi" w:cstheme="majorBidi"/>
          <w:color w:val="0D0D0D" w:themeColor="text1" w:themeTint="F2"/>
          <w:sz w:val="26"/>
          <w:szCs w:val="26"/>
        </w:rPr>
        <w:t>11 new settlement outposts</w:t>
      </w:r>
      <w:r w:rsidR="00256B0C" w:rsidRPr="00EB782D">
        <w:rPr>
          <w:rFonts w:asciiTheme="majorBidi" w:hAnsiTheme="majorBidi" w:cstheme="majorBidi"/>
          <w:color w:val="0D0D0D" w:themeColor="text1" w:themeTint="F2"/>
          <w:sz w:val="26"/>
          <w:szCs w:val="26"/>
        </w:rPr>
        <w:t xml:space="preserve"> were approved to be established</w:t>
      </w:r>
      <w:r w:rsidRPr="00EB782D">
        <w:rPr>
          <w:rFonts w:asciiTheme="majorBidi" w:hAnsiTheme="majorBidi" w:cstheme="majorBidi"/>
          <w:color w:val="0D0D0D" w:themeColor="text1" w:themeTint="F2"/>
          <w:sz w:val="26"/>
          <w:szCs w:val="26"/>
        </w:rPr>
        <w:t>.</w:t>
      </w:r>
    </w:p>
    <w:p w14:paraId="03B02C3A" w14:textId="77777777" w:rsidR="00691F01" w:rsidRPr="00EB782D" w:rsidRDefault="00691F01" w:rsidP="00691F01">
      <w:pPr>
        <w:pStyle w:val="BodyTextIndent2"/>
        <w:ind w:left="0"/>
        <w:jc w:val="lowKashida"/>
        <w:rPr>
          <w:rFonts w:asciiTheme="majorBidi" w:hAnsiTheme="majorBidi" w:cstheme="majorBidi"/>
          <w:color w:val="0D0D0D" w:themeColor="text1" w:themeTint="F2"/>
          <w:sz w:val="16"/>
          <w:szCs w:val="16"/>
          <w:highlight w:val="yellow"/>
        </w:rPr>
      </w:pPr>
    </w:p>
    <w:p w14:paraId="189D5BFA" w14:textId="64231922" w:rsidR="00691F01" w:rsidRPr="00EB782D" w:rsidRDefault="00691F01" w:rsidP="00691F01">
      <w:pPr>
        <w:pStyle w:val="BodyTextIndent2"/>
        <w:ind w:left="0"/>
        <w:jc w:val="lowKashida"/>
        <w:rPr>
          <w:rFonts w:asciiTheme="majorBidi" w:hAnsiTheme="majorBidi" w:cstheme="majorBidi"/>
          <w:b/>
          <w:bCs/>
          <w:color w:val="0D0D0D" w:themeColor="text1" w:themeTint="F2"/>
          <w:sz w:val="26"/>
          <w:szCs w:val="26"/>
        </w:rPr>
      </w:pPr>
      <w:r w:rsidRPr="00EB782D">
        <w:rPr>
          <w:rFonts w:asciiTheme="majorBidi" w:hAnsiTheme="majorBidi" w:cstheme="majorBidi"/>
          <w:b/>
          <w:bCs/>
          <w:color w:val="0D0D0D" w:themeColor="text1" w:themeTint="F2"/>
          <w:sz w:val="26"/>
          <w:szCs w:val="26"/>
        </w:rPr>
        <w:t xml:space="preserve">More than 1,000 </w:t>
      </w:r>
      <w:r w:rsidR="00B02598" w:rsidRPr="00EB782D">
        <w:rPr>
          <w:rFonts w:asciiTheme="majorBidi" w:hAnsiTheme="majorBidi" w:cstheme="majorBidi"/>
          <w:b/>
          <w:bCs/>
          <w:color w:val="0D0D0D" w:themeColor="text1" w:themeTint="F2"/>
          <w:sz w:val="26"/>
          <w:szCs w:val="26"/>
        </w:rPr>
        <w:t>settlers’</w:t>
      </w:r>
      <w:r w:rsidRPr="00EB782D">
        <w:rPr>
          <w:rFonts w:asciiTheme="majorBidi" w:hAnsiTheme="majorBidi" w:cstheme="majorBidi"/>
          <w:b/>
          <w:bCs/>
          <w:color w:val="0D0D0D" w:themeColor="text1" w:themeTint="F2"/>
          <w:sz w:val="26"/>
          <w:szCs w:val="26"/>
        </w:rPr>
        <w:t xml:space="preserve"> attacks</w:t>
      </w:r>
    </w:p>
    <w:p w14:paraId="67DE546B" w14:textId="7F64D8F5" w:rsidR="00691F01" w:rsidRPr="00EB782D" w:rsidRDefault="00B02598" w:rsidP="00691F01">
      <w:pPr>
        <w:pStyle w:val="BodyTextIndent2"/>
        <w:ind w:left="0"/>
        <w:jc w:val="lowKashida"/>
        <w:rPr>
          <w:rFonts w:asciiTheme="majorBidi" w:hAnsiTheme="majorBidi" w:cstheme="majorBidi"/>
          <w:color w:val="0D0D0D" w:themeColor="text1" w:themeTint="F2"/>
          <w:sz w:val="26"/>
          <w:szCs w:val="26"/>
        </w:rPr>
      </w:pPr>
      <w:r w:rsidRPr="00EB782D">
        <w:rPr>
          <w:rFonts w:asciiTheme="majorBidi" w:hAnsiTheme="majorBidi" w:cstheme="majorBidi"/>
          <w:color w:val="0D0D0D" w:themeColor="text1" w:themeTint="F2"/>
          <w:sz w:val="26"/>
          <w:szCs w:val="26"/>
        </w:rPr>
        <w:t xml:space="preserve">In 2020, </w:t>
      </w:r>
      <w:r w:rsidR="00691F01" w:rsidRPr="00EB782D">
        <w:rPr>
          <w:rFonts w:asciiTheme="majorBidi" w:hAnsiTheme="majorBidi" w:cstheme="majorBidi"/>
          <w:color w:val="0D0D0D" w:themeColor="text1" w:themeTint="F2"/>
          <w:sz w:val="26"/>
          <w:szCs w:val="26"/>
        </w:rPr>
        <w:t>settlers, under the protection of the Israeli occupation army, carried out about 1,090 attacks against Palestinian citizens and their property, an increase of</w:t>
      </w:r>
      <w:r w:rsidR="00C3521F" w:rsidRPr="00EB782D">
        <w:rPr>
          <w:rFonts w:asciiTheme="majorBidi" w:hAnsiTheme="majorBidi" w:cstheme="majorBidi"/>
          <w:color w:val="0D0D0D" w:themeColor="text1" w:themeTint="F2"/>
          <w:sz w:val="26"/>
          <w:szCs w:val="26"/>
        </w:rPr>
        <w:t xml:space="preserve"> </w:t>
      </w:r>
      <w:r w:rsidR="00691F01" w:rsidRPr="00EB782D">
        <w:rPr>
          <w:rFonts w:asciiTheme="majorBidi" w:hAnsiTheme="majorBidi" w:cstheme="majorBidi"/>
          <w:color w:val="0D0D0D" w:themeColor="text1" w:themeTint="F2"/>
          <w:sz w:val="26"/>
          <w:szCs w:val="26"/>
        </w:rPr>
        <w:t xml:space="preserve"> 9% over the year 2019, and the attacks varied from uprooting, destroying and burning</w:t>
      </w:r>
      <w:r w:rsidR="00C3521F" w:rsidRPr="00EB782D">
        <w:rPr>
          <w:rFonts w:asciiTheme="majorBidi" w:hAnsiTheme="majorBidi" w:cstheme="majorBidi"/>
          <w:color w:val="0D0D0D" w:themeColor="text1" w:themeTint="F2"/>
          <w:sz w:val="26"/>
          <w:szCs w:val="26"/>
        </w:rPr>
        <w:t xml:space="preserve"> of</w:t>
      </w:r>
      <w:r w:rsidR="00691F01" w:rsidRPr="00EB782D">
        <w:rPr>
          <w:rFonts w:asciiTheme="majorBidi" w:hAnsiTheme="majorBidi" w:cstheme="majorBidi"/>
          <w:color w:val="0D0D0D" w:themeColor="text1" w:themeTint="F2"/>
          <w:sz w:val="26"/>
          <w:szCs w:val="26"/>
        </w:rPr>
        <w:t xml:space="preserve"> 8,925 trees, carrying out 21 run-over attacks, 8 kidnapping attempts, 26 shootings, and 47 A leveling operation</w:t>
      </w:r>
      <w:r w:rsidR="00C3521F" w:rsidRPr="00EB782D">
        <w:rPr>
          <w:rFonts w:asciiTheme="majorBidi" w:hAnsiTheme="majorBidi" w:cstheme="majorBidi"/>
          <w:color w:val="0D0D0D" w:themeColor="text1" w:themeTint="F2"/>
          <w:sz w:val="26"/>
          <w:szCs w:val="26"/>
        </w:rPr>
        <w:t>s</w:t>
      </w:r>
      <w:r w:rsidR="00691F01" w:rsidRPr="00EB782D">
        <w:rPr>
          <w:rFonts w:asciiTheme="majorBidi" w:hAnsiTheme="majorBidi" w:cstheme="majorBidi"/>
          <w:color w:val="0D0D0D" w:themeColor="text1" w:themeTint="F2"/>
          <w:sz w:val="26"/>
          <w:szCs w:val="26"/>
        </w:rPr>
        <w:t xml:space="preserve"> of citizens' lands</w:t>
      </w:r>
      <w:r w:rsidR="00C3521F" w:rsidRPr="00EB782D">
        <w:rPr>
          <w:rFonts w:asciiTheme="majorBidi" w:hAnsiTheme="majorBidi" w:cstheme="majorBidi"/>
          <w:color w:val="0D0D0D" w:themeColor="text1" w:themeTint="F2"/>
          <w:sz w:val="26"/>
          <w:szCs w:val="26"/>
        </w:rPr>
        <w:t>. Nonetheless,</w:t>
      </w:r>
      <w:r w:rsidR="00691F01" w:rsidRPr="00EB782D">
        <w:rPr>
          <w:rFonts w:asciiTheme="majorBidi" w:hAnsiTheme="majorBidi" w:cstheme="majorBidi"/>
          <w:color w:val="0D0D0D" w:themeColor="text1" w:themeTint="F2"/>
          <w:sz w:val="26"/>
          <w:szCs w:val="26"/>
        </w:rPr>
        <w:t xml:space="preserve"> livestock were not spared from </w:t>
      </w:r>
      <w:r w:rsidR="00C3521F" w:rsidRPr="00EB782D">
        <w:rPr>
          <w:rFonts w:asciiTheme="majorBidi" w:hAnsiTheme="majorBidi" w:cstheme="majorBidi"/>
          <w:color w:val="0D0D0D" w:themeColor="text1" w:themeTint="F2"/>
          <w:sz w:val="26"/>
          <w:szCs w:val="26"/>
        </w:rPr>
        <w:t xml:space="preserve">those </w:t>
      </w:r>
      <w:r w:rsidR="00691F01" w:rsidRPr="00EB782D">
        <w:rPr>
          <w:rFonts w:asciiTheme="majorBidi" w:hAnsiTheme="majorBidi" w:cstheme="majorBidi"/>
          <w:color w:val="0D0D0D" w:themeColor="text1" w:themeTint="F2"/>
          <w:sz w:val="26"/>
          <w:szCs w:val="26"/>
        </w:rPr>
        <w:t>attacks, as 445 head</w:t>
      </w:r>
      <w:r w:rsidR="00C3521F" w:rsidRPr="00EB782D">
        <w:rPr>
          <w:rFonts w:asciiTheme="majorBidi" w:hAnsiTheme="majorBidi" w:cstheme="majorBidi"/>
          <w:color w:val="0D0D0D" w:themeColor="text1" w:themeTint="F2"/>
          <w:sz w:val="26"/>
          <w:szCs w:val="26"/>
        </w:rPr>
        <w:t>s</w:t>
      </w:r>
      <w:r w:rsidR="00691F01" w:rsidRPr="00EB782D">
        <w:rPr>
          <w:rFonts w:asciiTheme="majorBidi" w:hAnsiTheme="majorBidi" w:cstheme="majorBidi"/>
          <w:color w:val="0D0D0D" w:themeColor="text1" w:themeTint="F2"/>
          <w:sz w:val="26"/>
          <w:szCs w:val="26"/>
        </w:rPr>
        <w:t xml:space="preserve"> of cattle were killed and stolen</w:t>
      </w:r>
      <w:r w:rsidR="00C3521F" w:rsidRPr="00EB782D">
        <w:rPr>
          <w:rFonts w:asciiTheme="majorBidi" w:hAnsiTheme="majorBidi" w:cstheme="majorBidi"/>
          <w:color w:val="0D0D0D" w:themeColor="text1" w:themeTint="F2"/>
          <w:sz w:val="26"/>
          <w:szCs w:val="26"/>
        </w:rPr>
        <w:t xml:space="preserve">. This is </w:t>
      </w:r>
      <w:r w:rsidR="00691F01" w:rsidRPr="00EB782D">
        <w:rPr>
          <w:rFonts w:asciiTheme="majorBidi" w:hAnsiTheme="majorBidi" w:cstheme="majorBidi"/>
          <w:color w:val="0D0D0D" w:themeColor="text1" w:themeTint="F2"/>
          <w:sz w:val="26"/>
          <w:szCs w:val="26"/>
        </w:rPr>
        <w:t>in addition to burning, destroying and damaging 350 cars and vehicles.</w:t>
      </w:r>
    </w:p>
    <w:p w14:paraId="57597B77" w14:textId="77777777" w:rsidR="004D54B7" w:rsidRPr="00EB782D" w:rsidRDefault="004D54B7" w:rsidP="004D54B7">
      <w:pPr>
        <w:bidi w:val="0"/>
        <w:jc w:val="both"/>
        <w:rPr>
          <w:rFonts w:asciiTheme="majorBidi" w:hAnsiTheme="majorBidi" w:cstheme="majorBidi"/>
          <w:b/>
          <w:bCs/>
          <w:color w:val="0D0D0D"/>
          <w:sz w:val="16"/>
          <w:szCs w:val="16"/>
          <w:highlight w:val="yellow"/>
        </w:rPr>
      </w:pPr>
    </w:p>
    <w:p w14:paraId="1EE261F8" w14:textId="77777777" w:rsidR="00B840BB" w:rsidRPr="00EB782D" w:rsidRDefault="00B840BB" w:rsidP="004E2E76">
      <w:pPr>
        <w:pStyle w:val="BodyTextIndent"/>
        <w:ind w:left="0"/>
        <w:jc w:val="left"/>
        <w:rPr>
          <w:rStyle w:val="shorttext"/>
          <w:rFonts w:asciiTheme="majorBidi" w:hAnsiTheme="majorBidi" w:cstheme="majorBidi"/>
          <w:b/>
          <w:bCs/>
          <w:color w:val="0D0D0D" w:themeColor="text1" w:themeTint="F2"/>
          <w:sz w:val="26"/>
          <w:szCs w:val="26"/>
        </w:rPr>
      </w:pPr>
      <w:r w:rsidRPr="00EB782D">
        <w:rPr>
          <w:rStyle w:val="shorttext"/>
          <w:rFonts w:asciiTheme="majorBidi" w:hAnsiTheme="majorBidi" w:cstheme="majorBidi"/>
          <w:b/>
          <w:bCs/>
          <w:color w:val="0D0D0D" w:themeColor="text1" w:themeTint="F2"/>
          <w:sz w:val="26"/>
          <w:szCs w:val="26"/>
        </w:rPr>
        <w:t>Jerusalem: Intensive Judaization with no controls and continuous demolitions</w:t>
      </w:r>
    </w:p>
    <w:p w14:paraId="6DD5237C" w14:textId="5F22C597" w:rsidR="00B840BB" w:rsidRPr="00EB782D" w:rsidRDefault="00B840BB" w:rsidP="00C304F7">
      <w:pPr>
        <w:bidi w:val="0"/>
        <w:jc w:val="both"/>
        <w:rPr>
          <w:rFonts w:asciiTheme="majorBidi" w:hAnsiTheme="majorBidi" w:cstheme="majorBidi"/>
          <w:color w:val="0D0D0D" w:themeColor="text1" w:themeTint="F2"/>
          <w:sz w:val="26"/>
          <w:szCs w:val="26"/>
        </w:rPr>
      </w:pPr>
      <w:r w:rsidRPr="00EB782D">
        <w:rPr>
          <w:rFonts w:asciiTheme="majorBidi" w:hAnsiTheme="majorBidi" w:cstheme="majorBidi"/>
          <w:color w:val="0D0D0D" w:themeColor="text1" w:themeTint="F2"/>
          <w:sz w:val="26"/>
          <w:szCs w:val="26"/>
        </w:rPr>
        <w:t xml:space="preserve">During 2020, the Israeli occupation demolished and destroyed 976 Palestinian buildings; around 30% of which were in Jerusalem </w:t>
      </w:r>
      <w:r w:rsidR="00FC11DE" w:rsidRPr="00EB782D">
        <w:rPr>
          <w:rFonts w:asciiTheme="majorBidi" w:hAnsiTheme="majorBidi" w:cstheme="majorBidi"/>
          <w:color w:val="0D0D0D" w:themeColor="text1" w:themeTint="F2"/>
          <w:sz w:val="26"/>
          <w:szCs w:val="26"/>
        </w:rPr>
        <w:t>Governorate</w:t>
      </w:r>
      <w:r w:rsidRPr="00EB782D">
        <w:rPr>
          <w:rFonts w:asciiTheme="majorBidi" w:hAnsiTheme="majorBidi" w:cstheme="majorBidi"/>
          <w:color w:val="0D0D0D" w:themeColor="text1" w:themeTint="F2"/>
          <w:sz w:val="26"/>
          <w:szCs w:val="26"/>
        </w:rPr>
        <w:t xml:space="preserve">, 296 demolitions, of which </w:t>
      </w:r>
      <w:r w:rsidR="00FC11DE" w:rsidRPr="00EB782D">
        <w:rPr>
          <w:rFonts w:asciiTheme="majorBidi" w:hAnsiTheme="majorBidi" w:cstheme="majorBidi"/>
          <w:color w:val="0D0D0D" w:themeColor="text1" w:themeTint="F2"/>
          <w:sz w:val="26"/>
          <w:szCs w:val="26"/>
        </w:rPr>
        <w:t xml:space="preserve">180 buildings </w:t>
      </w:r>
      <w:r w:rsidRPr="00EB782D">
        <w:rPr>
          <w:rFonts w:asciiTheme="majorBidi" w:hAnsiTheme="majorBidi" w:cstheme="majorBidi"/>
          <w:color w:val="0D0D0D" w:themeColor="text1" w:themeTint="F2"/>
          <w:sz w:val="26"/>
          <w:szCs w:val="26"/>
        </w:rPr>
        <w:t>were inside the neighborhoods of Jerusalem</w:t>
      </w:r>
      <w:r w:rsidR="00AB72F2" w:rsidRPr="00EB782D">
        <w:rPr>
          <w:rFonts w:asciiTheme="majorBidi" w:hAnsiTheme="majorBidi" w:cstheme="majorBidi"/>
          <w:color w:val="0D0D0D" w:themeColor="text1" w:themeTint="F2"/>
          <w:sz w:val="26"/>
          <w:szCs w:val="26"/>
        </w:rPr>
        <w:t>.</w:t>
      </w:r>
      <w:r w:rsidR="00FC11DE" w:rsidRPr="00EB782D">
        <w:rPr>
          <w:rFonts w:asciiTheme="majorBidi" w:hAnsiTheme="majorBidi" w:cstheme="majorBidi"/>
          <w:color w:val="0D0D0D" w:themeColor="text1" w:themeTint="F2"/>
          <w:sz w:val="26"/>
          <w:szCs w:val="26"/>
        </w:rPr>
        <w:t xml:space="preserve"> Whereas the self-demolition operations for Palestinian buildings reached 89 operations, where most of which located in Jerusalem Governorate. </w:t>
      </w:r>
      <w:r w:rsidRPr="00EB782D">
        <w:rPr>
          <w:rFonts w:asciiTheme="majorBidi" w:hAnsiTheme="majorBidi" w:cstheme="majorBidi"/>
          <w:color w:val="0D0D0D" w:themeColor="text1" w:themeTint="F2"/>
          <w:sz w:val="26"/>
          <w:szCs w:val="26"/>
        </w:rPr>
        <w:t>During the year 2020, the Israeli occupation orders to demolish and stop the construction and restoration of about 1,012 buildings in the West Bank and Jerusalem, an increase of about 45% over 2019</w:t>
      </w:r>
      <w:r w:rsidR="00AB72F2" w:rsidRPr="00EB782D">
        <w:rPr>
          <w:rFonts w:asciiTheme="majorBidi" w:hAnsiTheme="majorBidi" w:cstheme="majorBidi"/>
          <w:color w:val="0D0D0D" w:themeColor="text1" w:themeTint="F2"/>
          <w:sz w:val="26"/>
          <w:szCs w:val="26"/>
        </w:rPr>
        <w:t>.</w:t>
      </w:r>
      <w:r w:rsidRPr="00EB782D">
        <w:rPr>
          <w:rFonts w:asciiTheme="majorBidi" w:hAnsiTheme="majorBidi" w:cstheme="majorBidi"/>
          <w:color w:val="0D0D0D" w:themeColor="text1" w:themeTint="F2"/>
          <w:sz w:val="26"/>
          <w:szCs w:val="26"/>
        </w:rPr>
        <w:t xml:space="preserve"> </w:t>
      </w:r>
      <w:r w:rsidR="00AB72F2" w:rsidRPr="00EB782D">
        <w:rPr>
          <w:rFonts w:asciiTheme="majorBidi" w:hAnsiTheme="majorBidi" w:cstheme="majorBidi"/>
          <w:color w:val="0D0D0D" w:themeColor="text1" w:themeTint="F2"/>
          <w:sz w:val="26"/>
          <w:szCs w:val="26"/>
        </w:rPr>
        <w:t>T</w:t>
      </w:r>
      <w:r w:rsidRPr="00EB782D">
        <w:rPr>
          <w:rFonts w:asciiTheme="majorBidi" w:hAnsiTheme="majorBidi" w:cstheme="majorBidi"/>
          <w:color w:val="0D0D0D" w:themeColor="text1" w:themeTint="F2"/>
          <w:sz w:val="26"/>
          <w:szCs w:val="26"/>
        </w:rPr>
        <w:t xml:space="preserve">he occupation authorities are also placing obstacles </w:t>
      </w:r>
      <w:r w:rsidR="00AB72F2" w:rsidRPr="00EB782D">
        <w:rPr>
          <w:rFonts w:asciiTheme="majorBidi" w:hAnsiTheme="majorBidi" w:cstheme="majorBidi"/>
          <w:color w:val="0D0D0D" w:themeColor="text1" w:themeTint="F2"/>
          <w:sz w:val="26"/>
          <w:szCs w:val="26"/>
        </w:rPr>
        <w:t xml:space="preserve">on </w:t>
      </w:r>
      <w:r w:rsidRPr="00EB782D">
        <w:rPr>
          <w:rFonts w:asciiTheme="majorBidi" w:hAnsiTheme="majorBidi" w:cstheme="majorBidi"/>
          <w:color w:val="0D0D0D" w:themeColor="text1" w:themeTint="F2"/>
          <w:sz w:val="26"/>
          <w:szCs w:val="26"/>
        </w:rPr>
        <w:t>the issuance of building permits to Palestinians.</w:t>
      </w:r>
    </w:p>
    <w:p w14:paraId="24BF3553" w14:textId="77777777" w:rsidR="004D54B7" w:rsidRPr="00EB782D" w:rsidRDefault="004D54B7" w:rsidP="004D54B7">
      <w:pPr>
        <w:bidi w:val="0"/>
        <w:jc w:val="both"/>
        <w:rPr>
          <w:rFonts w:asciiTheme="majorBidi" w:hAnsiTheme="majorBidi" w:cstheme="majorBidi"/>
          <w:b/>
          <w:bCs/>
          <w:color w:val="0D0D0D"/>
          <w:sz w:val="16"/>
          <w:szCs w:val="16"/>
        </w:rPr>
      </w:pPr>
    </w:p>
    <w:p w14:paraId="566D6C92" w14:textId="6AE87300" w:rsidR="00B840BB" w:rsidRPr="00EB782D" w:rsidRDefault="00B840BB" w:rsidP="00B840BB">
      <w:pPr>
        <w:bidi w:val="0"/>
        <w:jc w:val="both"/>
        <w:rPr>
          <w:rFonts w:asciiTheme="majorBidi" w:hAnsiTheme="majorBidi" w:cstheme="majorBidi"/>
          <w:sz w:val="26"/>
          <w:szCs w:val="26"/>
        </w:rPr>
      </w:pPr>
      <w:r w:rsidRPr="00EB782D">
        <w:rPr>
          <w:rFonts w:asciiTheme="majorBidi" w:hAnsiTheme="majorBidi" w:cstheme="majorBidi"/>
          <w:sz w:val="26"/>
          <w:szCs w:val="26"/>
        </w:rPr>
        <w:t xml:space="preserve">The occupation forces policy of the demolishing Palestinian-owned buildings and the resulting displacement of residents from their homes </w:t>
      </w:r>
      <w:r w:rsidR="00BC0FD4" w:rsidRPr="00EB782D">
        <w:rPr>
          <w:rFonts w:asciiTheme="majorBidi" w:hAnsiTheme="majorBidi" w:cstheme="majorBidi"/>
          <w:sz w:val="26"/>
          <w:szCs w:val="26"/>
        </w:rPr>
        <w:t xml:space="preserve">in </w:t>
      </w:r>
      <w:r w:rsidRPr="00EB782D">
        <w:rPr>
          <w:rFonts w:asciiTheme="majorBidi" w:hAnsiTheme="majorBidi" w:cstheme="majorBidi"/>
          <w:sz w:val="26"/>
          <w:szCs w:val="26"/>
        </w:rPr>
        <w:t xml:space="preserve">the West Bank has not stopped. The United Nations Office for the Coordination of Humanitarian Affairs (OCHA) has documented that the occupation forces have demolished 7,514 structures since 2009, including 1,343 donors-funded structures, which led to the displacement of 11,356 </w:t>
      </w:r>
      <w:r w:rsidR="00BC0FD4" w:rsidRPr="00EB782D">
        <w:rPr>
          <w:rFonts w:asciiTheme="majorBidi" w:hAnsiTheme="majorBidi" w:cstheme="majorBidi"/>
          <w:sz w:val="26"/>
          <w:szCs w:val="26"/>
        </w:rPr>
        <w:t>persons, w</w:t>
      </w:r>
      <w:r w:rsidRPr="00EB782D">
        <w:rPr>
          <w:rFonts w:asciiTheme="majorBidi" w:hAnsiTheme="majorBidi" w:cstheme="majorBidi"/>
          <w:sz w:val="26"/>
          <w:szCs w:val="26"/>
        </w:rPr>
        <w:t xml:space="preserve">hile 123,788 </w:t>
      </w:r>
      <w:r w:rsidR="00BC0FD4" w:rsidRPr="00EB782D">
        <w:rPr>
          <w:rFonts w:asciiTheme="majorBidi" w:hAnsiTheme="majorBidi" w:cstheme="majorBidi"/>
          <w:sz w:val="26"/>
          <w:szCs w:val="26"/>
        </w:rPr>
        <w:t xml:space="preserve">persons </w:t>
      </w:r>
      <w:r w:rsidRPr="00EB782D">
        <w:rPr>
          <w:rFonts w:asciiTheme="majorBidi" w:hAnsiTheme="majorBidi" w:cstheme="majorBidi"/>
          <w:sz w:val="26"/>
          <w:szCs w:val="26"/>
        </w:rPr>
        <w:t>were affected</w:t>
      </w:r>
      <w:r w:rsidR="00BC0FD4" w:rsidRPr="00EB782D">
        <w:rPr>
          <w:rFonts w:asciiTheme="majorBidi" w:hAnsiTheme="majorBidi" w:cstheme="majorBidi"/>
          <w:sz w:val="26"/>
          <w:szCs w:val="26"/>
        </w:rPr>
        <w:t xml:space="preserve">. The </w:t>
      </w:r>
      <w:r w:rsidRPr="00EB782D">
        <w:rPr>
          <w:rFonts w:asciiTheme="majorBidi" w:hAnsiTheme="majorBidi" w:cstheme="majorBidi"/>
          <w:sz w:val="26"/>
          <w:szCs w:val="26"/>
        </w:rPr>
        <w:t xml:space="preserve">demolitions were distributed by 19% in East Jerusalem, in addition to 79% in </w:t>
      </w:r>
      <w:r w:rsidR="00BC0FD4" w:rsidRPr="00EB782D">
        <w:rPr>
          <w:rFonts w:asciiTheme="majorBidi" w:hAnsiTheme="majorBidi" w:cstheme="majorBidi"/>
          <w:sz w:val="26"/>
          <w:szCs w:val="26"/>
        </w:rPr>
        <w:t xml:space="preserve">areas classified as </w:t>
      </w:r>
      <w:r w:rsidRPr="00EB782D">
        <w:rPr>
          <w:rFonts w:asciiTheme="majorBidi" w:hAnsiTheme="majorBidi" w:cstheme="majorBidi"/>
          <w:sz w:val="26"/>
          <w:szCs w:val="26"/>
        </w:rPr>
        <w:t xml:space="preserve">C and about 2% of the demolitions in </w:t>
      </w:r>
      <w:r w:rsidR="00BC0FD4" w:rsidRPr="00EB782D">
        <w:rPr>
          <w:rFonts w:asciiTheme="majorBidi" w:hAnsiTheme="majorBidi" w:cstheme="majorBidi"/>
          <w:sz w:val="26"/>
          <w:szCs w:val="26"/>
        </w:rPr>
        <w:t xml:space="preserve">areas classified </w:t>
      </w:r>
      <w:r w:rsidRPr="00EB782D">
        <w:rPr>
          <w:rFonts w:asciiTheme="majorBidi" w:hAnsiTheme="majorBidi" w:cstheme="majorBidi"/>
          <w:sz w:val="26"/>
          <w:szCs w:val="26"/>
        </w:rPr>
        <w:t>A and B</w:t>
      </w:r>
      <w:r w:rsidR="00BC0FD4" w:rsidRPr="00EB782D">
        <w:rPr>
          <w:rFonts w:asciiTheme="majorBidi" w:hAnsiTheme="majorBidi" w:cstheme="majorBidi"/>
          <w:sz w:val="26"/>
          <w:szCs w:val="26"/>
        </w:rPr>
        <w:t xml:space="preserve">. Furthermore, </w:t>
      </w:r>
      <w:r w:rsidRPr="00EB782D">
        <w:rPr>
          <w:rFonts w:asciiTheme="majorBidi" w:hAnsiTheme="majorBidi" w:cstheme="majorBidi"/>
          <w:sz w:val="26"/>
          <w:szCs w:val="26"/>
        </w:rPr>
        <w:t xml:space="preserve">OCHA documented about 851 structures demolished </w:t>
      </w:r>
      <w:r w:rsidR="00BC0FD4" w:rsidRPr="00EB782D">
        <w:rPr>
          <w:rFonts w:asciiTheme="majorBidi" w:hAnsiTheme="majorBidi" w:cstheme="majorBidi"/>
          <w:sz w:val="26"/>
          <w:szCs w:val="26"/>
        </w:rPr>
        <w:t>in</w:t>
      </w:r>
      <w:r w:rsidRPr="00EB782D">
        <w:rPr>
          <w:rFonts w:asciiTheme="majorBidi" w:hAnsiTheme="majorBidi" w:cstheme="majorBidi"/>
          <w:sz w:val="26"/>
          <w:szCs w:val="26"/>
        </w:rPr>
        <w:t xml:space="preserve"> 2020, of which 157 are donors-funded structures, which led to the displacement of 1</w:t>
      </w:r>
      <w:r w:rsidR="00C304F7" w:rsidRPr="00EB782D">
        <w:rPr>
          <w:rFonts w:asciiTheme="majorBidi" w:hAnsiTheme="majorBidi" w:cstheme="majorBidi"/>
          <w:sz w:val="26"/>
          <w:szCs w:val="26"/>
        </w:rPr>
        <w:t>,</w:t>
      </w:r>
      <w:r w:rsidRPr="00EB782D">
        <w:rPr>
          <w:rFonts w:asciiTheme="majorBidi" w:hAnsiTheme="majorBidi" w:cstheme="majorBidi"/>
          <w:sz w:val="26"/>
          <w:szCs w:val="26"/>
        </w:rPr>
        <w:t xml:space="preserve">001 citizens and </w:t>
      </w:r>
      <w:r w:rsidR="00BC0FD4" w:rsidRPr="00EB782D">
        <w:rPr>
          <w:rFonts w:asciiTheme="majorBidi" w:hAnsiTheme="majorBidi" w:cstheme="majorBidi"/>
          <w:sz w:val="26"/>
          <w:szCs w:val="26"/>
        </w:rPr>
        <w:t xml:space="preserve">5,389 citizens were </w:t>
      </w:r>
      <w:r w:rsidRPr="00EB782D">
        <w:rPr>
          <w:rFonts w:asciiTheme="majorBidi" w:hAnsiTheme="majorBidi" w:cstheme="majorBidi"/>
          <w:sz w:val="26"/>
          <w:szCs w:val="26"/>
        </w:rPr>
        <w:t>affected</w:t>
      </w:r>
      <w:r w:rsidR="00BC0FD4" w:rsidRPr="00EB782D">
        <w:rPr>
          <w:rFonts w:asciiTheme="majorBidi" w:hAnsiTheme="majorBidi" w:cstheme="majorBidi"/>
          <w:sz w:val="26"/>
          <w:szCs w:val="26"/>
        </w:rPr>
        <w:t xml:space="preserve">. </w:t>
      </w:r>
      <w:r w:rsidRPr="00EB782D">
        <w:rPr>
          <w:rFonts w:asciiTheme="majorBidi" w:hAnsiTheme="majorBidi" w:cstheme="majorBidi"/>
          <w:sz w:val="26"/>
          <w:szCs w:val="26"/>
        </w:rPr>
        <w:t xml:space="preserve">Khirbet </w:t>
      </w:r>
      <w:proofErr w:type="spellStart"/>
      <w:r w:rsidRPr="00EB782D">
        <w:rPr>
          <w:rFonts w:asciiTheme="majorBidi" w:hAnsiTheme="majorBidi" w:cstheme="majorBidi"/>
          <w:sz w:val="26"/>
          <w:szCs w:val="26"/>
        </w:rPr>
        <w:t>Homsa</w:t>
      </w:r>
      <w:proofErr w:type="spellEnd"/>
      <w:r w:rsidRPr="00EB782D">
        <w:rPr>
          <w:rFonts w:asciiTheme="majorBidi" w:hAnsiTheme="majorBidi" w:cstheme="majorBidi"/>
          <w:sz w:val="26"/>
          <w:szCs w:val="26"/>
        </w:rPr>
        <w:t xml:space="preserve"> in the Jordan Valley represented the vivid picture of the systematic demolitions</w:t>
      </w:r>
      <w:r w:rsidR="00BC0FD4" w:rsidRPr="00EB782D">
        <w:rPr>
          <w:rFonts w:asciiTheme="majorBidi" w:hAnsiTheme="majorBidi" w:cstheme="majorBidi"/>
          <w:sz w:val="26"/>
          <w:szCs w:val="26"/>
        </w:rPr>
        <w:t xml:space="preserve">. This </w:t>
      </w:r>
      <w:proofErr w:type="spellStart"/>
      <w:r w:rsidR="00BC0FD4" w:rsidRPr="00EB782D">
        <w:rPr>
          <w:rFonts w:asciiTheme="majorBidi" w:hAnsiTheme="majorBidi" w:cstheme="majorBidi"/>
          <w:sz w:val="26"/>
          <w:szCs w:val="26"/>
        </w:rPr>
        <w:t>locaity</w:t>
      </w:r>
      <w:proofErr w:type="spellEnd"/>
      <w:r w:rsidR="00BC0FD4" w:rsidRPr="00EB782D">
        <w:rPr>
          <w:rFonts w:asciiTheme="majorBidi" w:hAnsiTheme="majorBidi" w:cstheme="majorBidi"/>
          <w:sz w:val="26"/>
          <w:szCs w:val="26"/>
        </w:rPr>
        <w:t xml:space="preserve"> was</w:t>
      </w:r>
      <w:r w:rsidRPr="00EB782D">
        <w:rPr>
          <w:rFonts w:asciiTheme="majorBidi" w:hAnsiTheme="majorBidi" w:cstheme="majorBidi"/>
          <w:sz w:val="26"/>
          <w:szCs w:val="26"/>
        </w:rPr>
        <w:t xml:space="preserve"> demolished three times during the last quarter of 2020, where dozens of families live in Khirbet </w:t>
      </w:r>
      <w:proofErr w:type="spellStart"/>
      <w:r w:rsidRPr="00EB782D">
        <w:rPr>
          <w:rFonts w:asciiTheme="majorBidi" w:hAnsiTheme="majorBidi" w:cstheme="majorBidi"/>
          <w:sz w:val="26"/>
          <w:szCs w:val="26"/>
        </w:rPr>
        <w:t>Homsa</w:t>
      </w:r>
      <w:proofErr w:type="spellEnd"/>
      <w:r w:rsidRPr="00EB782D">
        <w:rPr>
          <w:rFonts w:asciiTheme="majorBidi" w:hAnsiTheme="majorBidi" w:cstheme="majorBidi"/>
          <w:sz w:val="26"/>
          <w:szCs w:val="26"/>
        </w:rPr>
        <w:t>, including more than 40 children</w:t>
      </w:r>
      <w:r w:rsidRPr="00EB782D">
        <w:rPr>
          <w:rFonts w:asciiTheme="majorBidi" w:hAnsiTheme="majorBidi" w:cstheme="majorBidi"/>
          <w:sz w:val="26"/>
          <w:szCs w:val="26"/>
          <w:rtl/>
        </w:rPr>
        <w:t>.</w:t>
      </w:r>
    </w:p>
    <w:p w14:paraId="3EEAF874" w14:textId="77777777" w:rsidR="00B840BB" w:rsidRPr="00EB782D" w:rsidRDefault="00B840BB" w:rsidP="00B840BB">
      <w:pPr>
        <w:bidi w:val="0"/>
        <w:jc w:val="both"/>
        <w:rPr>
          <w:rFonts w:asciiTheme="majorBidi" w:hAnsiTheme="majorBidi" w:cstheme="majorBidi"/>
          <w:b/>
          <w:bCs/>
          <w:color w:val="0D0D0D"/>
          <w:sz w:val="26"/>
          <w:szCs w:val="26"/>
        </w:rPr>
      </w:pPr>
    </w:p>
    <w:p w14:paraId="2A0A8D2F" w14:textId="77777777" w:rsidR="00664EDA" w:rsidRDefault="00664EDA" w:rsidP="00A21E0C">
      <w:pPr>
        <w:pStyle w:val="BodyTextIndent"/>
        <w:ind w:left="0"/>
        <w:jc w:val="center"/>
        <w:rPr>
          <w:rFonts w:asciiTheme="majorBidi" w:hAnsiTheme="majorBidi" w:cstheme="majorBidi"/>
          <w:b/>
          <w:bCs/>
          <w:color w:val="0D0D0D" w:themeColor="text1" w:themeTint="F2"/>
          <w:sz w:val="26"/>
          <w:szCs w:val="26"/>
          <w:rtl/>
        </w:rPr>
      </w:pPr>
    </w:p>
    <w:p w14:paraId="37474B03" w14:textId="77777777" w:rsidR="00664EDA" w:rsidRDefault="00664EDA" w:rsidP="00A21E0C">
      <w:pPr>
        <w:pStyle w:val="BodyTextIndent"/>
        <w:ind w:left="0"/>
        <w:jc w:val="center"/>
        <w:rPr>
          <w:rFonts w:asciiTheme="majorBidi" w:hAnsiTheme="majorBidi" w:cstheme="majorBidi"/>
          <w:b/>
          <w:bCs/>
          <w:color w:val="0D0D0D" w:themeColor="text1" w:themeTint="F2"/>
          <w:sz w:val="26"/>
          <w:szCs w:val="26"/>
          <w:rtl/>
        </w:rPr>
      </w:pPr>
    </w:p>
    <w:p w14:paraId="0D3FB08B" w14:textId="77777777" w:rsidR="00664EDA" w:rsidRDefault="00664EDA" w:rsidP="00A21E0C">
      <w:pPr>
        <w:pStyle w:val="BodyTextIndent"/>
        <w:ind w:left="0"/>
        <w:jc w:val="center"/>
        <w:rPr>
          <w:rFonts w:asciiTheme="majorBidi" w:hAnsiTheme="majorBidi" w:cstheme="majorBidi"/>
          <w:b/>
          <w:bCs/>
          <w:color w:val="0D0D0D" w:themeColor="text1" w:themeTint="F2"/>
          <w:sz w:val="26"/>
          <w:szCs w:val="26"/>
          <w:rtl/>
        </w:rPr>
      </w:pPr>
    </w:p>
    <w:p w14:paraId="4698EC60" w14:textId="77777777" w:rsidR="00664EDA" w:rsidRDefault="00664EDA" w:rsidP="00A21E0C">
      <w:pPr>
        <w:pStyle w:val="BodyTextIndent"/>
        <w:ind w:left="0"/>
        <w:jc w:val="center"/>
        <w:rPr>
          <w:rFonts w:asciiTheme="majorBidi" w:hAnsiTheme="majorBidi" w:cstheme="majorBidi"/>
          <w:b/>
          <w:bCs/>
          <w:color w:val="0D0D0D" w:themeColor="text1" w:themeTint="F2"/>
          <w:sz w:val="26"/>
          <w:szCs w:val="26"/>
          <w:rtl/>
        </w:rPr>
      </w:pPr>
    </w:p>
    <w:p w14:paraId="1881875E" w14:textId="77777777" w:rsidR="00664EDA" w:rsidRDefault="00664EDA" w:rsidP="00A21E0C">
      <w:pPr>
        <w:pStyle w:val="BodyTextIndent"/>
        <w:ind w:left="0"/>
        <w:jc w:val="center"/>
        <w:rPr>
          <w:rFonts w:asciiTheme="majorBidi" w:hAnsiTheme="majorBidi" w:cstheme="majorBidi"/>
          <w:b/>
          <w:bCs/>
          <w:color w:val="0D0D0D" w:themeColor="text1" w:themeTint="F2"/>
          <w:sz w:val="26"/>
          <w:szCs w:val="26"/>
          <w:rtl/>
        </w:rPr>
      </w:pPr>
    </w:p>
    <w:p w14:paraId="5A75FBC5" w14:textId="77777777" w:rsidR="00664EDA" w:rsidRDefault="00664EDA" w:rsidP="00A21E0C">
      <w:pPr>
        <w:pStyle w:val="BodyTextIndent"/>
        <w:ind w:left="0"/>
        <w:jc w:val="center"/>
        <w:rPr>
          <w:rFonts w:asciiTheme="majorBidi" w:hAnsiTheme="majorBidi" w:cstheme="majorBidi"/>
          <w:b/>
          <w:bCs/>
          <w:color w:val="0D0D0D" w:themeColor="text1" w:themeTint="F2"/>
          <w:sz w:val="26"/>
          <w:szCs w:val="26"/>
          <w:rtl/>
        </w:rPr>
      </w:pPr>
    </w:p>
    <w:p w14:paraId="574A44B1" w14:textId="0CE8CFBB" w:rsidR="00A21E0C" w:rsidRPr="00EB782D" w:rsidRDefault="00A21E0C" w:rsidP="00A21E0C">
      <w:pPr>
        <w:pStyle w:val="BodyTextIndent"/>
        <w:ind w:left="0"/>
        <w:jc w:val="center"/>
        <w:rPr>
          <w:rFonts w:asciiTheme="majorBidi" w:hAnsiTheme="majorBidi" w:cstheme="majorBidi"/>
          <w:b/>
          <w:bCs/>
          <w:color w:val="0D0D0D" w:themeColor="text1" w:themeTint="F2"/>
          <w:sz w:val="26"/>
          <w:szCs w:val="26"/>
        </w:rPr>
      </w:pPr>
      <w:r w:rsidRPr="00EB782D">
        <w:rPr>
          <w:rFonts w:asciiTheme="majorBidi" w:hAnsiTheme="majorBidi" w:cstheme="majorBidi"/>
          <w:b/>
          <w:bCs/>
          <w:color w:val="0D0D0D" w:themeColor="text1" w:themeTint="F2"/>
          <w:sz w:val="26"/>
          <w:szCs w:val="26"/>
        </w:rPr>
        <w:t>Self-Demolitions 2006 - 2020</w:t>
      </w:r>
    </w:p>
    <w:p w14:paraId="573A303D" w14:textId="77777777" w:rsidR="00A21E0C" w:rsidRPr="00EB782D" w:rsidRDefault="00302C69" w:rsidP="00664EDA">
      <w:pPr>
        <w:pStyle w:val="BodyTextIndent"/>
        <w:ind w:left="0"/>
        <w:jc w:val="center"/>
        <w:rPr>
          <w:rFonts w:asciiTheme="majorBidi" w:hAnsiTheme="majorBidi" w:cstheme="majorBidi"/>
          <w:color w:val="0D0D0D" w:themeColor="text1" w:themeTint="F2"/>
          <w:sz w:val="26"/>
          <w:szCs w:val="26"/>
        </w:rPr>
      </w:pPr>
      <w:r w:rsidRPr="00EB782D">
        <w:rPr>
          <w:rFonts w:asciiTheme="majorBidi" w:hAnsiTheme="majorBidi" w:cstheme="majorBidi"/>
          <w:noProof/>
          <w:color w:val="0D0D0D" w:themeColor="text1" w:themeTint="F2"/>
          <w:sz w:val="26"/>
          <w:szCs w:val="26"/>
          <w:lang w:eastAsia="en-US"/>
        </w:rPr>
        <w:drawing>
          <wp:inline distT="0" distB="0" distL="0" distR="0" wp14:anchorId="61D26ED0" wp14:editId="2087EA0F">
            <wp:extent cx="3086100" cy="1905000"/>
            <wp:effectExtent l="0" t="0" r="0" b="0"/>
            <wp:docPr id="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596A40" w14:textId="77777777" w:rsidR="004D54B7" w:rsidRPr="00EB782D" w:rsidRDefault="004D54B7" w:rsidP="004D54B7">
      <w:pPr>
        <w:bidi w:val="0"/>
        <w:jc w:val="both"/>
        <w:rPr>
          <w:rFonts w:asciiTheme="majorBidi" w:hAnsiTheme="majorBidi" w:cstheme="majorBidi"/>
          <w:b/>
          <w:bCs/>
          <w:color w:val="0D0D0D"/>
          <w:sz w:val="16"/>
          <w:szCs w:val="16"/>
        </w:rPr>
      </w:pPr>
    </w:p>
    <w:p w14:paraId="774E0E23" w14:textId="09A00509" w:rsidR="00302C69" w:rsidRPr="00EB782D" w:rsidRDefault="00302C69" w:rsidP="00947CF9">
      <w:pPr>
        <w:pStyle w:val="BodyTextIndent"/>
        <w:ind w:left="0"/>
        <w:jc w:val="left"/>
        <w:rPr>
          <w:rFonts w:asciiTheme="majorBidi" w:hAnsiTheme="majorBidi" w:cstheme="majorBidi"/>
          <w:b/>
          <w:bCs/>
          <w:color w:val="0D0D0D" w:themeColor="text1" w:themeTint="F2"/>
          <w:sz w:val="26"/>
          <w:szCs w:val="26"/>
        </w:rPr>
      </w:pPr>
      <w:r w:rsidRPr="00EB782D">
        <w:rPr>
          <w:rFonts w:asciiTheme="majorBidi" w:hAnsiTheme="majorBidi" w:cstheme="majorBidi"/>
          <w:b/>
          <w:bCs/>
          <w:color w:val="0D0D0D" w:themeColor="text1" w:themeTint="F2"/>
          <w:sz w:val="26"/>
          <w:szCs w:val="26"/>
        </w:rPr>
        <w:t>Israeli Violations against the Palestinians</w:t>
      </w:r>
    </w:p>
    <w:p w14:paraId="08813C58" w14:textId="79F6135D" w:rsidR="00302C69" w:rsidRPr="00EB782D" w:rsidRDefault="00302C69" w:rsidP="00C304F7">
      <w:pPr>
        <w:pStyle w:val="BodyTextIndent"/>
        <w:ind w:left="0"/>
        <w:rPr>
          <w:rFonts w:asciiTheme="majorBidi" w:hAnsiTheme="majorBidi" w:cstheme="majorBidi"/>
          <w:color w:val="0D0D0D" w:themeColor="text1" w:themeTint="F2"/>
          <w:sz w:val="26"/>
          <w:szCs w:val="26"/>
        </w:rPr>
      </w:pPr>
      <w:r w:rsidRPr="00EB782D">
        <w:rPr>
          <w:rFonts w:asciiTheme="majorBidi" w:hAnsiTheme="majorBidi" w:cstheme="majorBidi"/>
          <w:sz w:val="26"/>
          <w:szCs w:val="26"/>
        </w:rPr>
        <w:t>The number of Palestinian and Arab martyrs killed since the Nakba in 1948 and until this day (inside and outside Palestine) reached about 100 thousand martyrs</w:t>
      </w:r>
      <w:r w:rsidRPr="00EB782D">
        <w:rPr>
          <w:rStyle w:val="FootnoteReference"/>
          <w:rFonts w:asciiTheme="majorBidi" w:hAnsiTheme="majorBidi" w:cstheme="majorBidi"/>
          <w:sz w:val="26"/>
          <w:szCs w:val="26"/>
          <w:rtl/>
        </w:rPr>
        <w:footnoteReference w:id="1"/>
      </w:r>
      <w:r w:rsidRPr="00EB782D">
        <w:rPr>
          <w:rFonts w:asciiTheme="majorBidi" w:hAnsiTheme="majorBidi" w:cstheme="majorBidi"/>
          <w:sz w:val="26"/>
          <w:szCs w:val="26"/>
        </w:rPr>
        <w:t>. Moreover, the number of martyrs killed in Al-Aqsa Intifada between September 29</w:t>
      </w:r>
      <w:r w:rsidRPr="00EB782D">
        <w:rPr>
          <w:rFonts w:asciiTheme="majorBidi" w:hAnsiTheme="majorBidi" w:cstheme="majorBidi"/>
          <w:sz w:val="26"/>
          <w:szCs w:val="26"/>
          <w:vertAlign w:val="superscript"/>
        </w:rPr>
        <w:t>th</w:t>
      </w:r>
      <w:r w:rsidR="006967DA" w:rsidRPr="00EB782D">
        <w:rPr>
          <w:rFonts w:asciiTheme="majorBidi" w:hAnsiTheme="majorBidi" w:cstheme="majorBidi"/>
          <w:sz w:val="26"/>
          <w:szCs w:val="26"/>
        </w:rPr>
        <w:t>,</w:t>
      </w:r>
      <w:r w:rsidRPr="00EB782D">
        <w:rPr>
          <w:rFonts w:asciiTheme="majorBidi" w:hAnsiTheme="majorBidi" w:cstheme="majorBidi"/>
          <w:sz w:val="26"/>
          <w:szCs w:val="26"/>
        </w:rPr>
        <w:t xml:space="preserve"> 2000 until December 31</w:t>
      </w:r>
      <w:r w:rsidRPr="00EB782D">
        <w:rPr>
          <w:rFonts w:asciiTheme="majorBidi" w:hAnsiTheme="majorBidi" w:cstheme="majorBidi"/>
          <w:sz w:val="26"/>
          <w:szCs w:val="26"/>
          <w:vertAlign w:val="superscript"/>
        </w:rPr>
        <w:t>st</w:t>
      </w:r>
      <w:r w:rsidR="006967DA" w:rsidRPr="00EB782D">
        <w:rPr>
          <w:rFonts w:asciiTheme="majorBidi" w:hAnsiTheme="majorBidi" w:cstheme="majorBidi"/>
          <w:sz w:val="26"/>
          <w:szCs w:val="26"/>
        </w:rPr>
        <w:t>,</w:t>
      </w:r>
      <w:r w:rsidRPr="00EB782D">
        <w:rPr>
          <w:rFonts w:asciiTheme="majorBidi" w:hAnsiTheme="majorBidi" w:cstheme="majorBidi"/>
          <w:sz w:val="26"/>
          <w:szCs w:val="26"/>
        </w:rPr>
        <w:t xml:space="preserve"> 2020 was 10,969.  It is said that the bloodiest year was 2014 with 2,240 Palestinian martyrs, 2,181 of them were from Gaza Strip during the war on Gaza</w:t>
      </w:r>
      <w:r w:rsidRPr="00EB782D">
        <w:rPr>
          <w:rFonts w:asciiTheme="majorBidi" w:hAnsiTheme="majorBidi" w:cstheme="majorBidi"/>
          <w:color w:val="0D0D0D" w:themeColor="text1" w:themeTint="F2"/>
          <w:sz w:val="26"/>
          <w:szCs w:val="26"/>
        </w:rPr>
        <w:t xml:space="preserve">. During </w:t>
      </w:r>
      <w:r w:rsidR="00655AD7" w:rsidRPr="00EB782D">
        <w:rPr>
          <w:rFonts w:asciiTheme="majorBidi" w:hAnsiTheme="majorBidi" w:cstheme="majorBidi"/>
          <w:color w:val="0D0D0D" w:themeColor="text1" w:themeTint="F2"/>
          <w:sz w:val="26"/>
          <w:szCs w:val="26"/>
        </w:rPr>
        <w:t>2020</w:t>
      </w:r>
      <w:r w:rsidRPr="00EB782D">
        <w:rPr>
          <w:rFonts w:asciiTheme="majorBidi" w:hAnsiTheme="majorBidi" w:cstheme="majorBidi"/>
          <w:color w:val="0D0D0D" w:themeColor="text1" w:themeTint="F2"/>
          <w:sz w:val="26"/>
          <w:szCs w:val="26"/>
        </w:rPr>
        <w:t xml:space="preserve">, the number of Palestinian martyrs reached </w:t>
      </w:r>
      <w:r w:rsidR="00655AD7" w:rsidRPr="00EB782D">
        <w:rPr>
          <w:rFonts w:asciiTheme="majorBidi" w:hAnsiTheme="majorBidi" w:cstheme="majorBidi"/>
          <w:color w:val="0D0D0D" w:themeColor="text1" w:themeTint="F2"/>
          <w:sz w:val="26"/>
          <w:szCs w:val="26"/>
        </w:rPr>
        <w:t>43</w:t>
      </w:r>
      <w:r w:rsidRPr="00EB782D">
        <w:rPr>
          <w:rFonts w:asciiTheme="majorBidi" w:hAnsiTheme="majorBidi" w:cstheme="majorBidi"/>
          <w:color w:val="0D0D0D" w:themeColor="text1" w:themeTint="F2"/>
          <w:sz w:val="26"/>
          <w:szCs w:val="26"/>
        </w:rPr>
        <w:t xml:space="preserve">, </w:t>
      </w:r>
      <w:r w:rsidR="00655AD7" w:rsidRPr="00EB782D">
        <w:rPr>
          <w:rFonts w:asciiTheme="majorBidi" w:hAnsiTheme="majorBidi" w:cstheme="majorBidi"/>
          <w:color w:val="0D0D0D" w:themeColor="text1" w:themeTint="F2"/>
          <w:sz w:val="26"/>
          <w:szCs w:val="26"/>
        </w:rPr>
        <w:t>9</w:t>
      </w:r>
      <w:r w:rsidRPr="00EB782D">
        <w:rPr>
          <w:rFonts w:asciiTheme="majorBidi" w:hAnsiTheme="majorBidi" w:cstheme="majorBidi"/>
          <w:color w:val="0D0D0D" w:themeColor="text1" w:themeTint="F2"/>
          <w:sz w:val="26"/>
          <w:szCs w:val="26"/>
        </w:rPr>
        <w:t xml:space="preserve"> of whom were children and </w:t>
      </w:r>
      <w:r w:rsidR="00655AD7" w:rsidRPr="00EB782D">
        <w:rPr>
          <w:rFonts w:asciiTheme="majorBidi" w:hAnsiTheme="majorBidi" w:cstheme="majorBidi"/>
          <w:color w:val="0D0D0D" w:themeColor="text1" w:themeTint="F2"/>
          <w:sz w:val="26"/>
          <w:szCs w:val="26"/>
        </w:rPr>
        <w:t>3</w:t>
      </w:r>
      <w:r w:rsidRPr="00EB782D">
        <w:rPr>
          <w:rFonts w:asciiTheme="majorBidi" w:hAnsiTheme="majorBidi" w:cstheme="majorBidi"/>
          <w:color w:val="0D0D0D" w:themeColor="text1" w:themeTint="F2"/>
          <w:sz w:val="26"/>
          <w:szCs w:val="26"/>
        </w:rPr>
        <w:t xml:space="preserve"> women. While the number of the wounded Palestinians during the year </w:t>
      </w:r>
      <w:r w:rsidR="00655AD7" w:rsidRPr="00EB782D">
        <w:rPr>
          <w:rFonts w:asciiTheme="majorBidi" w:hAnsiTheme="majorBidi" w:cstheme="majorBidi"/>
          <w:color w:val="0D0D0D" w:themeColor="text1" w:themeTint="F2"/>
          <w:sz w:val="26"/>
          <w:szCs w:val="26"/>
        </w:rPr>
        <w:t>2020</w:t>
      </w:r>
      <w:r w:rsidRPr="00EB782D">
        <w:rPr>
          <w:rFonts w:asciiTheme="majorBidi" w:hAnsiTheme="majorBidi" w:cstheme="majorBidi"/>
          <w:color w:val="0D0D0D" w:themeColor="text1" w:themeTint="F2"/>
          <w:sz w:val="26"/>
          <w:szCs w:val="26"/>
        </w:rPr>
        <w:t xml:space="preserve"> reached about </w:t>
      </w:r>
      <w:r w:rsidR="00655AD7" w:rsidRPr="00EB782D">
        <w:rPr>
          <w:rFonts w:asciiTheme="majorBidi" w:hAnsiTheme="majorBidi" w:cstheme="majorBidi"/>
          <w:color w:val="0D0D0D" w:themeColor="text1" w:themeTint="F2"/>
          <w:sz w:val="26"/>
          <w:szCs w:val="26"/>
        </w:rPr>
        <w:t>1,650</w:t>
      </w:r>
      <w:r w:rsidRPr="00EB782D">
        <w:rPr>
          <w:rFonts w:asciiTheme="majorBidi" w:hAnsiTheme="majorBidi" w:cstheme="majorBidi"/>
          <w:color w:val="0D0D0D" w:themeColor="text1" w:themeTint="F2"/>
          <w:sz w:val="26"/>
          <w:szCs w:val="26"/>
        </w:rPr>
        <w:t xml:space="preserve">. </w:t>
      </w:r>
      <w:r w:rsidRPr="00EB782D">
        <w:rPr>
          <w:rFonts w:asciiTheme="majorBidi" w:hAnsiTheme="majorBidi" w:cstheme="majorBidi"/>
          <w:sz w:val="26"/>
          <w:szCs w:val="26"/>
        </w:rPr>
        <w:t xml:space="preserve">By the end of </w:t>
      </w:r>
      <w:r w:rsidR="00655AD7" w:rsidRPr="00EB782D">
        <w:rPr>
          <w:rFonts w:asciiTheme="majorBidi" w:hAnsiTheme="majorBidi" w:cstheme="majorBidi"/>
          <w:sz w:val="26"/>
          <w:szCs w:val="26"/>
        </w:rPr>
        <w:t>2020</w:t>
      </w:r>
      <w:r w:rsidRPr="00EB782D">
        <w:rPr>
          <w:rFonts w:asciiTheme="majorBidi" w:hAnsiTheme="majorBidi" w:cstheme="majorBidi"/>
          <w:sz w:val="26"/>
          <w:szCs w:val="26"/>
        </w:rPr>
        <w:t xml:space="preserve">, there were </w:t>
      </w:r>
      <w:r w:rsidR="00655AD7" w:rsidRPr="00EB782D">
        <w:rPr>
          <w:rFonts w:asciiTheme="majorBidi" w:hAnsiTheme="majorBidi" w:cstheme="majorBidi"/>
          <w:sz w:val="26"/>
          <w:szCs w:val="26"/>
        </w:rPr>
        <w:t>4,400</w:t>
      </w:r>
      <w:r w:rsidRPr="00EB782D">
        <w:rPr>
          <w:rFonts w:asciiTheme="majorBidi" w:hAnsiTheme="majorBidi" w:cstheme="majorBidi"/>
          <w:sz w:val="26"/>
          <w:szCs w:val="26"/>
        </w:rPr>
        <w:t xml:space="preserve"> Palestinian detainees in the Israeli occupation prisons, </w:t>
      </w:r>
      <w:r w:rsidR="00655AD7" w:rsidRPr="00EB782D">
        <w:rPr>
          <w:rFonts w:asciiTheme="majorBidi" w:hAnsiTheme="majorBidi" w:cstheme="majorBidi"/>
          <w:sz w:val="26"/>
          <w:szCs w:val="26"/>
        </w:rPr>
        <w:t>170</w:t>
      </w:r>
      <w:r w:rsidRPr="00EB782D">
        <w:rPr>
          <w:rFonts w:asciiTheme="majorBidi" w:hAnsiTheme="majorBidi" w:cstheme="majorBidi"/>
          <w:sz w:val="26"/>
          <w:szCs w:val="26"/>
        </w:rPr>
        <w:t xml:space="preserve"> of them are children and </w:t>
      </w:r>
      <w:r w:rsidR="006D4037" w:rsidRPr="00EB782D">
        <w:rPr>
          <w:rFonts w:asciiTheme="majorBidi" w:hAnsiTheme="majorBidi" w:cstheme="majorBidi"/>
          <w:sz w:val="26"/>
          <w:szCs w:val="26"/>
          <w:rtl/>
        </w:rPr>
        <w:t>35</w:t>
      </w:r>
      <w:r w:rsidRPr="00EB782D">
        <w:rPr>
          <w:rFonts w:asciiTheme="majorBidi" w:hAnsiTheme="majorBidi" w:cstheme="majorBidi"/>
          <w:sz w:val="26"/>
          <w:szCs w:val="26"/>
        </w:rPr>
        <w:t xml:space="preserve"> women. In regards to </w:t>
      </w:r>
      <w:r w:rsidRPr="00EB782D">
        <w:rPr>
          <w:rFonts w:asciiTheme="majorBidi" w:hAnsiTheme="majorBidi" w:cstheme="majorBidi"/>
          <w:color w:val="0D0D0D" w:themeColor="text1" w:themeTint="F2"/>
          <w:sz w:val="26"/>
          <w:szCs w:val="26"/>
        </w:rPr>
        <w:t xml:space="preserve">the number of detention cases during the year </w:t>
      </w:r>
      <w:r w:rsidR="00655AD7" w:rsidRPr="00EB782D">
        <w:rPr>
          <w:rFonts w:asciiTheme="majorBidi" w:hAnsiTheme="majorBidi" w:cstheme="majorBidi"/>
          <w:color w:val="0D0D0D" w:themeColor="text1" w:themeTint="F2"/>
          <w:sz w:val="26"/>
          <w:szCs w:val="26"/>
        </w:rPr>
        <w:t>2020</w:t>
      </w:r>
      <w:r w:rsidRPr="00EB782D">
        <w:rPr>
          <w:rFonts w:asciiTheme="majorBidi" w:hAnsiTheme="majorBidi" w:cstheme="majorBidi"/>
          <w:color w:val="0D0D0D" w:themeColor="text1" w:themeTint="F2"/>
          <w:sz w:val="26"/>
          <w:szCs w:val="26"/>
        </w:rPr>
        <w:t xml:space="preserve">, it amounted to be about </w:t>
      </w:r>
      <w:r w:rsidR="00655AD7" w:rsidRPr="00EB782D">
        <w:rPr>
          <w:rFonts w:asciiTheme="majorBidi" w:hAnsiTheme="majorBidi" w:cstheme="majorBidi"/>
          <w:color w:val="0D0D0D" w:themeColor="text1" w:themeTint="F2"/>
          <w:sz w:val="26"/>
          <w:szCs w:val="26"/>
        </w:rPr>
        <w:t>4</w:t>
      </w:r>
      <w:r w:rsidRPr="00EB782D">
        <w:rPr>
          <w:rFonts w:asciiTheme="majorBidi" w:hAnsiTheme="majorBidi" w:cstheme="majorBidi"/>
          <w:color w:val="0D0D0D" w:themeColor="text1" w:themeTint="F2"/>
          <w:sz w:val="26"/>
          <w:szCs w:val="26"/>
        </w:rPr>
        <w:t>,</w:t>
      </w:r>
      <w:r w:rsidR="00655AD7" w:rsidRPr="00EB782D">
        <w:rPr>
          <w:rFonts w:asciiTheme="majorBidi" w:hAnsiTheme="majorBidi" w:cstheme="majorBidi"/>
          <w:color w:val="0D0D0D" w:themeColor="text1" w:themeTint="F2"/>
          <w:sz w:val="26"/>
          <w:szCs w:val="26"/>
        </w:rPr>
        <w:t>634</w:t>
      </w:r>
      <w:r w:rsidRPr="00EB782D">
        <w:rPr>
          <w:rFonts w:asciiTheme="majorBidi" w:hAnsiTheme="majorBidi" w:cstheme="majorBidi"/>
          <w:color w:val="0D0D0D" w:themeColor="text1" w:themeTint="F2"/>
          <w:sz w:val="26"/>
          <w:szCs w:val="26"/>
        </w:rPr>
        <w:t xml:space="preserve"> cases, including </w:t>
      </w:r>
      <w:r w:rsidR="00655AD7" w:rsidRPr="00EB782D">
        <w:rPr>
          <w:rFonts w:asciiTheme="majorBidi" w:hAnsiTheme="majorBidi" w:cstheme="majorBidi"/>
          <w:color w:val="0D0D0D" w:themeColor="text1" w:themeTint="F2"/>
          <w:sz w:val="26"/>
          <w:szCs w:val="26"/>
        </w:rPr>
        <w:t>543</w:t>
      </w:r>
      <w:r w:rsidR="00C304F7" w:rsidRPr="00EB782D">
        <w:rPr>
          <w:rFonts w:asciiTheme="majorBidi" w:hAnsiTheme="majorBidi" w:cstheme="majorBidi"/>
          <w:color w:val="0D0D0D" w:themeColor="text1" w:themeTint="F2"/>
          <w:sz w:val="26"/>
          <w:szCs w:val="26"/>
        </w:rPr>
        <w:t xml:space="preserve"> children and 128 women.</w:t>
      </w:r>
    </w:p>
    <w:p w14:paraId="60F4B789" w14:textId="77777777" w:rsidR="00C304F7" w:rsidRPr="00EB782D" w:rsidRDefault="00C304F7" w:rsidP="00C304F7">
      <w:pPr>
        <w:pStyle w:val="BodyTextIndent"/>
        <w:ind w:left="0"/>
        <w:rPr>
          <w:rFonts w:asciiTheme="majorBidi" w:hAnsiTheme="majorBidi" w:cstheme="majorBidi"/>
          <w:color w:val="0D0D0D" w:themeColor="text1" w:themeTint="F2"/>
          <w:sz w:val="16"/>
          <w:szCs w:val="16"/>
        </w:rPr>
      </w:pPr>
    </w:p>
    <w:p w14:paraId="413C2393" w14:textId="3B652156" w:rsidR="00302C69" w:rsidRDefault="00302C69" w:rsidP="00302C69">
      <w:pPr>
        <w:bidi w:val="0"/>
        <w:jc w:val="both"/>
        <w:rPr>
          <w:rFonts w:asciiTheme="majorBidi" w:hAnsiTheme="majorBidi" w:cstheme="majorBidi"/>
          <w:color w:val="0D0D0D" w:themeColor="text1" w:themeTint="F2"/>
          <w:sz w:val="16"/>
          <w:szCs w:val="16"/>
          <w:rtl/>
        </w:rPr>
      </w:pPr>
    </w:p>
    <w:p w14:paraId="31BCB549" w14:textId="77777777" w:rsidR="00664EDA" w:rsidRPr="00EB782D" w:rsidRDefault="00664EDA" w:rsidP="00664EDA">
      <w:pPr>
        <w:bidi w:val="0"/>
        <w:jc w:val="both"/>
        <w:rPr>
          <w:rFonts w:asciiTheme="majorBidi" w:hAnsiTheme="majorBidi" w:cstheme="majorBidi"/>
          <w:b/>
          <w:bCs/>
          <w:color w:val="0D0D0D"/>
          <w:sz w:val="16"/>
          <w:szCs w:val="16"/>
        </w:rPr>
      </w:pPr>
    </w:p>
    <w:p w14:paraId="3B2D8EBA" w14:textId="77777777" w:rsidR="00BD6FB4" w:rsidRPr="00EB782D" w:rsidRDefault="00BD6FB4" w:rsidP="004D54B7">
      <w:pPr>
        <w:bidi w:val="0"/>
        <w:jc w:val="both"/>
        <w:rPr>
          <w:rFonts w:asciiTheme="majorBidi" w:hAnsiTheme="majorBidi" w:cstheme="majorBidi"/>
          <w:b/>
          <w:bCs/>
          <w:color w:val="0D0D0D"/>
        </w:rPr>
      </w:pPr>
      <w:r w:rsidRPr="00EB782D">
        <w:rPr>
          <w:rFonts w:asciiTheme="majorBidi" w:hAnsiTheme="majorBidi" w:cstheme="majorBidi"/>
          <w:b/>
          <w:bCs/>
          <w:color w:val="0D0D0D"/>
        </w:rPr>
        <w:t>Sources:</w:t>
      </w:r>
    </w:p>
    <w:p w14:paraId="5DC9449E" w14:textId="57F784BC" w:rsidR="00655AD7" w:rsidRPr="00EB782D" w:rsidRDefault="00655AD7" w:rsidP="00655AD7">
      <w:pPr>
        <w:pStyle w:val="ListParagraph"/>
        <w:numPr>
          <w:ilvl w:val="0"/>
          <w:numId w:val="3"/>
        </w:numPr>
        <w:bidi w:val="0"/>
        <w:ind w:left="284" w:hanging="284"/>
        <w:jc w:val="both"/>
        <w:rPr>
          <w:rFonts w:asciiTheme="majorBidi" w:hAnsiTheme="majorBidi" w:cstheme="majorBidi"/>
        </w:rPr>
      </w:pPr>
      <w:r w:rsidRPr="00EB782D">
        <w:rPr>
          <w:rFonts w:asciiTheme="majorBidi" w:hAnsiTheme="majorBidi" w:cstheme="majorBidi"/>
        </w:rPr>
        <w:t>Palestinian Central Bureau of Statistics 2020: Israeli Settlements in the West Bank, 2019. Ramallah</w:t>
      </w:r>
      <w:r w:rsidR="00B02598" w:rsidRPr="00EB782D">
        <w:rPr>
          <w:rFonts w:asciiTheme="majorBidi" w:hAnsiTheme="majorBidi" w:cstheme="majorBidi"/>
        </w:rPr>
        <w:t xml:space="preserve"> </w:t>
      </w:r>
      <w:r w:rsidRPr="00EB782D">
        <w:rPr>
          <w:rFonts w:asciiTheme="majorBidi" w:hAnsiTheme="majorBidi" w:cstheme="majorBidi"/>
        </w:rPr>
        <w:t>- Palestine.</w:t>
      </w:r>
    </w:p>
    <w:p w14:paraId="0D5A5371" w14:textId="6A9F29FF" w:rsidR="00655AD7" w:rsidRPr="00EB782D" w:rsidRDefault="00655AD7" w:rsidP="00655AD7">
      <w:pPr>
        <w:pStyle w:val="ListParagraph"/>
        <w:numPr>
          <w:ilvl w:val="0"/>
          <w:numId w:val="3"/>
        </w:numPr>
        <w:bidi w:val="0"/>
        <w:ind w:left="284" w:hanging="284"/>
        <w:jc w:val="both"/>
        <w:rPr>
          <w:rFonts w:asciiTheme="majorBidi" w:hAnsiTheme="majorBidi" w:cstheme="majorBidi"/>
        </w:rPr>
      </w:pPr>
      <w:r w:rsidRPr="00EB782D">
        <w:rPr>
          <w:rFonts w:asciiTheme="majorBidi" w:hAnsiTheme="majorBidi" w:cstheme="majorBidi"/>
        </w:rPr>
        <w:t>Colonization and Wall</w:t>
      </w:r>
      <w:r w:rsidR="00B02598" w:rsidRPr="00EB782D">
        <w:rPr>
          <w:rFonts w:asciiTheme="majorBidi" w:hAnsiTheme="majorBidi" w:cstheme="majorBidi"/>
        </w:rPr>
        <w:t xml:space="preserve"> </w:t>
      </w:r>
      <w:r w:rsidRPr="00EB782D">
        <w:rPr>
          <w:rFonts w:asciiTheme="majorBidi" w:hAnsiTheme="majorBidi" w:cstheme="majorBidi"/>
        </w:rPr>
        <w:t>Resistance Commission 2021: Summary of the most Important Violations in Palestine, 2021. Ramallah</w:t>
      </w:r>
      <w:r w:rsidR="00B02598" w:rsidRPr="00EB782D">
        <w:rPr>
          <w:rFonts w:asciiTheme="majorBidi" w:hAnsiTheme="majorBidi" w:cstheme="majorBidi"/>
        </w:rPr>
        <w:t xml:space="preserve"> </w:t>
      </w:r>
      <w:r w:rsidRPr="00EB782D">
        <w:rPr>
          <w:rFonts w:asciiTheme="majorBidi" w:hAnsiTheme="majorBidi" w:cstheme="majorBidi"/>
        </w:rPr>
        <w:t>- Palestine.</w:t>
      </w:r>
    </w:p>
    <w:p w14:paraId="5D3FDB0F" w14:textId="77777777" w:rsidR="00655AD7" w:rsidRPr="00EB782D" w:rsidRDefault="00655AD7" w:rsidP="00655AD7">
      <w:pPr>
        <w:pStyle w:val="ListParagraph"/>
        <w:numPr>
          <w:ilvl w:val="0"/>
          <w:numId w:val="3"/>
        </w:numPr>
        <w:bidi w:val="0"/>
        <w:ind w:left="284" w:hanging="284"/>
        <w:jc w:val="both"/>
        <w:rPr>
          <w:rFonts w:asciiTheme="majorBidi" w:hAnsiTheme="majorBidi" w:cstheme="majorBidi"/>
        </w:rPr>
      </w:pPr>
      <w:r w:rsidRPr="00EB782D">
        <w:rPr>
          <w:rFonts w:asciiTheme="majorBidi" w:hAnsiTheme="majorBidi" w:cstheme="majorBidi"/>
        </w:rPr>
        <w:t>The Commission of Detainees Affairs, 2021.</w:t>
      </w:r>
    </w:p>
    <w:p w14:paraId="75C3B373" w14:textId="77777777" w:rsidR="00655AD7" w:rsidRPr="00EB782D" w:rsidRDefault="00655AD7" w:rsidP="00655AD7">
      <w:pPr>
        <w:pStyle w:val="ListParagraph"/>
        <w:numPr>
          <w:ilvl w:val="0"/>
          <w:numId w:val="3"/>
        </w:numPr>
        <w:bidi w:val="0"/>
        <w:ind w:left="284" w:hanging="284"/>
        <w:jc w:val="both"/>
        <w:rPr>
          <w:rFonts w:asciiTheme="majorBidi" w:hAnsiTheme="majorBidi" w:cstheme="majorBidi"/>
        </w:rPr>
      </w:pPr>
      <w:r w:rsidRPr="00EB782D">
        <w:rPr>
          <w:rFonts w:asciiTheme="majorBidi" w:hAnsiTheme="majorBidi" w:cstheme="majorBidi"/>
        </w:rPr>
        <w:t>Abdullah Hourani Center for Studies and Documentation, the Harvest of the Israeli Violations for the year 2020. Ramallah 2021.</w:t>
      </w:r>
    </w:p>
    <w:p w14:paraId="6FC83D48" w14:textId="77777777" w:rsidR="00655AD7" w:rsidRPr="00EB782D" w:rsidRDefault="00655AD7" w:rsidP="00655AD7">
      <w:pPr>
        <w:pStyle w:val="ListParagraph"/>
        <w:numPr>
          <w:ilvl w:val="0"/>
          <w:numId w:val="3"/>
        </w:numPr>
        <w:bidi w:val="0"/>
        <w:ind w:left="284" w:hanging="284"/>
        <w:jc w:val="both"/>
        <w:rPr>
          <w:rFonts w:asciiTheme="majorBidi" w:hAnsiTheme="majorBidi" w:cstheme="majorBidi"/>
        </w:rPr>
      </w:pPr>
      <w:r w:rsidRPr="00EB782D">
        <w:rPr>
          <w:rFonts w:asciiTheme="majorBidi" w:hAnsiTheme="majorBidi" w:cstheme="majorBidi"/>
        </w:rPr>
        <w:t>Peace Now Organization, 2021.</w:t>
      </w:r>
    </w:p>
    <w:p w14:paraId="6FE3F2C2" w14:textId="771B177D" w:rsidR="00655AD7" w:rsidRPr="00EB782D" w:rsidRDefault="00655AD7" w:rsidP="00655AD7">
      <w:pPr>
        <w:pStyle w:val="ListParagraph"/>
        <w:numPr>
          <w:ilvl w:val="0"/>
          <w:numId w:val="3"/>
        </w:numPr>
        <w:bidi w:val="0"/>
        <w:ind w:left="284" w:hanging="284"/>
        <w:jc w:val="both"/>
        <w:rPr>
          <w:rFonts w:asciiTheme="majorBidi" w:hAnsiTheme="majorBidi" w:cstheme="majorBidi"/>
        </w:rPr>
      </w:pPr>
      <w:r w:rsidRPr="00EB782D">
        <w:rPr>
          <w:rFonts w:asciiTheme="majorBidi" w:hAnsiTheme="majorBidi" w:cstheme="majorBidi"/>
        </w:rPr>
        <w:t>Human Rights Watch 2021.</w:t>
      </w:r>
    </w:p>
    <w:p w14:paraId="16E4E335" w14:textId="77777777" w:rsidR="00655AD7" w:rsidRPr="00EB782D" w:rsidRDefault="00655AD7" w:rsidP="00655AD7">
      <w:pPr>
        <w:pStyle w:val="ListParagraph"/>
        <w:numPr>
          <w:ilvl w:val="0"/>
          <w:numId w:val="3"/>
        </w:numPr>
        <w:bidi w:val="0"/>
        <w:ind w:left="284" w:hanging="284"/>
        <w:jc w:val="both"/>
        <w:rPr>
          <w:rFonts w:asciiTheme="majorBidi" w:hAnsiTheme="majorBidi" w:cstheme="majorBidi"/>
        </w:rPr>
      </w:pPr>
      <w:r w:rsidRPr="00EB782D">
        <w:rPr>
          <w:rFonts w:asciiTheme="majorBidi" w:hAnsiTheme="majorBidi" w:cstheme="majorBidi"/>
        </w:rPr>
        <w:t xml:space="preserve">UN Office for the Coordination of the Humanitarian Affairs in the occupied Territories (OCHA), 2021.  </w:t>
      </w:r>
    </w:p>
    <w:p w14:paraId="65ED1CED" w14:textId="77777777" w:rsidR="00CF1B43" w:rsidRPr="00EB782D" w:rsidRDefault="00CF1B43" w:rsidP="00CF1B43">
      <w:pPr>
        <w:pStyle w:val="ListParagraph"/>
        <w:bidi w:val="0"/>
        <w:rPr>
          <w:rFonts w:asciiTheme="majorBidi" w:hAnsiTheme="majorBidi" w:cstheme="majorBidi"/>
          <w:color w:val="0D0D0D"/>
        </w:rPr>
      </w:pPr>
    </w:p>
    <w:sectPr w:rsidR="00CF1B43" w:rsidRPr="00EB782D" w:rsidSect="00664EDA">
      <w:footerReference w:type="default" r:id="rId10"/>
      <w:type w:val="continuous"/>
      <w:pgSz w:w="11906" w:h="16838"/>
      <w:pgMar w:top="720" w:right="720" w:bottom="720" w:left="720" w:header="567" w:footer="267" w:gutter="0"/>
      <w:cols w:space="894"/>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2E32B" w14:textId="77777777" w:rsidR="00284137" w:rsidRDefault="00284137" w:rsidP="00BF7D80">
      <w:r>
        <w:separator/>
      </w:r>
    </w:p>
  </w:endnote>
  <w:endnote w:type="continuationSeparator" w:id="0">
    <w:p w14:paraId="7A2BB200" w14:textId="77777777" w:rsidR="00284137" w:rsidRDefault="00284137" w:rsidP="00B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1CB0" w14:textId="0363579A" w:rsidR="00C510CB" w:rsidRDefault="00543B83">
    <w:pPr>
      <w:pStyle w:val="Footer"/>
      <w:jc w:val="center"/>
    </w:pPr>
    <w:r>
      <w:fldChar w:fldCharType="begin"/>
    </w:r>
    <w:r>
      <w:instrText xml:space="preserve"> PAGE   \* MERGEFORMAT </w:instrText>
    </w:r>
    <w:r>
      <w:fldChar w:fldCharType="separate"/>
    </w:r>
    <w:r w:rsidR="00664EDA">
      <w:rPr>
        <w:noProof/>
        <w:rtl/>
      </w:rPr>
      <w:t>3</w:t>
    </w:r>
    <w:r>
      <w:rPr>
        <w:noProof/>
      </w:rPr>
      <w:fldChar w:fldCharType="end"/>
    </w:r>
  </w:p>
  <w:p w14:paraId="69EE4C60" w14:textId="77777777" w:rsidR="00C510CB" w:rsidRDefault="00C5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8346" w14:textId="77777777" w:rsidR="00284137" w:rsidRDefault="00284137" w:rsidP="00BF7D80">
      <w:r>
        <w:separator/>
      </w:r>
    </w:p>
  </w:footnote>
  <w:footnote w:type="continuationSeparator" w:id="0">
    <w:p w14:paraId="2F530C85" w14:textId="77777777" w:rsidR="00284137" w:rsidRDefault="00284137" w:rsidP="00BF7D80">
      <w:r>
        <w:continuationSeparator/>
      </w:r>
    </w:p>
  </w:footnote>
  <w:footnote w:id="1">
    <w:p w14:paraId="3D8811DE" w14:textId="77777777" w:rsidR="00302C69" w:rsidRPr="0053258F" w:rsidRDefault="00302C69" w:rsidP="00302C69">
      <w:pPr>
        <w:pStyle w:val="FootnoteText"/>
        <w:bidi w:val="0"/>
      </w:pPr>
      <w:r w:rsidRPr="0053258F">
        <w:rPr>
          <w:rStyle w:val="FootnoteReference"/>
        </w:rPr>
        <w:footnoteRef/>
      </w:r>
      <w:r w:rsidRPr="0053258F">
        <w:rPr>
          <w:rtl/>
        </w:rPr>
        <w:t xml:space="preserve"> </w:t>
      </w:r>
      <w:r w:rsidRPr="0053258F">
        <w:t xml:space="preserve"> Several Sources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6D6"/>
    <w:multiLevelType w:val="hybridMultilevel"/>
    <w:tmpl w:val="DB2490DC"/>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A2991"/>
    <w:multiLevelType w:val="hybridMultilevel"/>
    <w:tmpl w:val="B8F8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52AFF"/>
    <w:multiLevelType w:val="hybridMultilevel"/>
    <w:tmpl w:val="670002D6"/>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0C"/>
    <w:rsid w:val="00001240"/>
    <w:rsid w:val="000049A4"/>
    <w:rsid w:val="00006C52"/>
    <w:rsid w:val="00011499"/>
    <w:rsid w:val="00014362"/>
    <w:rsid w:val="00023CE5"/>
    <w:rsid w:val="00025EDE"/>
    <w:rsid w:val="0003429B"/>
    <w:rsid w:val="0004045F"/>
    <w:rsid w:val="00040767"/>
    <w:rsid w:val="0004721D"/>
    <w:rsid w:val="00050943"/>
    <w:rsid w:val="000604FE"/>
    <w:rsid w:val="00061DCF"/>
    <w:rsid w:val="0006529E"/>
    <w:rsid w:val="00065B2B"/>
    <w:rsid w:val="00066734"/>
    <w:rsid w:val="00067608"/>
    <w:rsid w:val="0007121B"/>
    <w:rsid w:val="00074A7C"/>
    <w:rsid w:val="00080239"/>
    <w:rsid w:val="00080DA1"/>
    <w:rsid w:val="00084A8B"/>
    <w:rsid w:val="00091777"/>
    <w:rsid w:val="00092E93"/>
    <w:rsid w:val="00095CF3"/>
    <w:rsid w:val="000A1D8E"/>
    <w:rsid w:val="000A2AEA"/>
    <w:rsid w:val="000A3520"/>
    <w:rsid w:val="000B02B7"/>
    <w:rsid w:val="000B2F32"/>
    <w:rsid w:val="000B5CB9"/>
    <w:rsid w:val="000C4FA9"/>
    <w:rsid w:val="000C614F"/>
    <w:rsid w:val="000D0D60"/>
    <w:rsid w:val="000D4B78"/>
    <w:rsid w:val="000D54F1"/>
    <w:rsid w:val="000D5F27"/>
    <w:rsid w:val="000D7175"/>
    <w:rsid w:val="000E4A55"/>
    <w:rsid w:val="000F22D9"/>
    <w:rsid w:val="000F31BA"/>
    <w:rsid w:val="000F64D3"/>
    <w:rsid w:val="00115EDB"/>
    <w:rsid w:val="001201D7"/>
    <w:rsid w:val="001219BB"/>
    <w:rsid w:val="00121F4D"/>
    <w:rsid w:val="00127695"/>
    <w:rsid w:val="00127820"/>
    <w:rsid w:val="00127CB7"/>
    <w:rsid w:val="00133EA8"/>
    <w:rsid w:val="00134330"/>
    <w:rsid w:val="00141DB4"/>
    <w:rsid w:val="001572D8"/>
    <w:rsid w:val="00165047"/>
    <w:rsid w:val="001728F9"/>
    <w:rsid w:val="00173F41"/>
    <w:rsid w:val="00173FA7"/>
    <w:rsid w:val="00173FBD"/>
    <w:rsid w:val="0017412F"/>
    <w:rsid w:val="00176FF2"/>
    <w:rsid w:val="00177003"/>
    <w:rsid w:val="001770DB"/>
    <w:rsid w:val="0018566C"/>
    <w:rsid w:val="001974D4"/>
    <w:rsid w:val="001A0DAB"/>
    <w:rsid w:val="001A4F6B"/>
    <w:rsid w:val="001A6CE3"/>
    <w:rsid w:val="001B2C55"/>
    <w:rsid w:val="001B2CD1"/>
    <w:rsid w:val="001C28DE"/>
    <w:rsid w:val="001C3BA6"/>
    <w:rsid w:val="001D26F1"/>
    <w:rsid w:val="001D3FFB"/>
    <w:rsid w:val="001D429C"/>
    <w:rsid w:val="001D5484"/>
    <w:rsid w:val="001E11B5"/>
    <w:rsid w:val="001E193A"/>
    <w:rsid w:val="001E7548"/>
    <w:rsid w:val="001F54E5"/>
    <w:rsid w:val="001F6EDC"/>
    <w:rsid w:val="001F7F56"/>
    <w:rsid w:val="00202ACA"/>
    <w:rsid w:val="0021032D"/>
    <w:rsid w:val="0021372D"/>
    <w:rsid w:val="0023501B"/>
    <w:rsid w:val="00237969"/>
    <w:rsid w:val="00237EFC"/>
    <w:rsid w:val="0024095B"/>
    <w:rsid w:val="00240FFF"/>
    <w:rsid w:val="00243373"/>
    <w:rsid w:val="00243B12"/>
    <w:rsid w:val="00244B76"/>
    <w:rsid w:val="00247928"/>
    <w:rsid w:val="00251B52"/>
    <w:rsid w:val="00256B0C"/>
    <w:rsid w:val="00261568"/>
    <w:rsid w:val="0026698E"/>
    <w:rsid w:val="00272C33"/>
    <w:rsid w:val="002804D4"/>
    <w:rsid w:val="00284137"/>
    <w:rsid w:val="002850F0"/>
    <w:rsid w:val="002A1565"/>
    <w:rsid w:val="002A404F"/>
    <w:rsid w:val="002A67FD"/>
    <w:rsid w:val="002B2D6F"/>
    <w:rsid w:val="002B4ACA"/>
    <w:rsid w:val="002B74D4"/>
    <w:rsid w:val="002C09DD"/>
    <w:rsid w:val="002C0A52"/>
    <w:rsid w:val="002C1048"/>
    <w:rsid w:val="002C4C1D"/>
    <w:rsid w:val="002C62B0"/>
    <w:rsid w:val="002C7AA8"/>
    <w:rsid w:val="002D2C4F"/>
    <w:rsid w:val="002D4067"/>
    <w:rsid w:val="002D47F4"/>
    <w:rsid w:val="002D63EC"/>
    <w:rsid w:val="002D74E6"/>
    <w:rsid w:val="002E04DB"/>
    <w:rsid w:val="002E058A"/>
    <w:rsid w:val="002E0595"/>
    <w:rsid w:val="002E1CDC"/>
    <w:rsid w:val="002E553F"/>
    <w:rsid w:val="002F4368"/>
    <w:rsid w:val="002F6F53"/>
    <w:rsid w:val="00302C69"/>
    <w:rsid w:val="003051AA"/>
    <w:rsid w:val="003062EB"/>
    <w:rsid w:val="003111B4"/>
    <w:rsid w:val="00314254"/>
    <w:rsid w:val="00322770"/>
    <w:rsid w:val="00322863"/>
    <w:rsid w:val="00322C0D"/>
    <w:rsid w:val="003232FC"/>
    <w:rsid w:val="00323302"/>
    <w:rsid w:val="0032558A"/>
    <w:rsid w:val="003309F3"/>
    <w:rsid w:val="00330F9F"/>
    <w:rsid w:val="003339D1"/>
    <w:rsid w:val="00337A5F"/>
    <w:rsid w:val="00343CBE"/>
    <w:rsid w:val="00345143"/>
    <w:rsid w:val="00350960"/>
    <w:rsid w:val="00353C9C"/>
    <w:rsid w:val="00367E89"/>
    <w:rsid w:val="00374B0D"/>
    <w:rsid w:val="003758A1"/>
    <w:rsid w:val="003773FF"/>
    <w:rsid w:val="00383270"/>
    <w:rsid w:val="00387111"/>
    <w:rsid w:val="00387C47"/>
    <w:rsid w:val="00391B0D"/>
    <w:rsid w:val="00392EE4"/>
    <w:rsid w:val="003A18DF"/>
    <w:rsid w:val="003A340D"/>
    <w:rsid w:val="003A3C71"/>
    <w:rsid w:val="003A6315"/>
    <w:rsid w:val="003B2AE5"/>
    <w:rsid w:val="003B372F"/>
    <w:rsid w:val="003B4D27"/>
    <w:rsid w:val="003B7C58"/>
    <w:rsid w:val="003C18EE"/>
    <w:rsid w:val="003C38E1"/>
    <w:rsid w:val="003D1E65"/>
    <w:rsid w:val="003E0BF9"/>
    <w:rsid w:val="003E2801"/>
    <w:rsid w:val="003E546D"/>
    <w:rsid w:val="003E67A2"/>
    <w:rsid w:val="003F0AA1"/>
    <w:rsid w:val="003F42C1"/>
    <w:rsid w:val="003F5363"/>
    <w:rsid w:val="003F5B8F"/>
    <w:rsid w:val="00401367"/>
    <w:rsid w:val="00403235"/>
    <w:rsid w:val="00403443"/>
    <w:rsid w:val="00403D92"/>
    <w:rsid w:val="004064C6"/>
    <w:rsid w:val="0041058C"/>
    <w:rsid w:val="00415E64"/>
    <w:rsid w:val="004231AF"/>
    <w:rsid w:val="0042351C"/>
    <w:rsid w:val="00426C79"/>
    <w:rsid w:val="00430C33"/>
    <w:rsid w:val="00437935"/>
    <w:rsid w:val="00437DEC"/>
    <w:rsid w:val="004413C8"/>
    <w:rsid w:val="00443400"/>
    <w:rsid w:val="00443835"/>
    <w:rsid w:val="00444F86"/>
    <w:rsid w:val="00445069"/>
    <w:rsid w:val="0044676E"/>
    <w:rsid w:val="004512DF"/>
    <w:rsid w:val="004562BE"/>
    <w:rsid w:val="00460FC7"/>
    <w:rsid w:val="00462677"/>
    <w:rsid w:val="004626B4"/>
    <w:rsid w:val="00470A15"/>
    <w:rsid w:val="00471282"/>
    <w:rsid w:val="00484F1B"/>
    <w:rsid w:val="0048524F"/>
    <w:rsid w:val="00486059"/>
    <w:rsid w:val="004A1A13"/>
    <w:rsid w:val="004B04E8"/>
    <w:rsid w:val="004B07B4"/>
    <w:rsid w:val="004B0E73"/>
    <w:rsid w:val="004B4BE3"/>
    <w:rsid w:val="004C065D"/>
    <w:rsid w:val="004C15B3"/>
    <w:rsid w:val="004C1BE7"/>
    <w:rsid w:val="004C1C80"/>
    <w:rsid w:val="004D2BD5"/>
    <w:rsid w:val="004D38FD"/>
    <w:rsid w:val="004D3C25"/>
    <w:rsid w:val="004D54B7"/>
    <w:rsid w:val="004D703B"/>
    <w:rsid w:val="004E0B5D"/>
    <w:rsid w:val="004E16DF"/>
    <w:rsid w:val="004E19BE"/>
    <w:rsid w:val="004E2E76"/>
    <w:rsid w:val="004E6841"/>
    <w:rsid w:val="004F4341"/>
    <w:rsid w:val="004F6F94"/>
    <w:rsid w:val="005017DB"/>
    <w:rsid w:val="00501901"/>
    <w:rsid w:val="0051286A"/>
    <w:rsid w:val="00514164"/>
    <w:rsid w:val="005218CF"/>
    <w:rsid w:val="00522A92"/>
    <w:rsid w:val="005247C2"/>
    <w:rsid w:val="00530CAC"/>
    <w:rsid w:val="005324F6"/>
    <w:rsid w:val="00533375"/>
    <w:rsid w:val="00543B83"/>
    <w:rsid w:val="00547529"/>
    <w:rsid w:val="00547806"/>
    <w:rsid w:val="00552E0A"/>
    <w:rsid w:val="00554AE0"/>
    <w:rsid w:val="00555E41"/>
    <w:rsid w:val="00556EB6"/>
    <w:rsid w:val="005624A9"/>
    <w:rsid w:val="00565896"/>
    <w:rsid w:val="00566C50"/>
    <w:rsid w:val="005749E7"/>
    <w:rsid w:val="0058181E"/>
    <w:rsid w:val="0059680C"/>
    <w:rsid w:val="005A2DD6"/>
    <w:rsid w:val="005A308A"/>
    <w:rsid w:val="005A3395"/>
    <w:rsid w:val="005B4865"/>
    <w:rsid w:val="005B5E74"/>
    <w:rsid w:val="005C07A5"/>
    <w:rsid w:val="005C0984"/>
    <w:rsid w:val="005C486C"/>
    <w:rsid w:val="005C5173"/>
    <w:rsid w:val="005D0405"/>
    <w:rsid w:val="005D7838"/>
    <w:rsid w:val="005E1DBE"/>
    <w:rsid w:val="005F18D8"/>
    <w:rsid w:val="005F6F32"/>
    <w:rsid w:val="005F7429"/>
    <w:rsid w:val="006050D5"/>
    <w:rsid w:val="00613607"/>
    <w:rsid w:val="00613DA3"/>
    <w:rsid w:val="00617543"/>
    <w:rsid w:val="00623BB2"/>
    <w:rsid w:val="00627CD6"/>
    <w:rsid w:val="0063104A"/>
    <w:rsid w:val="00633347"/>
    <w:rsid w:val="00634285"/>
    <w:rsid w:val="006345D2"/>
    <w:rsid w:val="00634E4B"/>
    <w:rsid w:val="00637C2F"/>
    <w:rsid w:val="00642A57"/>
    <w:rsid w:val="00644821"/>
    <w:rsid w:val="006458FC"/>
    <w:rsid w:val="006461C9"/>
    <w:rsid w:val="00651A66"/>
    <w:rsid w:val="00652600"/>
    <w:rsid w:val="00655AD7"/>
    <w:rsid w:val="00657380"/>
    <w:rsid w:val="0066306A"/>
    <w:rsid w:val="00664EDA"/>
    <w:rsid w:val="006759DF"/>
    <w:rsid w:val="00680F55"/>
    <w:rsid w:val="0068147D"/>
    <w:rsid w:val="006827DE"/>
    <w:rsid w:val="00684E88"/>
    <w:rsid w:val="00685BD0"/>
    <w:rsid w:val="00691F01"/>
    <w:rsid w:val="006926B0"/>
    <w:rsid w:val="006962F1"/>
    <w:rsid w:val="006967DA"/>
    <w:rsid w:val="006972C9"/>
    <w:rsid w:val="00697F84"/>
    <w:rsid w:val="006A09A2"/>
    <w:rsid w:val="006A0D47"/>
    <w:rsid w:val="006A3208"/>
    <w:rsid w:val="006A7AC5"/>
    <w:rsid w:val="006B0F87"/>
    <w:rsid w:val="006B1749"/>
    <w:rsid w:val="006C7DBE"/>
    <w:rsid w:val="006D307B"/>
    <w:rsid w:val="006D364E"/>
    <w:rsid w:val="006D3841"/>
    <w:rsid w:val="006D4037"/>
    <w:rsid w:val="006D5AB3"/>
    <w:rsid w:val="006D5CBD"/>
    <w:rsid w:val="006D607D"/>
    <w:rsid w:val="006D7EEA"/>
    <w:rsid w:val="006F1277"/>
    <w:rsid w:val="006F3ACE"/>
    <w:rsid w:val="006F49D8"/>
    <w:rsid w:val="006F4CDB"/>
    <w:rsid w:val="007057C4"/>
    <w:rsid w:val="00715189"/>
    <w:rsid w:val="00715447"/>
    <w:rsid w:val="00715779"/>
    <w:rsid w:val="007165E7"/>
    <w:rsid w:val="00722EBC"/>
    <w:rsid w:val="00743E43"/>
    <w:rsid w:val="0074477D"/>
    <w:rsid w:val="0074538D"/>
    <w:rsid w:val="00755D2E"/>
    <w:rsid w:val="007567C0"/>
    <w:rsid w:val="00765AA1"/>
    <w:rsid w:val="0076631F"/>
    <w:rsid w:val="00771038"/>
    <w:rsid w:val="007715F9"/>
    <w:rsid w:val="00775B10"/>
    <w:rsid w:val="00784870"/>
    <w:rsid w:val="007903F9"/>
    <w:rsid w:val="00792BDF"/>
    <w:rsid w:val="00797B9A"/>
    <w:rsid w:val="007A0EA3"/>
    <w:rsid w:val="007A1E6B"/>
    <w:rsid w:val="007A2CDE"/>
    <w:rsid w:val="007A53B3"/>
    <w:rsid w:val="007B0DF4"/>
    <w:rsid w:val="007B68C8"/>
    <w:rsid w:val="007B73DD"/>
    <w:rsid w:val="007C0125"/>
    <w:rsid w:val="007C0D3E"/>
    <w:rsid w:val="007D57C8"/>
    <w:rsid w:val="007D5B30"/>
    <w:rsid w:val="007D6083"/>
    <w:rsid w:val="007E0782"/>
    <w:rsid w:val="007E2610"/>
    <w:rsid w:val="007F4B7B"/>
    <w:rsid w:val="007F65C7"/>
    <w:rsid w:val="00821992"/>
    <w:rsid w:val="00830CA0"/>
    <w:rsid w:val="00833354"/>
    <w:rsid w:val="00835491"/>
    <w:rsid w:val="0084122E"/>
    <w:rsid w:val="00845F59"/>
    <w:rsid w:val="00847F60"/>
    <w:rsid w:val="0085112C"/>
    <w:rsid w:val="00852BBC"/>
    <w:rsid w:val="008637C5"/>
    <w:rsid w:val="00865E8D"/>
    <w:rsid w:val="00873738"/>
    <w:rsid w:val="00873EBF"/>
    <w:rsid w:val="00882F61"/>
    <w:rsid w:val="00891782"/>
    <w:rsid w:val="008927D3"/>
    <w:rsid w:val="008A1C6C"/>
    <w:rsid w:val="008A269F"/>
    <w:rsid w:val="008A2733"/>
    <w:rsid w:val="008B10FC"/>
    <w:rsid w:val="008B2166"/>
    <w:rsid w:val="008B4FE0"/>
    <w:rsid w:val="008B5569"/>
    <w:rsid w:val="008C123B"/>
    <w:rsid w:val="008C352E"/>
    <w:rsid w:val="008D189D"/>
    <w:rsid w:val="008D4892"/>
    <w:rsid w:val="008D60AC"/>
    <w:rsid w:val="008E3AB7"/>
    <w:rsid w:val="008E5233"/>
    <w:rsid w:val="008E639F"/>
    <w:rsid w:val="008E7BAE"/>
    <w:rsid w:val="008F021C"/>
    <w:rsid w:val="008F44EB"/>
    <w:rsid w:val="009046AB"/>
    <w:rsid w:val="00905EB5"/>
    <w:rsid w:val="00906FEC"/>
    <w:rsid w:val="00911A0E"/>
    <w:rsid w:val="00915A78"/>
    <w:rsid w:val="0092012D"/>
    <w:rsid w:val="00920E5C"/>
    <w:rsid w:val="00921A79"/>
    <w:rsid w:val="00924163"/>
    <w:rsid w:val="00930E74"/>
    <w:rsid w:val="00933872"/>
    <w:rsid w:val="00935F73"/>
    <w:rsid w:val="0094629E"/>
    <w:rsid w:val="00947118"/>
    <w:rsid w:val="00947CF9"/>
    <w:rsid w:val="00953C7E"/>
    <w:rsid w:val="0095420E"/>
    <w:rsid w:val="0095442E"/>
    <w:rsid w:val="00960382"/>
    <w:rsid w:val="00962F07"/>
    <w:rsid w:val="009641AC"/>
    <w:rsid w:val="009642F9"/>
    <w:rsid w:val="00970B81"/>
    <w:rsid w:val="009720A6"/>
    <w:rsid w:val="009753DD"/>
    <w:rsid w:val="00975533"/>
    <w:rsid w:val="00981A5B"/>
    <w:rsid w:val="00986C77"/>
    <w:rsid w:val="00990F86"/>
    <w:rsid w:val="00992A06"/>
    <w:rsid w:val="0099464B"/>
    <w:rsid w:val="009965ED"/>
    <w:rsid w:val="009A1AFE"/>
    <w:rsid w:val="009A2448"/>
    <w:rsid w:val="009A3FE7"/>
    <w:rsid w:val="009A517E"/>
    <w:rsid w:val="009B1140"/>
    <w:rsid w:val="009B6550"/>
    <w:rsid w:val="009B729D"/>
    <w:rsid w:val="009C30E7"/>
    <w:rsid w:val="009C35F5"/>
    <w:rsid w:val="009C7B05"/>
    <w:rsid w:val="009D3A6F"/>
    <w:rsid w:val="009D4FCF"/>
    <w:rsid w:val="009E283B"/>
    <w:rsid w:val="009E335D"/>
    <w:rsid w:val="009E3871"/>
    <w:rsid w:val="009F011F"/>
    <w:rsid w:val="009F2ED9"/>
    <w:rsid w:val="009F7B9D"/>
    <w:rsid w:val="00A04047"/>
    <w:rsid w:val="00A0473D"/>
    <w:rsid w:val="00A063F4"/>
    <w:rsid w:val="00A075FF"/>
    <w:rsid w:val="00A1292D"/>
    <w:rsid w:val="00A1453C"/>
    <w:rsid w:val="00A14BEE"/>
    <w:rsid w:val="00A2015B"/>
    <w:rsid w:val="00A21E0C"/>
    <w:rsid w:val="00A26202"/>
    <w:rsid w:val="00A34DBC"/>
    <w:rsid w:val="00A40F63"/>
    <w:rsid w:val="00A436DF"/>
    <w:rsid w:val="00A450A8"/>
    <w:rsid w:val="00A52958"/>
    <w:rsid w:val="00A624E3"/>
    <w:rsid w:val="00A676C7"/>
    <w:rsid w:val="00A70008"/>
    <w:rsid w:val="00A72BB8"/>
    <w:rsid w:val="00A744D2"/>
    <w:rsid w:val="00A751B5"/>
    <w:rsid w:val="00A82A85"/>
    <w:rsid w:val="00A84403"/>
    <w:rsid w:val="00A90F58"/>
    <w:rsid w:val="00A92E3F"/>
    <w:rsid w:val="00A92EFE"/>
    <w:rsid w:val="00AA4324"/>
    <w:rsid w:val="00AA4F16"/>
    <w:rsid w:val="00AB496E"/>
    <w:rsid w:val="00AB72F2"/>
    <w:rsid w:val="00AC21FC"/>
    <w:rsid w:val="00AC3B6D"/>
    <w:rsid w:val="00AE1973"/>
    <w:rsid w:val="00AF00A0"/>
    <w:rsid w:val="00AF2BDD"/>
    <w:rsid w:val="00AF7760"/>
    <w:rsid w:val="00B0037C"/>
    <w:rsid w:val="00B00432"/>
    <w:rsid w:val="00B00CCE"/>
    <w:rsid w:val="00B01A81"/>
    <w:rsid w:val="00B02598"/>
    <w:rsid w:val="00B04DC2"/>
    <w:rsid w:val="00B0626F"/>
    <w:rsid w:val="00B125C8"/>
    <w:rsid w:val="00B1396B"/>
    <w:rsid w:val="00B239DE"/>
    <w:rsid w:val="00B25CD2"/>
    <w:rsid w:val="00B26D6A"/>
    <w:rsid w:val="00B3166E"/>
    <w:rsid w:val="00B32096"/>
    <w:rsid w:val="00B37200"/>
    <w:rsid w:val="00B40187"/>
    <w:rsid w:val="00B5078B"/>
    <w:rsid w:val="00B5121F"/>
    <w:rsid w:val="00B55A32"/>
    <w:rsid w:val="00B55EB5"/>
    <w:rsid w:val="00B650A5"/>
    <w:rsid w:val="00B66AF7"/>
    <w:rsid w:val="00B66CC7"/>
    <w:rsid w:val="00B703CB"/>
    <w:rsid w:val="00B70547"/>
    <w:rsid w:val="00B752C3"/>
    <w:rsid w:val="00B76B9D"/>
    <w:rsid w:val="00B7721C"/>
    <w:rsid w:val="00B77566"/>
    <w:rsid w:val="00B775C4"/>
    <w:rsid w:val="00B840BB"/>
    <w:rsid w:val="00B871EE"/>
    <w:rsid w:val="00B92BCC"/>
    <w:rsid w:val="00B95BC4"/>
    <w:rsid w:val="00B973DC"/>
    <w:rsid w:val="00BA02D4"/>
    <w:rsid w:val="00BA25FF"/>
    <w:rsid w:val="00BA721B"/>
    <w:rsid w:val="00BB0DBB"/>
    <w:rsid w:val="00BB5BB1"/>
    <w:rsid w:val="00BC0FD4"/>
    <w:rsid w:val="00BC428F"/>
    <w:rsid w:val="00BC701E"/>
    <w:rsid w:val="00BD0247"/>
    <w:rsid w:val="00BD2C9F"/>
    <w:rsid w:val="00BD56D1"/>
    <w:rsid w:val="00BD6FB4"/>
    <w:rsid w:val="00BD7A55"/>
    <w:rsid w:val="00BE4479"/>
    <w:rsid w:val="00BE450D"/>
    <w:rsid w:val="00BF269C"/>
    <w:rsid w:val="00BF41D0"/>
    <w:rsid w:val="00BF7D80"/>
    <w:rsid w:val="00C03CD6"/>
    <w:rsid w:val="00C04967"/>
    <w:rsid w:val="00C04C54"/>
    <w:rsid w:val="00C051FF"/>
    <w:rsid w:val="00C0553E"/>
    <w:rsid w:val="00C077B9"/>
    <w:rsid w:val="00C079F3"/>
    <w:rsid w:val="00C12398"/>
    <w:rsid w:val="00C24D41"/>
    <w:rsid w:val="00C304F7"/>
    <w:rsid w:val="00C3521F"/>
    <w:rsid w:val="00C35F90"/>
    <w:rsid w:val="00C36FB3"/>
    <w:rsid w:val="00C40747"/>
    <w:rsid w:val="00C42551"/>
    <w:rsid w:val="00C446EF"/>
    <w:rsid w:val="00C510CB"/>
    <w:rsid w:val="00C52E59"/>
    <w:rsid w:val="00C63223"/>
    <w:rsid w:val="00C67201"/>
    <w:rsid w:val="00C67CA6"/>
    <w:rsid w:val="00C71B30"/>
    <w:rsid w:val="00C72C58"/>
    <w:rsid w:val="00C74290"/>
    <w:rsid w:val="00C82DDA"/>
    <w:rsid w:val="00C83601"/>
    <w:rsid w:val="00C850A7"/>
    <w:rsid w:val="00C87412"/>
    <w:rsid w:val="00C934EB"/>
    <w:rsid w:val="00C93D87"/>
    <w:rsid w:val="00C95C4B"/>
    <w:rsid w:val="00C97F6A"/>
    <w:rsid w:val="00CA7B00"/>
    <w:rsid w:val="00CA7CA6"/>
    <w:rsid w:val="00CB6C2A"/>
    <w:rsid w:val="00CB6F0A"/>
    <w:rsid w:val="00CB762E"/>
    <w:rsid w:val="00CC323B"/>
    <w:rsid w:val="00CC438F"/>
    <w:rsid w:val="00CC5BFB"/>
    <w:rsid w:val="00CD49E7"/>
    <w:rsid w:val="00CD6396"/>
    <w:rsid w:val="00CE1960"/>
    <w:rsid w:val="00CE1D09"/>
    <w:rsid w:val="00CE3537"/>
    <w:rsid w:val="00CF1B43"/>
    <w:rsid w:val="00D11E92"/>
    <w:rsid w:val="00D150BF"/>
    <w:rsid w:val="00D16CA4"/>
    <w:rsid w:val="00D17597"/>
    <w:rsid w:val="00D259B0"/>
    <w:rsid w:val="00D377EC"/>
    <w:rsid w:val="00D47E4A"/>
    <w:rsid w:val="00D5036E"/>
    <w:rsid w:val="00D51923"/>
    <w:rsid w:val="00D561BE"/>
    <w:rsid w:val="00D564BE"/>
    <w:rsid w:val="00D701A7"/>
    <w:rsid w:val="00D70D25"/>
    <w:rsid w:val="00D83119"/>
    <w:rsid w:val="00D84DE1"/>
    <w:rsid w:val="00D94838"/>
    <w:rsid w:val="00D97652"/>
    <w:rsid w:val="00DA53FC"/>
    <w:rsid w:val="00DA769E"/>
    <w:rsid w:val="00DA7777"/>
    <w:rsid w:val="00DB21A3"/>
    <w:rsid w:val="00DB2260"/>
    <w:rsid w:val="00DC602C"/>
    <w:rsid w:val="00DC6FBE"/>
    <w:rsid w:val="00DD13D5"/>
    <w:rsid w:val="00DD33BF"/>
    <w:rsid w:val="00DE27A9"/>
    <w:rsid w:val="00DE31B9"/>
    <w:rsid w:val="00DE466C"/>
    <w:rsid w:val="00DF5FE4"/>
    <w:rsid w:val="00DF765E"/>
    <w:rsid w:val="00E0062F"/>
    <w:rsid w:val="00E03EE8"/>
    <w:rsid w:val="00E11A5E"/>
    <w:rsid w:val="00E17916"/>
    <w:rsid w:val="00E20368"/>
    <w:rsid w:val="00E25F05"/>
    <w:rsid w:val="00E260FE"/>
    <w:rsid w:val="00E27E36"/>
    <w:rsid w:val="00E30122"/>
    <w:rsid w:val="00E37C60"/>
    <w:rsid w:val="00E45414"/>
    <w:rsid w:val="00E5106B"/>
    <w:rsid w:val="00E532A7"/>
    <w:rsid w:val="00E61E79"/>
    <w:rsid w:val="00E63626"/>
    <w:rsid w:val="00E656EB"/>
    <w:rsid w:val="00E672E7"/>
    <w:rsid w:val="00E675B7"/>
    <w:rsid w:val="00E70B93"/>
    <w:rsid w:val="00E76E4F"/>
    <w:rsid w:val="00E84CE2"/>
    <w:rsid w:val="00E86D56"/>
    <w:rsid w:val="00E86E6E"/>
    <w:rsid w:val="00E90F52"/>
    <w:rsid w:val="00E954C0"/>
    <w:rsid w:val="00E95620"/>
    <w:rsid w:val="00EA11F7"/>
    <w:rsid w:val="00EA29E1"/>
    <w:rsid w:val="00EA49D7"/>
    <w:rsid w:val="00EA5B1B"/>
    <w:rsid w:val="00EA7382"/>
    <w:rsid w:val="00EB3478"/>
    <w:rsid w:val="00EB782D"/>
    <w:rsid w:val="00EC0353"/>
    <w:rsid w:val="00EC0604"/>
    <w:rsid w:val="00EC083D"/>
    <w:rsid w:val="00EC169B"/>
    <w:rsid w:val="00EC5B4C"/>
    <w:rsid w:val="00EC63BD"/>
    <w:rsid w:val="00EC6817"/>
    <w:rsid w:val="00ED0B0A"/>
    <w:rsid w:val="00ED195D"/>
    <w:rsid w:val="00ED28EF"/>
    <w:rsid w:val="00ED4359"/>
    <w:rsid w:val="00ED7076"/>
    <w:rsid w:val="00EE15B8"/>
    <w:rsid w:val="00EE2587"/>
    <w:rsid w:val="00EF00E0"/>
    <w:rsid w:val="00EF149C"/>
    <w:rsid w:val="00EF168B"/>
    <w:rsid w:val="00EF1A9A"/>
    <w:rsid w:val="00EF373F"/>
    <w:rsid w:val="00EF5D2F"/>
    <w:rsid w:val="00F004BC"/>
    <w:rsid w:val="00F029AB"/>
    <w:rsid w:val="00F0377A"/>
    <w:rsid w:val="00F12ED4"/>
    <w:rsid w:val="00F141D2"/>
    <w:rsid w:val="00F150F2"/>
    <w:rsid w:val="00F24B58"/>
    <w:rsid w:val="00F269D9"/>
    <w:rsid w:val="00F42EC7"/>
    <w:rsid w:val="00F463FF"/>
    <w:rsid w:val="00F47A7D"/>
    <w:rsid w:val="00F51F87"/>
    <w:rsid w:val="00F61376"/>
    <w:rsid w:val="00F61D43"/>
    <w:rsid w:val="00F653F5"/>
    <w:rsid w:val="00F71E9F"/>
    <w:rsid w:val="00F74D20"/>
    <w:rsid w:val="00F75158"/>
    <w:rsid w:val="00F761AB"/>
    <w:rsid w:val="00F83098"/>
    <w:rsid w:val="00F85047"/>
    <w:rsid w:val="00F87895"/>
    <w:rsid w:val="00F918D9"/>
    <w:rsid w:val="00F920D4"/>
    <w:rsid w:val="00FA2ECD"/>
    <w:rsid w:val="00FA3FF5"/>
    <w:rsid w:val="00FA6718"/>
    <w:rsid w:val="00FB1853"/>
    <w:rsid w:val="00FC11DE"/>
    <w:rsid w:val="00FC26FA"/>
    <w:rsid w:val="00FD0CE6"/>
    <w:rsid w:val="00FE1C12"/>
    <w:rsid w:val="00FE63D3"/>
    <w:rsid w:val="00FE67C3"/>
    <w:rsid w:val="00FF1250"/>
    <w:rsid w:val="00FF7161"/>
    <w:rsid w:val="00FF7498"/>
    <w:rsid w:val="00FF7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FE540"/>
  <w15:docId w15:val="{7971F4E8-2F27-48ED-BCE4-3163F1A1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05"/>
    <w:pPr>
      <w:bidi/>
    </w:pPr>
    <w:rPr>
      <w:sz w:val="24"/>
      <w:szCs w:val="24"/>
      <w:lang w:eastAsia="ar-SA"/>
    </w:rPr>
  </w:style>
  <w:style w:type="paragraph" w:styleId="Heading1">
    <w:name w:val="heading 1"/>
    <w:basedOn w:val="Normal"/>
    <w:next w:val="Normal"/>
    <w:link w:val="Heading1Char"/>
    <w:qFormat/>
    <w:rsid w:val="002E55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7B05"/>
    <w:pPr>
      <w:bidi w:val="0"/>
      <w:ind w:left="-900"/>
      <w:jc w:val="lowKashida"/>
    </w:pPr>
  </w:style>
  <w:style w:type="paragraph" w:styleId="BodyTextIndent2">
    <w:name w:val="Body Text Indent 2"/>
    <w:basedOn w:val="Normal"/>
    <w:link w:val="BodyTextIndent2Char"/>
    <w:rsid w:val="009C7B05"/>
    <w:pPr>
      <w:bidi w:val="0"/>
      <w:ind w:left="-900"/>
    </w:pPr>
  </w:style>
  <w:style w:type="character" w:customStyle="1" w:styleId="longtext">
    <w:name w:val="long_text"/>
    <w:basedOn w:val="DefaultParagraphFont"/>
    <w:rsid w:val="006F1277"/>
  </w:style>
  <w:style w:type="character" w:customStyle="1" w:styleId="shorttext">
    <w:name w:val="short_text"/>
    <w:basedOn w:val="DefaultParagraphFont"/>
    <w:rsid w:val="0041058C"/>
  </w:style>
  <w:style w:type="paragraph" w:styleId="BalloonText">
    <w:name w:val="Balloon Text"/>
    <w:basedOn w:val="Normal"/>
    <w:link w:val="BalloonTextChar"/>
    <w:rsid w:val="00930E74"/>
    <w:rPr>
      <w:rFonts w:ascii="Tahoma" w:hAnsi="Tahoma"/>
      <w:sz w:val="16"/>
      <w:szCs w:val="16"/>
    </w:rPr>
  </w:style>
  <w:style w:type="character" w:customStyle="1" w:styleId="BalloonTextChar">
    <w:name w:val="Balloon Text Char"/>
    <w:link w:val="BalloonText"/>
    <w:rsid w:val="00930E74"/>
    <w:rPr>
      <w:rFonts w:ascii="Tahoma" w:hAnsi="Tahoma" w:cs="Tahoma"/>
      <w:sz w:val="16"/>
      <w:szCs w:val="16"/>
      <w:lang w:eastAsia="ar-SA"/>
    </w:rPr>
  </w:style>
  <w:style w:type="character" w:styleId="Hyperlink">
    <w:name w:val="Hyperlink"/>
    <w:rsid w:val="003A3C71"/>
    <w:rPr>
      <w:strike w:val="0"/>
      <w:dstrike w:val="0"/>
      <w:color w:val="000080"/>
      <w:sz w:val="21"/>
      <w:szCs w:val="21"/>
      <w:u w:val="none"/>
      <w:effect w:val="none"/>
    </w:rPr>
  </w:style>
  <w:style w:type="character" w:customStyle="1" w:styleId="hps">
    <w:name w:val="hps"/>
    <w:basedOn w:val="DefaultParagraphFont"/>
    <w:rsid w:val="003A3C71"/>
  </w:style>
  <w:style w:type="character" w:customStyle="1" w:styleId="BodyTextIndentChar">
    <w:name w:val="Body Text Indent Char"/>
    <w:link w:val="BodyTextIndent"/>
    <w:rsid w:val="00C850A7"/>
    <w:rPr>
      <w:sz w:val="24"/>
      <w:szCs w:val="24"/>
      <w:lang w:eastAsia="ar-SA"/>
    </w:rPr>
  </w:style>
  <w:style w:type="table" w:styleId="TableGrid">
    <w:name w:val="Table Grid"/>
    <w:basedOn w:val="TableNormal"/>
    <w:uiPriority w:val="59"/>
    <w:rsid w:val="000D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7D80"/>
    <w:pPr>
      <w:tabs>
        <w:tab w:val="center" w:pos="4153"/>
        <w:tab w:val="right" w:pos="8306"/>
      </w:tabs>
    </w:pPr>
  </w:style>
  <w:style w:type="character" w:customStyle="1" w:styleId="HeaderChar">
    <w:name w:val="Header Char"/>
    <w:link w:val="Header"/>
    <w:rsid w:val="00BF7D80"/>
    <w:rPr>
      <w:sz w:val="24"/>
      <w:szCs w:val="24"/>
      <w:lang w:eastAsia="ar-SA"/>
    </w:rPr>
  </w:style>
  <w:style w:type="paragraph" w:styleId="Footer">
    <w:name w:val="footer"/>
    <w:basedOn w:val="Normal"/>
    <w:link w:val="FooterChar"/>
    <w:uiPriority w:val="99"/>
    <w:rsid w:val="00BF7D80"/>
    <w:pPr>
      <w:tabs>
        <w:tab w:val="center" w:pos="4153"/>
        <w:tab w:val="right" w:pos="8306"/>
      </w:tabs>
    </w:pPr>
  </w:style>
  <w:style w:type="character" w:customStyle="1" w:styleId="FooterChar">
    <w:name w:val="Footer Char"/>
    <w:link w:val="Footer"/>
    <w:uiPriority w:val="99"/>
    <w:rsid w:val="00BF7D80"/>
    <w:rPr>
      <w:sz w:val="24"/>
      <w:szCs w:val="24"/>
      <w:lang w:eastAsia="ar-SA"/>
    </w:rPr>
  </w:style>
  <w:style w:type="character" w:styleId="CommentReference">
    <w:name w:val="annotation reference"/>
    <w:rsid w:val="00237EFC"/>
    <w:rPr>
      <w:sz w:val="16"/>
      <w:szCs w:val="16"/>
    </w:rPr>
  </w:style>
  <w:style w:type="paragraph" w:styleId="CommentText">
    <w:name w:val="annotation text"/>
    <w:basedOn w:val="Normal"/>
    <w:link w:val="CommentTextChar"/>
    <w:rsid w:val="00237EFC"/>
    <w:rPr>
      <w:sz w:val="20"/>
      <w:szCs w:val="20"/>
    </w:rPr>
  </w:style>
  <w:style w:type="character" w:customStyle="1" w:styleId="CommentTextChar">
    <w:name w:val="Comment Text Char"/>
    <w:link w:val="CommentText"/>
    <w:rsid w:val="00237EFC"/>
    <w:rPr>
      <w:lang w:val="en-US" w:eastAsia="ar-SA"/>
    </w:rPr>
  </w:style>
  <w:style w:type="paragraph" w:styleId="CommentSubject">
    <w:name w:val="annotation subject"/>
    <w:basedOn w:val="CommentText"/>
    <w:next w:val="CommentText"/>
    <w:link w:val="CommentSubjectChar"/>
    <w:rsid w:val="00237EFC"/>
    <w:rPr>
      <w:b/>
      <w:bCs/>
    </w:rPr>
  </w:style>
  <w:style w:type="character" w:customStyle="1" w:styleId="CommentSubjectChar">
    <w:name w:val="Comment Subject Char"/>
    <w:link w:val="CommentSubject"/>
    <w:rsid w:val="00237EFC"/>
    <w:rPr>
      <w:b/>
      <w:bCs/>
      <w:lang w:val="en-US" w:eastAsia="ar-SA"/>
    </w:rPr>
  </w:style>
  <w:style w:type="paragraph" w:styleId="Revision">
    <w:name w:val="Revision"/>
    <w:hidden/>
    <w:uiPriority w:val="99"/>
    <w:semiHidden/>
    <w:rsid w:val="00237EFC"/>
    <w:rPr>
      <w:sz w:val="24"/>
      <w:szCs w:val="24"/>
      <w:lang w:eastAsia="ar-SA"/>
    </w:rPr>
  </w:style>
  <w:style w:type="character" w:customStyle="1" w:styleId="Heading1Char">
    <w:name w:val="Heading 1 Char"/>
    <w:basedOn w:val="DefaultParagraphFont"/>
    <w:link w:val="Heading1"/>
    <w:rsid w:val="002E553F"/>
    <w:rPr>
      <w:rFonts w:ascii="Cambria" w:eastAsia="Times New Roman" w:hAnsi="Cambria" w:cs="Times New Roman"/>
      <w:b/>
      <w:bCs/>
      <w:kern w:val="32"/>
      <w:sz w:val="32"/>
      <w:szCs w:val="32"/>
      <w:lang w:eastAsia="ar-SA"/>
    </w:rPr>
  </w:style>
  <w:style w:type="character" w:customStyle="1" w:styleId="BodyTextIndent2Char">
    <w:name w:val="Body Text Indent 2 Char"/>
    <w:basedOn w:val="DefaultParagraphFont"/>
    <w:link w:val="BodyTextIndent2"/>
    <w:rsid w:val="00EA5B1B"/>
    <w:rPr>
      <w:sz w:val="24"/>
      <w:szCs w:val="24"/>
      <w:lang w:eastAsia="ar-SA"/>
    </w:rPr>
  </w:style>
  <w:style w:type="character" w:customStyle="1" w:styleId="alt-edited1">
    <w:name w:val="alt-edited1"/>
    <w:basedOn w:val="DefaultParagraphFont"/>
    <w:rsid w:val="00680F55"/>
    <w:rPr>
      <w:color w:val="4D90F0"/>
    </w:rPr>
  </w:style>
  <w:style w:type="paragraph" w:styleId="ListParagraph">
    <w:name w:val="List Paragraph"/>
    <w:basedOn w:val="Normal"/>
    <w:uiPriority w:val="34"/>
    <w:qFormat/>
    <w:rsid w:val="005A2DD6"/>
    <w:pPr>
      <w:ind w:left="720"/>
      <w:contextualSpacing/>
    </w:pPr>
  </w:style>
  <w:style w:type="paragraph" w:styleId="FootnoteText">
    <w:name w:val="footnote text"/>
    <w:basedOn w:val="Normal"/>
    <w:link w:val="FootnoteTextChar"/>
    <w:semiHidden/>
    <w:unhideWhenUsed/>
    <w:rsid w:val="00A436DF"/>
    <w:rPr>
      <w:sz w:val="20"/>
      <w:szCs w:val="20"/>
    </w:rPr>
  </w:style>
  <w:style w:type="character" w:customStyle="1" w:styleId="FootnoteTextChar">
    <w:name w:val="Footnote Text Char"/>
    <w:basedOn w:val="DefaultParagraphFont"/>
    <w:link w:val="FootnoteText"/>
    <w:semiHidden/>
    <w:rsid w:val="00A436DF"/>
    <w:rPr>
      <w:lang w:eastAsia="ar-SA"/>
    </w:rPr>
  </w:style>
  <w:style w:type="character" w:styleId="FootnoteReference">
    <w:name w:val="footnote reference"/>
    <w:basedOn w:val="DefaultParagraphFont"/>
    <w:semiHidden/>
    <w:unhideWhenUsed/>
    <w:rsid w:val="00A436DF"/>
    <w:rPr>
      <w:vertAlign w:val="superscript"/>
    </w:rPr>
  </w:style>
  <w:style w:type="character" w:customStyle="1" w:styleId="tlid-translation">
    <w:name w:val="tlid-translation"/>
    <w:basedOn w:val="DefaultParagraphFont"/>
    <w:rsid w:val="00AF00A0"/>
  </w:style>
  <w:style w:type="paragraph" w:styleId="EndnoteText">
    <w:name w:val="endnote text"/>
    <w:basedOn w:val="Normal"/>
    <w:link w:val="EndnoteTextChar"/>
    <w:semiHidden/>
    <w:unhideWhenUsed/>
    <w:rsid w:val="00EF5D2F"/>
    <w:rPr>
      <w:sz w:val="20"/>
      <w:szCs w:val="20"/>
    </w:rPr>
  </w:style>
  <w:style w:type="character" w:customStyle="1" w:styleId="EndnoteTextChar">
    <w:name w:val="Endnote Text Char"/>
    <w:basedOn w:val="DefaultParagraphFont"/>
    <w:link w:val="EndnoteText"/>
    <w:semiHidden/>
    <w:rsid w:val="00EF5D2F"/>
    <w:rPr>
      <w:lang w:eastAsia="ar-SA"/>
    </w:rPr>
  </w:style>
  <w:style w:type="character" w:styleId="EndnoteReference">
    <w:name w:val="endnote reference"/>
    <w:basedOn w:val="DefaultParagraphFont"/>
    <w:semiHidden/>
    <w:unhideWhenUsed/>
    <w:rsid w:val="00EF5D2F"/>
    <w:rPr>
      <w:vertAlign w:val="superscript"/>
    </w:rPr>
  </w:style>
  <w:style w:type="paragraph" w:styleId="BodyText">
    <w:name w:val="Body Text"/>
    <w:basedOn w:val="Normal"/>
    <w:link w:val="BodyTextChar"/>
    <w:unhideWhenUsed/>
    <w:rsid w:val="00443400"/>
    <w:pPr>
      <w:spacing w:after="120"/>
    </w:pPr>
  </w:style>
  <w:style w:type="character" w:customStyle="1" w:styleId="BodyTextChar">
    <w:name w:val="Body Text Char"/>
    <w:basedOn w:val="DefaultParagraphFont"/>
    <w:link w:val="BodyText"/>
    <w:rsid w:val="0044340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4041">
      <w:bodyDiv w:val="1"/>
      <w:marLeft w:val="0"/>
      <w:marRight w:val="0"/>
      <w:marTop w:val="0"/>
      <w:marBottom w:val="0"/>
      <w:divBdr>
        <w:top w:val="none" w:sz="0" w:space="0" w:color="auto"/>
        <w:left w:val="none" w:sz="0" w:space="0" w:color="auto"/>
        <w:bottom w:val="none" w:sz="0" w:space="0" w:color="auto"/>
        <w:right w:val="none" w:sz="0" w:space="0" w:color="auto"/>
      </w:divBdr>
      <w:divsChild>
        <w:div w:id="1204100355">
          <w:marLeft w:val="0"/>
          <w:marRight w:val="0"/>
          <w:marTop w:val="0"/>
          <w:marBottom w:val="0"/>
          <w:divBdr>
            <w:top w:val="none" w:sz="0" w:space="0" w:color="auto"/>
            <w:left w:val="none" w:sz="0" w:space="0" w:color="auto"/>
            <w:bottom w:val="none" w:sz="0" w:space="0" w:color="auto"/>
            <w:right w:val="none" w:sz="0" w:space="0" w:color="auto"/>
          </w:divBdr>
          <w:divsChild>
            <w:div w:id="1003782075">
              <w:marLeft w:val="0"/>
              <w:marRight w:val="0"/>
              <w:marTop w:val="0"/>
              <w:marBottom w:val="0"/>
              <w:divBdr>
                <w:top w:val="none" w:sz="0" w:space="0" w:color="auto"/>
                <w:left w:val="none" w:sz="0" w:space="0" w:color="auto"/>
                <w:bottom w:val="none" w:sz="0" w:space="0" w:color="auto"/>
                <w:right w:val="none" w:sz="0" w:space="0" w:color="auto"/>
              </w:divBdr>
              <w:divsChild>
                <w:div w:id="1381171528">
                  <w:marLeft w:val="0"/>
                  <w:marRight w:val="0"/>
                  <w:marTop w:val="0"/>
                  <w:marBottom w:val="0"/>
                  <w:divBdr>
                    <w:top w:val="none" w:sz="0" w:space="0" w:color="auto"/>
                    <w:left w:val="none" w:sz="0" w:space="0" w:color="auto"/>
                    <w:bottom w:val="none" w:sz="0" w:space="0" w:color="auto"/>
                    <w:right w:val="none" w:sz="0" w:space="0" w:color="auto"/>
                  </w:divBdr>
                  <w:divsChild>
                    <w:div w:id="721636967">
                      <w:marLeft w:val="0"/>
                      <w:marRight w:val="0"/>
                      <w:marTop w:val="0"/>
                      <w:marBottom w:val="0"/>
                      <w:divBdr>
                        <w:top w:val="none" w:sz="0" w:space="0" w:color="auto"/>
                        <w:left w:val="none" w:sz="0" w:space="0" w:color="auto"/>
                        <w:bottom w:val="none" w:sz="0" w:space="0" w:color="auto"/>
                        <w:right w:val="none" w:sz="0" w:space="0" w:color="auto"/>
                      </w:divBdr>
                      <w:divsChild>
                        <w:div w:id="1104958030">
                          <w:marLeft w:val="0"/>
                          <w:marRight w:val="0"/>
                          <w:marTop w:val="0"/>
                          <w:marBottom w:val="0"/>
                          <w:divBdr>
                            <w:top w:val="none" w:sz="0" w:space="0" w:color="auto"/>
                            <w:left w:val="none" w:sz="0" w:space="0" w:color="auto"/>
                            <w:bottom w:val="none" w:sz="0" w:space="0" w:color="auto"/>
                            <w:right w:val="none" w:sz="0" w:space="0" w:color="auto"/>
                          </w:divBdr>
                          <w:divsChild>
                            <w:div w:id="1598977584">
                              <w:marLeft w:val="0"/>
                              <w:marRight w:val="0"/>
                              <w:marTop w:val="0"/>
                              <w:marBottom w:val="0"/>
                              <w:divBdr>
                                <w:top w:val="none" w:sz="0" w:space="0" w:color="auto"/>
                                <w:left w:val="none" w:sz="0" w:space="0" w:color="auto"/>
                                <w:bottom w:val="none" w:sz="0" w:space="0" w:color="auto"/>
                                <w:right w:val="none" w:sz="0" w:space="0" w:color="auto"/>
                              </w:divBdr>
                              <w:divsChild>
                                <w:div w:id="75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11275">
      <w:bodyDiv w:val="1"/>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sChild>
            <w:div w:id="965311846">
              <w:marLeft w:val="0"/>
              <w:marRight w:val="0"/>
              <w:marTop w:val="0"/>
              <w:marBottom w:val="0"/>
              <w:divBdr>
                <w:top w:val="none" w:sz="0" w:space="0" w:color="auto"/>
                <w:left w:val="none" w:sz="0" w:space="0" w:color="auto"/>
                <w:bottom w:val="none" w:sz="0" w:space="0" w:color="auto"/>
                <w:right w:val="none" w:sz="0" w:space="0" w:color="auto"/>
              </w:divBdr>
              <w:divsChild>
                <w:div w:id="829826636">
                  <w:marLeft w:val="0"/>
                  <w:marRight w:val="0"/>
                  <w:marTop w:val="0"/>
                  <w:marBottom w:val="0"/>
                  <w:divBdr>
                    <w:top w:val="none" w:sz="0" w:space="0" w:color="auto"/>
                    <w:left w:val="none" w:sz="0" w:space="0" w:color="auto"/>
                    <w:bottom w:val="none" w:sz="0" w:space="0" w:color="auto"/>
                    <w:right w:val="none" w:sz="0" w:space="0" w:color="auto"/>
                  </w:divBdr>
                  <w:divsChild>
                    <w:div w:id="464591555">
                      <w:marLeft w:val="0"/>
                      <w:marRight w:val="0"/>
                      <w:marTop w:val="0"/>
                      <w:marBottom w:val="0"/>
                      <w:divBdr>
                        <w:top w:val="none" w:sz="0" w:space="0" w:color="auto"/>
                        <w:left w:val="none" w:sz="0" w:space="0" w:color="auto"/>
                        <w:bottom w:val="none" w:sz="0" w:space="0" w:color="auto"/>
                        <w:right w:val="none" w:sz="0" w:space="0" w:color="auto"/>
                      </w:divBdr>
                      <w:divsChild>
                        <w:div w:id="677539455">
                          <w:marLeft w:val="0"/>
                          <w:marRight w:val="0"/>
                          <w:marTop w:val="0"/>
                          <w:marBottom w:val="0"/>
                          <w:divBdr>
                            <w:top w:val="none" w:sz="0" w:space="0" w:color="auto"/>
                            <w:left w:val="none" w:sz="0" w:space="0" w:color="auto"/>
                            <w:bottom w:val="none" w:sz="0" w:space="0" w:color="auto"/>
                            <w:right w:val="none" w:sz="0" w:space="0" w:color="auto"/>
                          </w:divBdr>
                          <w:divsChild>
                            <w:div w:id="1789620476">
                              <w:marLeft w:val="0"/>
                              <w:marRight w:val="0"/>
                              <w:marTop w:val="0"/>
                              <w:marBottom w:val="0"/>
                              <w:divBdr>
                                <w:top w:val="none" w:sz="0" w:space="0" w:color="auto"/>
                                <w:left w:val="none" w:sz="0" w:space="0" w:color="auto"/>
                                <w:bottom w:val="none" w:sz="0" w:space="0" w:color="auto"/>
                                <w:right w:val="none" w:sz="0" w:space="0" w:color="auto"/>
                              </w:divBdr>
                              <w:divsChild>
                                <w:div w:id="1312831728">
                                  <w:marLeft w:val="0"/>
                                  <w:marRight w:val="0"/>
                                  <w:marTop w:val="0"/>
                                  <w:marBottom w:val="0"/>
                                  <w:divBdr>
                                    <w:top w:val="single" w:sz="6" w:space="0" w:color="F5F5F5"/>
                                    <w:left w:val="single" w:sz="6" w:space="0" w:color="F5F5F5"/>
                                    <w:bottom w:val="single" w:sz="6" w:space="0" w:color="F5F5F5"/>
                                    <w:right w:val="single" w:sz="6" w:space="0" w:color="F5F5F5"/>
                                  </w:divBdr>
                                  <w:divsChild>
                                    <w:div w:id="649411183">
                                      <w:marLeft w:val="0"/>
                                      <w:marRight w:val="0"/>
                                      <w:marTop w:val="0"/>
                                      <w:marBottom w:val="0"/>
                                      <w:divBdr>
                                        <w:top w:val="none" w:sz="0" w:space="0" w:color="auto"/>
                                        <w:left w:val="none" w:sz="0" w:space="0" w:color="auto"/>
                                        <w:bottom w:val="none" w:sz="0" w:space="0" w:color="auto"/>
                                        <w:right w:val="none" w:sz="0" w:space="0" w:color="auto"/>
                                      </w:divBdr>
                                      <w:divsChild>
                                        <w:div w:id="776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45532386">
          <w:marLeft w:val="0"/>
          <w:marRight w:val="0"/>
          <w:marTop w:val="0"/>
          <w:marBottom w:val="0"/>
          <w:divBdr>
            <w:top w:val="none" w:sz="0" w:space="0" w:color="auto"/>
            <w:left w:val="none" w:sz="0" w:space="0" w:color="auto"/>
            <w:bottom w:val="none" w:sz="0" w:space="0" w:color="auto"/>
            <w:right w:val="none" w:sz="0" w:space="0" w:color="auto"/>
          </w:divBdr>
          <w:divsChild>
            <w:div w:id="656349856">
              <w:marLeft w:val="0"/>
              <w:marRight w:val="0"/>
              <w:marTop w:val="0"/>
              <w:marBottom w:val="0"/>
              <w:divBdr>
                <w:top w:val="none" w:sz="0" w:space="0" w:color="auto"/>
                <w:left w:val="none" w:sz="0" w:space="0" w:color="auto"/>
                <w:bottom w:val="none" w:sz="0" w:space="0" w:color="auto"/>
                <w:right w:val="none" w:sz="0" w:space="0" w:color="auto"/>
              </w:divBdr>
              <w:divsChild>
                <w:div w:id="1399281100">
                  <w:marLeft w:val="0"/>
                  <w:marRight w:val="0"/>
                  <w:marTop w:val="0"/>
                  <w:marBottom w:val="0"/>
                  <w:divBdr>
                    <w:top w:val="none" w:sz="0" w:space="0" w:color="auto"/>
                    <w:left w:val="none" w:sz="0" w:space="0" w:color="auto"/>
                    <w:bottom w:val="none" w:sz="0" w:space="0" w:color="auto"/>
                    <w:right w:val="none" w:sz="0" w:space="0" w:color="auto"/>
                  </w:divBdr>
                  <w:divsChild>
                    <w:div w:id="1344434072">
                      <w:marLeft w:val="0"/>
                      <w:marRight w:val="0"/>
                      <w:marTop w:val="0"/>
                      <w:marBottom w:val="0"/>
                      <w:divBdr>
                        <w:top w:val="none" w:sz="0" w:space="0" w:color="auto"/>
                        <w:left w:val="none" w:sz="0" w:space="0" w:color="auto"/>
                        <w:bottom w:val="none" w:sz="0" w:space="0" w:color="auto"/>
                        <w:right w:val="none" w:sz="0" w:space="0" w:color="auto"/>
                      </w:divBdr>
                      <w:divsChild>
                        <w:div w:id="550845693">
                          <w:marLeft w:val="0"/>
                          <w:marRight w:val="0"/>
                          <w:marTop w:val="0"/>
                          <w:marBottom w:val="0"/>
                          <w:divBdr>
                            <w:top w:val="none" w:sz="0" w:space="0" w:color="auto"/>
                            <w:left w:val="none" w:sz="0" w:space="0" w:color="auto"/>
                            <w:bottom w:val="none" w:sz="0" w:space="0" w:color="auto"/>
                            <w:right w:val="none" w:sz="0" w:space="0" w:color="auto"/>
                          </w:divBdr>
                          <w:divsChild>
                            <w:div w:id="1948003105">
                              <w:marLeft w:val="0"/>
                              <w:marRight w:val="0"/>
                              <w:marTop w:val="0"/>
                              <w:marBottom w:val="0"/>
                              <w:divBdr>
                                <w:top w:val="none" w:sz="0" w:space="0" w:color="auto"/>
                                <w:left w:val="none" w:sz="0" w:space="0" w:color="auto"/>
                                <w:bottom w:val="none" w:sz="0" w:space="0" w:color="auto"/>
                                <w:right w:val="none" w:sz="0" w:space="0" w:color="auto"/>
                              </w:divBdr>
                              <w:divsChild>
                                <w:div w:id="1127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423754">
      <w:bodyDiv w:val="1"/>
      <w:marLeft w:val="0"/>
      <w:marRight w:val="0"/>
      <w:marTop w:val="0"/>
      <w:marBottom w:val="0"/>
      <w:divBdr>
        <w:top w:val="none" w:sz="0" w:space="0" w:color="auto"/>
        <w:left w:val="none" w:sz="0" w:space="0" w:color="auto"/>
        <w:bottom w:val="none" w:sz="0" w:space="0" w:color="auto"/>
        <w:right w:val="none" w:sz="0" w:space="0" w:color="auto"/>
      </w:divBdr>
    </w:div>
    <w:div w:id="1294365100">
      <w:bodyDiv w:val="1"/>
      <w:marLeft w:val="0"/>
      <w:marRight w:val="0"/>
      <w:marTop w:val="0"/>
      <w:marBottom w:val="0"/>
      <w:divBdr>
        <w:top w:val="none" w:sz="0" w:space="0" w:color="auto"/>
        <w:left w:val="none" w:sz="0" w:space="0" w:color="auto"/>
        <w:bottom w:val="none" w:sz="0" w:space="0" w:color="auto"/>
        <w:right w:val="none" w:sz="0" w:space="0" w:color="auto"/>
      </w:divBdr>
      <w:divsChild>
        <w:div w:id="1433092670">
          <w:marLeft w:val="0"/>
          <w:marRight w:val="0"/>
          <w:marTop w:val="0"/>
          <w:marBottom w:val="0"/>
          <w:divBdr>
            <w:top w:val="none" w:sz="0" w:space="0" w:color="auto"/>
            <w:left w:val="none" w:sz="0" w:space="0" w:color="auto"/>
            <w:bottom w:val="none" w:sz="0" w:space="0" w:color="auto"/>
            <w:right w:val="none" w:sz="0" w:space="0" w:color="auto"/>
          </w:divBdr>
          <w:divsChild>
            <w:div w:id="1984506478">
              <w:marLeft w:val="0"/>
              <w:marRight w:val="0"/>
              <w:marTop w:val="0"/>
              <w:marBottom w:val="0"/>
              <w:divBdr>
                <w:top w:val="none" w:sz="0" w:space="0" w:color="auto"/>
                <w:left w:val="none" w:sz="0" w:space="0" w:color="auto"/>
                <w:bottom w:val="none" w:sz="0" w:space="0" w:color="auto"/>
                <w:right w:val="none" w:sz="0" w:space="0" w:color="auto"/>
              </w:divBdr>
              <w:divsChild>
                <w:div w:id="1181050446">
                  <w:marLeft w:val="0"/>
                  <w:marRight w:val="0"/>
                  <w:marTop w:val="0"/>
                  <w:marBottom w:val="0"/>
                  <w:divBdr>
                    <w:top w:val="none" w:sz="0" w:space="0" w:color="auto"/>
                    <w:left w:val="none" w:sz="0" w:space="0" w:color="auto"/>
                    <w:bottom w:val="none" w:sz="0" w:space="0" w:color="auto"/>
                    <w:right w:val="none" w:sz="0" w:space="0" w:color="auto"/>
                  </w:divBdr>
                  <w:divsChild>
                    <w:div w:id="604920663">
                      <w:marLeft w:val="0"/>
                      <w:marRight w:val="0"/>
                      <w:marTop w:val="0"/>
                      <w:marBottom w:val="0"/>
                      <w:divBdr>
                        <w:top w:val="none" w:sz="0" w:space="0" w:color="auto"/>
                        <w:left w:val="none" w:sz="0" w:space="0" w:color="auto"/>
                        <w:bottom w:val="none" w:sz="0" w:space="0" w:color="auto"/>
                        <w:right w:val="none" w:sz="0" w:space="0" w:color="auto"/>
                      </w:divBdr>
                      <w:divsChild>
                        <w:div w:id="97337980">
                          <w:marLeft w:val="0"/>
                          <w:marRight w:val="0"/>
                          <w:marTop w:val="0"/>
                          <w:marBottom w:val="0"/>
                          <w:divBdr>
                            <w:top w:val="none" w:sz="0" w:space="0" w:color="auto"/>
                            <w:left w:val="none" w:sz="0" w:space="0" w:color="auto"/>
                            <w:bottom w:val="none" w:sz="0" w:space="0" w:color="auto"/>
                            <w:right w:val="none" w:sz="0" w:space="0" w:color="auto"/>
                          </w:divBdr>
                          <w:divsChild>
                            <w:div w:id="1081952922">
                              <w:marLeft w:val="0"/>
                              <w:marRight w:val="0"/>
                              <w:marTop w:val="0"/>
                              <w:marBottom w:val="0"/>
                              <w:divBdr>
                                <w:top w:val="none" w:sz="0" w:space="0" w:color="auto"/>
                                <w:left w:val="none" w:sz="0" w:space="0" w:color="auto"/>
                                <w:bottom w:val="none" w:sz="0" w:space="0" w:color="auto"/>
                                <w:right w:val="none" w:sz="0" w:space="0" w:color="auto"/>
                              </w:divBdr>
                              <w:divsChild>
                                <w:div w:id="5599428">
                                  <w:marLeft w:val="0"/>
                                  <w:marRight w:val="0"/>
                                  <w:marTop w:val="0"/>
                                  <w:marBottom w:val="0"/>
                                  <w:divBdr>
                                    <w:top w:val="single" w:sz="6" w:space="0" w:color="F5F5F5"/>
                                    <w:left w:val="single" w:sz="6" w:space="0" w:color="F5F5F5"/>
                                    <w:bottom w:val="single" w:sz="6" w:space="0" w:color="F5F5F5"/>
                                    <w:right w:val="single" w:sz="6" w:space="0" w:color="F5F5F5"/>
                                  </w:divBdr>
                                  <w:divsChild>
                                    <w:div w:id="1624114099">
                                      <w:marLeft w:val="0"/>
                                      <w:marRight w:val="0"/>
                                      <w:marTop w:val="0"/>
                                      <w:marBottom w:val="0"/>
                                      <w:divBdr>
                                        <w:top w:val="none" w:sz="0" w:space="0" w:color="auto"/>
                                        <w:left w:val="none" w:sz="0" w:space="0" w:color="auto"/>
                                        <w:bottom w:val="none" w:sz="0" w:space="0" w:color="auto"/>
                                        <w:right w:val="none" w:sz="0" w:space="0" w:color="auto"/>
                                      </w:divBdr>
                                      <w:divsChild>
                                        <w:div w:id="1701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96299">
      <w:bodyDiv w:val="1"/>
      <w:marLeft w:val="0"/>
      <w:marRight w:val="0"/>
      <w:marTop w:val="0"/>
      <w:marBottom w:val="0"/>
      <w:divBdr>
        <w:top w:val="none" w:sz="0" w:space="0" w:color="auto"/>
        <w:left w:val="none" w:sz="0" w:space="0" w:color="auto"/>
        <w:bottom w:val="none" w:sz="0" w:space="0" w:color="auto"/>
        <w:right w:val="none" w:sz="0" w:space="0" w:color="auto"/>
      </w:divBdr>
      <w:divsChild>
        <w:div w:id="174420368">
          <w:marLeft w:val="0"/>
          <w:marRight w:val="0"/>
          <w:marTop w:val="0"/>
          <w:marBottom w:val="0"/>
          <w:divBdr>
            <w:top w:val="none" w:sz="0" w:space="0" w:color="auto"/>
            <w:left w:val="none" w:sz="0" w:space="0" w:color="auto"/>
            <w:bottom w:val="none" w:sz="0" w:space="0" w:color="auto"/>
            <w:right w:val="none" w:sz="0" w:space="0" w:color="auto"/>
          </w:divBdr>
          <w:divsChild>
            <w:div w:id="66348356">
              <w:marLeft w:val="0"/>
              <w:marRight w:val="0"/>
              <w:marTop w:val="0"/>
              <w:marBottom w:val="0"/>
              <w:divBdr>
                <w:top w:val="none" w:sz="0" w:space="0" w:color="auto"/>
                <w:left w:val="none" w:sz="0" w:space="0" w:color="auto"/>
                <w:bottom w:val="none" w:sz="0" w:space="0" w:color="auto"/>
                <w:right w:val="none" w:sz="0" w:space="0" w:color="auto"/>
              </w:divBdr>
              <w:divsChild>
                <w:div w:id="1476950101">
                  <w:marLeft w:val="0"/>
                  <w:marRight w:val="0"/>
                  <w:marTop w:val="0"/>
                  <w:marBottom w:val="0"/>
                  <w:divBdr>
                    <w:top w:val="none" w:sz="0" w:space="0" w:color="auto"/>
                    <w:left w:val="none" w:sz="0" w:space="0" w:color="auto"/>
                    <w:bottom w:val="none" w:sz="0" w:space="0" w:color="auto"/>
                    <w:right w:val="none" w:sz="0" w:space="0" w:color="auto"/>
                  </w:divBdr>
                  <w:divsChild>
                    <w:div w:id="1920555440">
                      <w:marLeft w:val="0"/>
                      <w:marRight w:val="0"/>
                      <w:marTop w:val="0"/>
                      <w:marBottom w:val="0"/>
                      <w:divBdr>
                        <w:top w:val="none" w:sz="0" w:space="0" w:color="auto"/>
                        <w:left w:val="none" w:sz="0" w:space="0" w:color="auto"/>
                        <w:bottom w:val="none" w:sz="0" w:space="0" w:color="auto"/>
                        <w:right w:val="none" w:sz="0" w:space="0" w:color="auto"/>
                      </w:divBdr>
                      <w:divsChild>
                        <w:div w:id="1998655128">
                          <w:marLeft w:val="0"/>
                          <w:marRight w:val="0"/>
                          <w:marTop w:val="0"/>
                          <w:marBottom w:val="0"/>
                          <w:divBdr>
                            <w:top w:val="none" w:sz="0" w:space="0" w:color="auto"/>
                            <w:left w:val="none" w:sz="0" w:space="0" w:color="auto"/>
                            <w:bottom w:val="none" w:sz="0" w:space="0" w:color="auto"/>
                            <w:right w:val="none" w:sz="0" w:space="0" w:color="auto"/>
                          </w:divBdr>
                          <w:divsChild>
                            <w:div w:id="717317667">
                              <w:marLeft w:val="0"/>
                              <w:marRight w:val="0"/>
                              <w:marTop w:val="0"/>
                              <w:marBottom w:val="0"/>
                              <w:divBdr>
                                <w:top w:val="none" w:sz="0" w:space="0" w:color="auto"/>
                                <w:left w:val="none" w:sz="0" w:space="0" w:color="auto"/>
                                <w:bottom w:val="none" w:sz="0" w:space="0" w:color="auto"/>
                                <w:right w:val="none" w:sz="0" w:space="0" w:color="auto"/>
                              </w:divBdr>
                              <w:divsChild>
                                <w:div w:id="2106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083716">
      <w:bodyDiv w:val="1"/>
      <w:marLeft w:val="0"/>
      <w:marRight w:val="0"/>
      <w:marTop w:val="0"/>
      <w:marBottom w:val="0"/>
      <w:divBdr>
        <w:top w:val="none" w:sz="0" w:space="0" w:color="auto"/>
        <w:left w:val="none" w:sz="0" w:space="0" w:color="auto"/>
        <w:bottom w:val="none" w:sz="0" w:space="0" w:color="auto"/>
        <w:right w:val="none" w:sz="0" w:space="0" w:color="auto"/>
      </w:divBdr>
      <w:divsChild>
        <w:div w:id="223373835">
          <w:marLeft w:val="0"/>
          <w:marRight w:val="0"/>
          <w:marTop w:val="0"/>
          <w:marBottom w:val="0"/>
          <w:divBdr>
            <w:top w:val="none" w:sz="0" w:space="0" w:color="auto"/>
            <w:left w:val="none" w:sz="0" w:space="0" w:color="auto"/>
            <w:bottom w:val="none" w:sz="0" w:space="0" w:color="auto"/>
            <w:right w:val="none" w:sz="0" w:space="0" w:color="auto"/>
          </w:divBdr>
          <w:divsChild>
            <w:div w:id="1382096471">
              <w:marLeft w:val="0"/>
              <w:marRight w:val="0"/>
              <w:marTop w:val="0"/>
              <w:marBottom w:val="0"/>
              <w:divBdr>
                <w:top w:val="none" w:sz="0" w:space="0" w:color="auto"/>
                <w:left w:val="none" w:sz="0" w:space="0" w:color="auto"/>
                <w:bottom w:val="none" w:sz="0" w:space="0" w:color="auto"/>
                <w:right w:val="none" w:sz="0" w:space="0" w:color="auto"/>
              </w:divBdr>
              <w:divsChild>
                <w:div w:id="1939170530">
                  <w:marLeft w:val="0"/>
                  <w:marRight w:val="0"/>
                  <w:marTop w:val="0"/>
                  <w:marBottom w:val="0"/>
                  <w:divBdr>
                    <w:top w:val="none" w:sz="0" w:space="0" w:color="auto"/>
                    <w:left w:val="none" w:sz="0" w:space="0" w:color="auto"/>
                    <w:bottom w:val="none" w:sz="0" w:space="0" w:color="auto"/>
                    <w:right w:val="none" w:sz="0" w:space="0" w:color="auto"/>
                  </w:divBdr>
                  <w:divsChild>
                    <w:div w:id="839849281">
                      <w:marLeft w:val="0"/>
                      <w:marRight w:val="0"/>
                      <w:marTop w:val="0"/>
                      <w:marBottom w:val="0"/>
                      <w:divBdr>
                        <w:top w:val="none" w:sz="0" w:space="0" w:color="auto"/>
                        <w:left w:val="none" w:sz="0" w:space="0" w:color="auto"/>
                        <w:bottom w:val="none" w:sz="0" w:space="0" w:color="auto"/>
                        <w:right w:val="none" w:sz="0" w:space="0" w:color="auto"/>
                      </w:divBdr>
                      <w:divsChild>
                        <w:div w:id="1282301873">
                          <w:marLeft w:val="0"/>
                          <w:marRight w:val="0"/>
                          <w:marTop w:val="0"/>
                          <w:marBottom w:val="0"/>
                          <w:divBdr>
                            <w:top w:val="none" w:sz="0" w:space="0" w:color="auto"/>
                            <w:left w:val="none" w:sz="0" w:space="0" w:color="auto"/>
                            <w:bottom w:val="none" w:sz="0" w:space="0" w:color="auto"/>
                            <w:right w:val="none" w:sz="0" w:space="0" w:color="auto"/>
                          </w:divBdr>
                          <w:divsChild>
                            <w:div w:id="1953321688">
                              <w:marLeft w:val="0"/>
                              <w:marRight w:val="0"/>
                              <w:marTop w:val="0"/>
                              <w:marBottom w:val="0"/>
                              <w:divBdr>
                                <w:top w:val="none" w:sz="0" w:space="0" w:color="auto"/>
                                <w:left w:val="none" w:sz="0" w:space="0" w:color="auto"/>
                                <w:bottom w:val="none" w:sz="0" w:space="0" w:color="auto"/>
                                <w:right w:val="none" w:sz="0" w:space="0" w:color="auto"/>
                              </w:divBdr>
                              <w:divsChild>
                                <w:div w:id="85735099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1926379027">
                                          <w:marLeft w:val="0"/>
                                          <w:marRight w:val="0"/>
                                          <w:marTop w:val="0"/>
                                          <w:marBottom w:val="413"/>
                                          <w:divBdr>
                                            <w:top w:val="none" w:sz="0" w:space="0" w:color="auto"/>
                                            <w:left w:val="none" w:sz="0" w:space="0" w:color="auto"/>
                                            <w:bottom w:val="none" w:sz="0" w:space="0" w:color="auto"/>
                                            <w:right w:val="none" w:sz="0" w:space="0" w:color="auto"/>
                                          </w:divBdr>
                                          <w:divsChild>
                                            <w:div w:id="14433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905007">
      <w:bodyDiv w:val="1"/>
      <w:marLeft w:val="0"/>
      <w:marRight w:val="0"/>
      <w:marTop w:val="0"/>
      <w:marBottom w:val="0"/>
      <w:divBdr>
        <w:top w:val="none" w:sz="0" w:space="0" w:color="auto"/>
        <w:left w:val="none" w:sz="0" w:space="0" w:color="auto"/>
        <w:bottom w:val="none" w:sz="0" w:space="0" w:color="auto"/>
        <w:right w:val="none" w:sz="0" w:space="0" w:color="auto"/>
      </w:divBdr>
    </w:div>
    <w:div w:id="1623267050">
      <w:bodyDiv w:val="1"/>
      <w:marLeft w:val="0"/>
      <w:marRight w:val="0"/>
      <w:marTop w:val="0"/>
      <w:marBottom w:val="0"/>
      <w:divBdr>
        <w:top w:val="none" w:sz="0" w:space="0" w:color="auto"/>
        <w:left w:val="none" w:sz="0" w:space="0" w:color="auto"/>
        <w:bottom w:val="none" w:sz="0" w:space="0" w:color="auto"/>
        <w:right w:val="none" w:sz="0" w:space="0" w:color="auto"/>
      </w:divBdr>
      <w:divsChild>
        <w:div w:id="1309941174">
          <w:marLeft w:val="0"/>
          <w:marRight w:val="0"/>
          <w:marTop w:val="0"/>
          <w:marBottom w:val="0"/>
          <w:divBdr>
            <w:top w:val="none" w:sz="0" w:space="0" w:color="auto"/>
            <w:left w:val="none" w:sz="0" w:space="0" w:color="auto"/>
            <w:bottom w:val="none" w:sz="0" w:space="0" w:color="auto"/>
            <w:right w:val="none" w:sz="0" w:space="0" w:color="auto"/>
          </w:divBdr>
          <w:divsChild>
            <w:div w:id="322389696">
              <w:marLeft w:val="0"/>
              <w:marRight w:val="0"/>
              <w:marTop w:val="0"/>
              <w:marBottom w:val="0"/>
              <w:divBdr>
                <w:top w:val="none" w:sz="0" w:space="0" w:color="auto"/>
                <w:left w:val="none" w:sz="0" w:space="0" w:color="auto"/>
                <w:bottom w:val="none" w:sz="0" w:space="0" w:color="auto"/>
                <w:right w:val="none" w:sz="0" w:space="0" w:color="auto"/>
              </w:divBdr>
              <w:divsChild>
                <w:div w:id="165051364">
                  <w:marLeft w:val="0"/>
                  <w:marRight w:val="0"/>
                  <w:marTop w:val="0"/>
                  <w:marBottom w:val="0"/>
                  <w:divBdr>
                    <w:top w:val="none" w:sz="0" w:space="0" w:color="auto"/>
                    <w:left w:val="none" w:sz="0" w:space="0" w:color="auto"/>
                    <w:bottom w:val="none" w:sz="0" w:space="0" w:color="auto"/>
                    <w:right w:val="none" w:sz="0" w:space="0" w:color="auto"/>
                  </w:divBdr>
                  <w:divsChild>
                    <w:div w:id="184560780">
                      <w:marLeft w:val="0"/>
                      <w:marRight w:val="0"/>
                      <w:marTop w:val="0"/>
                      <w:marBottom w:val="0"/>
                      <w:divBdr>
                        <w:top w:val="none" w:sz="0" w:space="0" w:color="auto"/>
                        <w:left w:val="none" w:sz="0" w:space="0" w:color="auto"/>
                        <w:bottom w:val="none" w:sz="0" w:space="0" w:color="auto"/>
                        <w:right w:val="none" w:sz="0" w:space="0" w:color="auto"/>
                      </w:divBdr>
                      <w:divsChild>
                        <w:div w:id="1776442611">
                          <w:marLeft w:val="0"/>
                          <w:marRight w:val="0"/>
                          <w:marTop w:val="0"/>
                          <w:marBottom w:val="0"/>
                          <w:divBdr>
                            <w:top w:val="none" w:sz="0" w:space="0" w:color="auto"/>
                            <w:left w:val="none" w:sz="0" w:space="0" w:color="auto"/>
                            <w:bottom w:val="none" w:sz="0" w:space="0" w:color="auto"/>
                            <w:right w:val="none" w:sz="0" w:space="0" w:color="auto"/>
                          </w:divBdr>
                          <w:divsChild>
                            <w:div w:id="1808350822">
                              <w:marLeft w:val="0"/>
                              <w:marRight w:val="0"/>
                              <w:marTop w:val="0"/>
                              <w:marBottom w:val="0"/>
                              <w:divBdr>
                                <w:top w:val="none" w:sz="0" w:space="0" w:color="auto"/>
                                <w:left w:val="none" w:sz="0" w:space="0" w:color="auto"/>
                                <w:bottom w:val="none" w:sz="0" w:space="0" w:color="auto"/>
                                <w:right w:val="none" w:sz="0" w:space="0" w:color="auto"/>
                              </w:divBdr>
                              <w:divsChild>
                                <w:div w:id="706492483">
                                  <w:marLeft w:val="0"/>
                                  <w:marRight w:val="0"/>
                                  <w:marTop w:val="0"/>
                                  <w:marBottom w:val="0"/>
                                  <w:divBdr>
                                    <w:top w:val="single" w:sz="6" w:space="0" w:color="F5F5F5"/>
                                    <w:left w:val="single" w:sz="6" w:space="0" w:color="F5F5F5"/>
                                    <w:bottom w:val="single" w:sz="6" w:space="0" w:color="F5F5F5"/>
                                    <w:right w:val="single" w:sz="6" w:space="0" w:color="F5F5F5"/>
                                  </w:divBdr>
                                  <w:divsChild>
                                    <w:div w:id="1953248264">
                                      <w:marLeft w:val="0"/>
                                      <w:marRight w:val="0"/>
                                      <w:marTop w:val="0"/>
                                      <w:marBottom w:val="0"/>
                                      <w:divBdr>
                                        <w:top w:val="none" w:sz="0" w:space="0" w:color="auto"/>
                                        <w:left w:val="none" w:sz="0" w:space="0" w:color="auto"/>
                                        <w:bottom w:val="none" w:sz="0" w:space="0" w:color="auto"/>
                                        <w:right w:val="none" w:sz="0" w:space="0" w:color="auto"/>
                                      </w:divBdr>
                                      <w:divsChild>
                                        <w:div w:id="1678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30906">
      <w:bodyDiv w:val="1"/>
      <w:marLeft w:val="0"/>
      <w:marRight w:val="0"/>
      <w:marTop w:val="0"/>
      <w:marBottom w:val="0"/>
      <w:divBdr>
        <w:top w:val="none" w:sz="0" w:space="0" w:color="auto"/>
        <w:left w:val="none" w:sz="0" w:space="0" w:color="auto"/>
        <w:bottom w:val="none" w:sz="0" w:space="0" w:color="auto"/>
        <w:right w:val="none" w:sz="0" w:space="0" w:color="auto"/>
      </w:divBdr>
      <w:divsChild>
        <w:div w:id="1738282278">
          <w:marLeft w:val="0"/>
          <w:marRight w:val="0"/>
          <w:marTop w:val="0"/>
          <w:marBottom w:val="0"/>
          <w:divBdr>
            <w:top w:val="none" w:sz="0" w:space="0" w:color="auto"/>
            <w:left w:val="none" w:sz="0" w:space="0" w:color="auto"/>
            <w:bottom w:val="none" w:sz="0" w:space="0" w:color="auto"/>
            <w:right w:val="none" w:sz="0" w:space="0" w:color="auto"/>
          </w:divBdr>
          <w:divsChild>
            <w:div w:id="1890796955">
              <w:marLeft w:val="0"/>
              <w:marRight w:val="0"/>
              <w:marTop w:val="0"/>
              <w:marBottom w:val="0"/>
              <w:divBdr>
                <w:top w:val="none" w:sz="0" w:space="0" w:color="auto"/>
                <w:left w:val="none" w:sz="0" w:space="0" w:color="auto"/>
                <w:bottom w:val="none" w:sz="0" w:space="0" w:color="auto"/>
                <w:right w:val="none" w:sz="0" w:space="0" w:color="auto"/>
              </w:divBdr>
              <w:divsChild>
                <w:div w:id="1420130275">
                  <w:marLeft w:val="0"/>
                  <w:marRight w:val="0"/>
                  <w:marTop w:val="0"/>
                  <w:marBottom w:val="0"/>
                  <w:divBdr>
                    <w:top w:val="none" w:sz="0" w:space="0" w:color="auto"/>
                    <w:left w:val="none" w:sz="0" w:space="0" w:color="auto"/>
                    <w:bottom w:val="none" w:sz="0" w:space="0" w:color="auto"/>
                    <w:right w:val="none" w:sz="0" w:space="0" w:color="auto"/>
                  </w:divBdr>
                  <w:divsChild>
                    <w:div w:id="509686803">
                      <w:marLeft w:val="0"/>
                      <w:marRight w:val="0"/>
                      <w:marTop w:val="0"/>
                      <w:marBottom w:val="0"/>
                      <w:divBdr>
                        <w:top w:val="none" w:sz="0" w:space="0" w:color="auto"/>
                        <w:left w:val="none" w:sz="0" w:space="0" w:color="auto"/>
                        <w:bottom w:val="none" w:sz="0" w:space="0" w:color="auto"/>
                        <w:right w:val="none" w:sz="0" w:space="0" w:color="auto"/>
                      </w:divBdr>
                      <w:divsChild>
                        <w:div w:id="31853756">
                          <w:marLeft w:val="0"/>
                          <w:marRight w:val="0"/>
                          <w:marTop w:val="0"/>
                          <w:marBottom w:val="0"/>
                          <w:divBdr>
                            <w:top w:val="none" w:sz="0" w:space="0" w:color="auto"/>
                            <w:left w:val="none" w:sz="0" w:space="0" w:color="auto"/>
                            <w:bottom w:val="none" w:sz="0" w:space="0" w:color="auto"/>
                            <w:right w:val="none" w:sz="0" w:space="0" w:color="auto"/>
                          </w:divBdr>
                          <w:divsChild>
                            <w:div w:id="1638101086">
                              <w:marLeft w:val="0"/>
                              <w:marRight w:val="0"/>
                              <w:marTop w:val="0"/>
                              <w:marBottom w:val="0"/>
                              <w:divBdr>
                                <w:top w:val="none" w:sz="0" w:space="0" w:color="auto"/>
                                <w:left w:val="none" w:sz="0" w:space="0" w:color="auto"/>
                                <w:bottom w:val="none" w:sz="0" w:space="0" w:color="auto"/>
                                <w:right w:val="none" w:sz="0" w:space="0" w:color="auto"/>
                              </w:divBdr>
                              <w:divsChild>
                                <w:div w:id="154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61555">
      <w:bodyDiv w:val="1"/>
      <w:marLeft w:val="0"/>
      <w:marRight w:val="0"/>
      <w:marTop w:val="0"/>
      <w:marBottom w:val="0"/>
      <w:divBdr>
        <w:top w:val="none" w:sz="0" w:space="0" w:color="auto"/>
        <w:left w:val="none" w:sz="0" w:space="0" w:color="auto"/>
        <w:bottom w:val="none" w:sz="0" w:space="0" w:color="auto"/>
        <w:right w:val="none" w:sz="0" w:space="0" w:color="auto"/>
      </w:divBdr>
      <w:divsChild>
        <w:div w:id="363674097">
          <w:marLeft w:val="0"/>
          <w:marRight w:val="0"/>
          <w:marTop w:val="0"/>
          <w:marBottom w:val="0"/>
          <w:divBdr>
            <w:top w:val="none" w:sz="0" w:space="0" w:color="auto"/>
            <w:left w:val="none" w:sz="0" w:space="0" w:color="auto"/>
            <w:bottom w:val="none" w:sz="0" w:space="0" w:color="auto"/>
            <w:right w:val="none" w:sz="0" w:space="0" w:color="auto"/>
          </w:divBdr>
          <w:divsChild>
            <w:div w:id="1128939635">
              <w:marLeft w:val="0"/>
              <w:marRight w:val="0"/>
              <w:marTop w:val="0"/>
              <w:marBottom w:val="0"/>
              <w:divBdr>
                <w:top w:val="none" w:sz="0" w:space="0" w:color="auto"/>
                <w:left w:val="none" w:sz="0" w:space="0" w:color="auto"/>
                <w:bottom w:val="none" w:sz="0" w:space="0" w:color="auto"/>
                <w:right w:val="none" w:sz="0" w:space="0" w:color="auto"/>
              </w:divBdr>
              <w:divsChild>
                <w:div w:id="763692174">
                  <w:marLeft w:val="0"/>
                  <w:marRight w:val="0"/>
                  <w:marTop w:val="0"/>
                  <w:marBottom w:val="0"/>
                  <w:divBdr>
                    <w:top w:val="none" w:sz="0" w:space="0" w:color="auto"/>
                    <w:left w:val="none" w:sz="0" w:space="0" w:color="auto"/>
                    <w:bottom w:val="none" w:sz="0" w:space="0" w:color="auto"/>
                    <w:right w:val="none" w:sz="0" w:space="0" w:color="auto"/>
                  </w:divBdr>
                  <w:divsChild>
                    <w:div w:id="1147822258">
                      <w:marLeft w:val="0"/>
                      <w:marRight w:val="0"/>
                      <w:marTop w:val="0"/>
                      <w:marBottom w:val="0"/>
                      <w:divBdr>
                        <w:top w:val="none" w:sz="0" w:space="0" w:color="auto"/>
                        <w:left w:val="none" w:sz="0" w:space="0" w:color="auto"/>
                        <w:bottom w:val="none" w:sz="0" w:space="0" w:color="auto"/>
                        <w:right w:val="none" w:sz="0" w:space="0" w:color="auto"/>
                      </w:divBdr>
                      <w:divsChild>
                        <w:div w:id="1032726739">
                          <w:marLeft w:val="0"/>
                          <w:marRight w:val="0"/>
                          <w:marTop w:val="0"/>
                          <w:marBottom w:val="0"/>
                          <w:divBdr>
                            <w:top w:val="none" w:sz="0" w:space="0" w:color="auto"/>
                            <w:left w:val="none" w:sz="0" w:space="0" w:color="auto"/>
                            <w:bottom w:val="none" w:sz="0" w:space="0" w:color="auto"/>
                            <w:right w:val="none" w:sz="0" w:space="0" w:color="auto"/>
                          </w:divBdr>
                          <w:divsChild>
                            <w:div w:id="261882745">
                              <w:marLeft w:val="0"/>
                              <w:marRight w:val="0"/>
                              <w:marTop w:val="0"/>
                              <w:marBottom w:val="0"/>
                              <w:divBdr>
                                <w:top w:val="none" w:sz="0" w:space="0" w:color="auto"/>
                                <w:left w:val="none" w:sz="0" w:space="0" w:color="auto"/>
                                <w:bottom w:val="none" w:sz="0" w:space="0" w:color="auto"/>
                                <w:right w:val="none" w:sz="0" w:space="0" w:color="auto"/>
                              </w:divBdr>
                              <w:divsChild>
                                <w:div w:id="1174148745">
                                  <w:marLeft w:val="0"/>
                                  <w:marRight w:val="0"/>
                                  <w:marTop w:val="0"/>
                                  <w:marBottom w:val="0"/>
                                  <w:divBdr>
                                    <w:top w:val="single" w:sz="6" w:space="0" w:color="F5F5F5"/>
                                    <w:left w:val="single" w:sz="6" w:space="0" w:color="F5F5F5"/>
                                    <w:bottom w:val="single" w:sz="6" w:space="0" w:color="F5F5F5"/>
                                    <w:right w:val="single" w:sz="6" w:space="0" w:color="F5F5F5"/>
                                  </w:divBdr>
                                  <w:divsChild>
                                    <w:div w:id="2005089626">
                                      <w:marLeft w:val="0"/>
                                      <w:marRight w:val="0"/>
                                      <w:marTop w:val="0"/>
                                      <w:marBottom w:val="0"/>
                                      <w:divBdr>
                                        <w:top w:val="none" w:sz="0" w:space="0" w:color="auto"/>
                                        <w:left w:val="none" w:sz="0" w:space="0" w:color="auto"/>
                                        <w:bottom w:val="none" w:sz="0" w:space="0" w:color="auto"/>
                                        <w:right w:val="none" w:sz="0" w:space="0" w:color="auto"/>
                                      </w:divBdr>
                                      <w:divsChild>
                                        <w:div w:id="492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08320">
      <w:bodyDiv w:val="1"/>
      <w:marLeft w:val="0"/>
      <w:marRight w:val="0"/>
      <w:marTop w:val="0"/>
      <w:marBottom w:val="0"/>
      <w:divBdr>
        <w:top w:val="none" w:sz="0" w:space="0" w:color="auto"/>
        <w:left w:val="none" w:sz="0" w:space="0" w:color="auto"/>
        <w:bottom w:val="none" w:sz="0" w:space="0" w:color="auto"/>
        <w:right w:val="none" w:sz="0" w:space="0" w:color="auto"/>
      </w:divBdr>
    </w:div>
    <w:div w:id="1722172749">
      <w:bodyDiv w:val="1"/>
      <w:marLeft w:val="0"/>
      <w:marRight w:val="0"/>
      <w:marTop w:val="0"/>
      <w:marBottom w:val="0"/>
      <w:divBdr>
        <w:top w:val="none" w:sz="0" w:space="0" w:color="auto"/>
        <w:left w:val="none" w:sz="0" w:space="0" w:color="auto"/>
        <w:bottom w:val="none" w:sz="0" w:space="0" w:color="auto"/>
        <w:right w:val="none" w:sz="0" w:space="0" w:color="auto"/>
      </w:divBdr>
      <w:divsChild>
        <w:div w:id="2024474233">
          <w:marLeft w:val="0"/>
          <w:marRight w:val="0"/>
          <w:marTop w:val="0"/>
          <w:marBottom w:val="0"/>
          <w:divBdr>
            <w:top w:val="none" w:sz="0" w:space="0" w:color="auto"/>
            <w:left w:val="none" w:sz="0" w:space="0" w:color="auto"/>
            <w:bottom w:val="none" w:sz="0" w:space="0" w:color="auto"/>
            <w:right w:val="none" w:sz="0" w:space="0" w:color="auto"/>
          </w:divBdr>
          <w:divsChild>
            <w:div w:id="14579610">
              <w:marLeft w:val="0"/>
              <w:marRight w:val="0"/>
              <w:marTop w:val="0"/>
              <w:marBottom w:val="0"/>
              <w:divBdr>
                <w:top w:val="none" w:sz="0" w:space="0" w:color="auto"/>
                <w:left w:val="none" w:sz="0" w:space="0" w:color="auto"/>
                <w:bottom w:val="none" w:sz="0" w:space="0" w:color="auto"/>
                <w:right w:val="none" w:sz="0" w:space="0" w:color="auto"/>
              </w:divBdr>
              <w:divsChild>
                <w:div w:id="1804303085">
                  <w:marLeft w:val="0"/>
                  <w:marRight w:val="0"/>
                  <w:marTop w:val="0"/>
                  <w:marBottom w:val="0"/>
                  <w:divBdr>
                    <w:top w:val="none" w:sz="0" w:space="0" w:color="auto"/>
                    <w:left w:val="none" w:sz="0" w:space="0" w:color="auto"/>
                    <w:bottom w:val="none" w:sz="0" w:space="0" w:color="auto"/>
                    <w:right w:val="none" w:sz="0" w:space="0" w:color="auto"/>
                  </w:divBdr>
                  <w:divsChild>
                    <w:div w:id="1691953708">
                      <w:marLeft w:val="0"/>
                      <w:marRight w:val="0"/>
                      <w:marTop w:val="0"/>
                      <w:marBottom w:val="0"/>
                      <w:divBdr>
                        <w:top w:val="none" w:sz="0" w:space="0" w:color="auto"/>
                        <w:left w:val="none" w:sz="0" w:space="0" w:color="auto"/>
                        <w:bottom w:val="none" w:sz="0" w:space="0" w:color="auto"/>
                        <w:right w:val="none" w:sz="0" w:space="0" w:color="auto"/>
                      </w:divBdr>
                      <w:divsChild>
                        <w:div w:id="1291088153">
                          <w:marLeft w:val="0"/>
                          <w:marRight w:val="0"/>
                          <w:marTop w:val="0"/>
                          <w:marBottom w:val="0"/>
                          <w:divBdr>
                            <w:top w:val="none" w:sz="0" w:space="0" w:color="auto"/>
                            <w:left w:val="none" w:sz="0" w:space="0" w:color="auto"/>
                            <w:bottom w:val="none" w:sz="0" w:space="0" w:color="auto"/>
                            <w:right w:val="none" w:sz="0" w:space="0" w:color="auto"/>
                          </w:divBdr>
                          <w:divsChild>
                            <w:div w:id="1448354780">
                              <w:marLeft w:val="0"/>
                              <w:marRight w:val="0"/>
                              <w:marTop w:val="0"/>
                              <w:marBottom w:val="0"/>
                              <w:divBdr>
                                <w:top w:val="none" w:sz="0" w:space="0" w:color="auto"/>
                                <w:left w:val="none" w:sz="0" w:space="0" w:color="auto"/>
                                <w:bottom w:val="none" w:sz="0" w:space="0" w:color="auto"/>
                                <w:right w:val="none" w:sz="0" w:space="0" w:color="auto"/>
                              </w:divBdr>
                              <w:divsChild>
                                <w:div w:id="1971351836">
                                  <w:marLeft w:val="0"/>
                                  <w:marRight w:val="0"/>
                                  <w:marTop w:val="0"/>
                                  <w:marBottom w:val="0"/>
                                  <w:divBdr>
                                    <w:top w:val="none" w:sz="0" w:space="0" w:color="auto"/>
                                    <w:left w:val="none" w:sz="0" w:space="0" w:color="auto"/>
                                    <w:bottom w:val="none" w:sz="0" w:space="0" w:color="auto"/>
                                    <w:right w:val="none" w:sz="0" w:space="0" w:color="auto"/>
                                  </w:divBdr>
                                  <w:divsChild>
                                    <w:div w:id="2085225785">
                                      <w:marLeft w:val="0"/>
                                      <w:marRight w:val="0"/>
                                      <w:marTop w:val="0"/>
                                      <w:marBottom w:val="0"/>
                                      <w:divBdr>
                                        <w:top w:val="none" w:sz="0" w:space="0" w:color="auto"/>
                                        <w:left w:val="none" w:sz="0" w:space="0" w:color="auto"/>
                                        <w:bottom w:val="none" w:sz="0" w:space="0" w:color="auto"/>
                                        <w:right w:val="none" w:sz="0" w:space="0" w:color="auto"/>
                                      </w:divBdr>
                                      <w:divsChild>
                                        <w:div w:id="468089477">
                                          <w:marLeft w:val="0"/>
                                          <w:marRight w:val="0"/>
                                          <w:marTop w:val="0"/>
                                          <w:marBottom w:val="413"/>
                                          <w:divBdr>
                                            <w:top w:val="none" w:sz="0" w:space="0" w:color="auto"/>
                                            <w:left w:val="none" w:sz="0" w:space="0" w:color="auto"/>
                                            <w:bottom w:val="none" w:sz="0" w:space="0" w:color="auto"/>
                                            <w:right w:val="none" w:sz="0" w:space="0" w:color="auto"/>
                                          </w:divBdr>
                                          <w:divsChild>
                                            <w:div w:id="18284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202226">
      <w:bodyDiv w:val="1"/>
      <w:marLeft w:val="0"/>
      <w:marRight w:val="0"/>
      <w:marTop w:val="0"/>
      <w:marBottom w:val="0"/>
      <w:divBdr>
        <w:top w:val="none" w:sz="0" w:space="0" w:color="auto"/>
        <w:left w:val="none" w:sz="0" w:space="0" w:color="auto"/>
        <w:bottom w:val="none" w:sz="0" w:space="0" w:color="auto"/>
        <w:right w:val="none" w:sz="0" w:space="0" w:color="auto"/>
      </w:divBdr>
      <w:divsChild>
        <w:div w:id="1082608298">
          <w:marLeft w:val="0"/>
          <w:marRight w:val="0"/>
          <w:marTop w:val="0"/>
          <w:marBottom w:val="0"/>
          <w:divBdr>
            <w:top w:val="none" w:sz="0" w:space="0" w:color="auto"/>
            <w:left w:val="none" w:sz="0" w:space="0" w:color="auto"/>
            <w:bottom w:val="none" w:sz="0" w:space="0" w:color="auto"/>
            <w:right w:val="none" w:sz="0" w:space="0" w:color="auto"/>
          </w:divBdr>
          <w:divsChild>
            <w:div w:id="81611116">
              <w:marLeft w:val="0"/>
              <w:marRight w:val="0"/>
              <w:marTop w:val="0"/>
              <w:marBottom w:val="0"/>
              <w:divBdr>
                <w:top w:val="none" w:sz="0" w:space="0" w:color="auto"/>
                <w:left w:val="none" w:sz="0" w:space="0" w:color="auto"/>
                <w:bottom w:val="none" w:sz="0" w:space="0" w:color="auto"/>
                <w:right w:val="none" w:sz="0" w:space="0" w:color="auto"/>
              </w:divBdr>
              <w:divsChild>
                <w:div w:id="1043558201">
                  <w:marLeft w:val="0"/>
                  <w:marRight w:val="0"/>
                  <w:marTop w:val="0"/>
                  <w:marBottom w:val="0"/>
                  <w:divBdr>
                    <w:top w:val="none" w:sz="0" w:space="0" w:color="auto"/>
                    <w:left w:val="none" w:sz="0" w:space="0" w:color="auto"/>
                    <w:bottom w:val="none" w:sz="0" w:space="0" w:color="auto"/>
                    <w:right w:val="none" w:sz="0" w:space="0" w:color="auto"/>
                  </w:divBdr>
                  <w:divsChild>
                    <w:div w:id="1179006174">
                      <w:marLeft w:val="0"/>
                      <w:marRight w:val="0"/>
                      <w:marTop w:val="0"/>
                      <w:marBottom w:val="0"/>
                      <w:divBdr>
                        <w:top w:val="none" w:sz="0" w:space="0" w:color="auto"/>
                        <w:left w:val="none" w:sz="0" w:space="0" w:color="auto"/>
                        <w:bottom w:val="none" w:sz="0" w:space="0" w:color="auto"/>
                        <w:right w:val="none" w:sz="0" w:space="0" w:color="auto"/>
                      </w:divBdr>
                      <w:divsChild>
                        <w:div w:id="1014956374">
                          <w:marLeft w:val="0"/>
                          <w:marRight w:val="0"/>
                          <w:marTop w:val="0"/>
                          <w:marBottom w:val="0"/>
                          <w:divBdr>
                            <w:top w:val="none" w:sz="0" w:space="0" w:color="auto"/>
                            <w:left w:val="none" w:sz="0" w:space="0" w:color="auto"/>
                            <w:bottom w:val="none" w:sz="0" w:space="0" w:color="auto"/>
                            <w:right w:val="none" w:sz="0" w:space="0" w:color="auto"/>
                          </w:divBdr>
                          <w:divsChild>
                            <w:div w:id="1776704990">
                              <w:marLeft w:val="0"/>
                              <w:marRight w:val="0"/>
                              <w:marTop w:val="0"/>
                              <w:marBottom w:val="0"/>
                              <w:divBdr>
                                <w:top w:val="none" w:sz="0" w:space="0" w:color="auto"/>
                                <w:left w:val="none" w:sz="0" w:space="0" w:color="auto"/>
                                <w:bottom w:val="none" w:sz="0" w:space="0" w:color="auto"/>
                                <w:right w:val="none" w:sz="0" w:space="0" w:color="auto"/>
                              </w:divBdr>
                              <w:divsChild>
                                <w:div w:id="229925848">
                                  <w:marLeft w:val="0"/>
                                  <w:marRight w:val="0"/>
                                  <w:marTop w:val="0"/>
                                  <w:marBottom w:val="0"/>
                                  <w:divBdr>
                                    <w:top w:val="none" w:sz="0" w:space="0" w:color="auto"/>
                                    <w:left w:val="none" w:sz="0" w:space="0" w:color="auto"/>
                                    <w:bottom w:val="none" w:sz="0" w:space="0" w:color="auto"/>
                                    <w:right w:val="none" w:sz="0" w:space="0" w:color="auto"/>
                                  </w:divBdr>
                                  <w:divsChild>
                                    <w:div w:id="1101529342">
                                      <w:marLeft w:val="0"/>
                                      <w:marRight w:val="0"/>
                                      <w:marTop w:val="0"/>
                                      <w:marBottom w:val="0"/>
                                      <w:divBdr>
                                        <w:top w:val="none" w:sz="0" w:space="0" w:color="auto"/>
                                        <w:left w:val="none" w:sz="0" w:space="0" w:color="auto"/>
                                        <w:bottom w:val="none" w:sz="0" w:space="0" w:color="auto"/>
                                        <w:right w:val="none" w:sz="0" w:space="0" w:color="auto"/>
                                      </w:divBdr>
                                      <w:divsChild>
                                        <w:div w:id="1465272357">
                                          <w:marLeft w:val="0"/>
                                          <w:marRight w:val="0"/>
                                          <w:marTop w:val="0"/>
                                          <w:marBottom w:val="413"/>
                                          <w:divBdr>
                                            <w:top w:val="none" w:sz="0" w:space="0" w:color="auto"/>
                                            <w:left w:val="none" w:sz="0" w:space="0" w:color="auto"/>
                                            <w:bottom w:val="none" w:sz="0" w:space="0" w:color="auto"/>
                                            <w:right w:val="none" w:sz="0" w:space="0" w:color="auto"/>
                                          </w:divBdr>
                                          <w:divsChild>
                                            <w:div w:id="1525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195047">
      <w:bodyDiv w:val="1"/>
      <w:marLeft w:val="0"/>
      <w:marRight w:val="0"/>
      <w:marTop w:val="0"/>
      <w:marBottom w:val="0"/>
      <w:divBdr>
        <w:top w:val="none" w:sz="0" w:space="0" w:color="auto"/>
        <w:left w:val="none" w:sz="0" w:space="0" w:color="auto"/>
        <w:bottom w:val="none" w:sz="0" w:space="0" w:color="auto"/>
        <w:right w:val="none" w:sz="0" w:space="0" w:color="auto"/>
      </w:divBdr>
      <w:divsChild>
        <w:div w:id="1756703229">
          <w:marLeft w:val="0"/>
          <w:marRight w:val="0"/>
          <w:marTop w:val="0"/>
          <w:marBottom w:val="0"/>
          <w:divBdr>
            <w:top w:val="none" w:sz="0" w:space="0" w:color="auto"/>
            <w:left w:val="none" w:sz="0" w:space="0" w:color="auto"/>
            <w:bottom w:val="none" w:sz="0" w:space="0" w:color="auto"/>
            <w:right w:val="none" w:sz="0" w:space="0" w:color="auto"/>
          </w:divBdr>
          <w:divsChild>
            <w:div w:id="376318198">
              <w:marLeft w:val="0"/>
              <w:marRight w:val="0"/>
              <w:marTop w:val="0"/>
              <w:marBottom w:val="0"/>
              <w:divBdr>
                <w:top w:val="none" w:sz="0" w:space="0" w:color="auto"/>
                <w:left w:val="none" w:sz="0" w:space="0" w:color="auto"/>
                <w:bottom w:val="none" w:sz="0" w:space="0" w:color="auto"/>
                <w:right w:val="none" w:sz="0" w:space="0" w:color="auto"/>
              </w:divBdr>
              <w:divsChild>
                <w:div w:id="1968270374">
                  <w:marLeft w:val="0"/>
                  <w:marRight w:val="0"/>
                  <w:marTop w:val="0"/>
                  <w:marBottom w:val="0"/>
                  <w:divBdr>
                    <w:top w:val="none" w:sz="0" w:space="0" w:color="auto"/>
                    <w:left w:val="none" w:sz="0" w:space="0" w:color="auto"/>
                    <w:bottom w:val="none" w:sz="0" w:space="0" w:color="auto"/>
                    <w:right w:val="none" w:sz="0" w:space="0" w:color="auto"/>
                  </w:divBdr>
                  <w:divsChild>
                    <w:div w:id="1614703700">
                      <w:marLeft w:val="0"/>
                      <w:marRight w:val="0"/>
                      <w:marTop w:val="0"/>
                      <w:marBottom w:val="0"/>
                      <w:divBdr>
                        <w:top w:val="none" w:sz="0" w:space="0" w:color="auto"/>
                        <w:left w:val="none" w:sz="0" w:space="0" w:color="auto"/>
                        <w:bottom w:val="none" w:sz="0" w:space="0" w:color="auto"/>
                        <w:right w:val="none" w:sz="0" w:space="0" w:color="auto"/>
                      </w:divBdr>
                      <w:divsChild>
                        <w:div w:id="1381900666">
                          <w:marLeft w:val="0"/>
                          <w:marRight w:val="0"/>
                          <w:marTop w:val="0"/>
                          <w:marBottom w:val="0"/>
                          <w:divBdr>
                            <w:top w:val="none" w:sz="0" w:space="0" w:color="auto"/>
                            <w:left w:val="none" w:sz="0" w:space="0" w:color="auto"/>
                            <w:bottom w:val="none" w:sz="0" w:space="0" w:color="auto"/>
                            <w:right w:val="none" w:sz="0" w:space="0" w:color="auto"/>
                          </w:divBdr>
                          <w:divsChild>
                            <w:div w:id="1623851153">
                              <w:marLeft w:val="0"/>
                              <w:marRight w:val="0"/>
                              <w:marTop w:val="0"/>
                              <w:marBottom w:val="0"/>
                              <w:divBdr>
                                <w:top w:val="none" w:sz="0" w:space="0" w:color="auto"/>
                                <w:left w:val="none" w:sz="0" w:space="0" w:color="auto"/>
                                <w:bottom w:val="none" w:sz="0" w:space="0" w:color="auto"/>
                                <w:right w:val="none" w:sz="0" w:space="0" w:color="auto"/>
                              </w:divBdr>
                              <w:divsChild>
                                <w:div w:id="850411917">
                                  <w:marLeft w:val="0"/>
                                  <w:marRight w:val="0"/>
                                  <w:marTop w:val="0"/>
                                  <w:marBottom w:val="0"/>
                                  <w:divBdr>
                                    <w:top w:val="none" w:sz="0" w:space="0" w:color="auto"/>
                                    <w:left w:val="none" w:sz="0" w:space="0" w:color="auto"/>
                                    <w:bottom w:val="none" w:sz="0" w:space="0" w:color="auto"/>
                                    <w:right w:val="none" w:sz="0" w:space="0" w:color="auto"/>
                                  </w:divBdr>
                                  <w:divsChild>
                                    <w:div w:id="621037838">
                                      <w:marLeft w:val="0"/>
                                      <w:marRight w:val="0"/>
                                      <w:marTop w:val="0"/>
                                      <w:marBottom w:val="0"/>
                                      <w:divBdr>
                                        <w:top w:val="none" w:sz="0" w:space="0" w:color="auto"/>
                                        <w:left w:val="none" w:sz="0" w:space="0" w:color="auto"/>
                                        <w:bottom w:val="none" w:sz="0" w:space="0" w:color="auto"/>
                                        <w:right w:val="none" w:sz="0" w:space="0" w:color="auto"/>
                                      </w:divBdr>
                                      <w:divsChild>
                                        <w:div w:id="1892763477">
                                          <w:marLeft w:val="0"/>
                                          <w:marRight w:val="0"/>
                                          <w:marTop w:val="0"/>
                                          <w:marBottom w:val="495"/>
                                          <w:divBdr>
                                            <w:top w:val="none" w:sz="0" w:space="0" w:color="auto"/>
                                            <w:left w:val="none" w:sz="0" w:space="0" w:color="auto"/>
                                            <w:bottom w:val="none" w:sz="0" w:space="0" w:color="auto"/>
                                            <w:right w:val="none" w:sz="0" w:space="0" w:color="auto"/>
                                          </w:divBdr>
                                          <w:divsChild>
                                            <w:div w:id="808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162510">
      <w:bodyDiv w:val="1"/>
      <w:marLeft w:val="0"/>
      <w:marRight w:val="0"/>
      <w:marTop w:val="0"/>
      <w:marBottom w:val="0"/>
      <w:divBdr>
        <w:top w:val="none" w:sz="0" w:space="0" w:color="auto"/>
        <w:left w:val="none" w:sz="0" w:space="0" w:color="auto"/>
        <w:bottom w:val="none" w:sz="0" w:space="0" w:color="auto"/>
        <w:right w:val="none" w:sz="0" w:space="0" w:color="auto"/>
      </w:divBdr>
      <w:divsChild>
        <w:div w:id="1410611654">
          <w:marLeft w:val="0"/>
          <w:marRight w:val="0"/>
          <w:marTop w:val="0"/>
          <w:marBottom w:val="0"/>
          <w:divBdr>
            <w:top w:val="none" w:sz="0" w:space="0" w:color="auto"/>
            <w:left w:val="none" w:sz="0" w:space="0" w:color="auto"/>
            <w:bottom w:val="none" w:sz="0" w:space="0" w:color="auto"/>
            <w:right w:val="none" w:sz="0" w:space="0" w:color="auto"/>
          </w:divBdr>
          <w:divsChild>
            <w:div w:id="1332176445">
              <w:marLeft w:val="0"/>
              <w:marRight w:val="0"/>
              <w:marTop w:val="0"/>
              <w:marBottom w:val="0"/>
              <w:divBdr>
                <w:top w:val="none" w:sz="0" w:space="0" w:color="auto"/>
                <w:left w:val="none" w:sz="0" w:space="0" w:color="auto"/>
                <w:bottom w:val="none" w:sz="0" w:space="0" w:color="auto"/>
                <w:right w:val="none" w:sz="0" w:space="0" w:color="auto"/>
              </w:divBdr>
              <w:divsChild>
                <w:div w:id="1065832469">
                  <w:marLeft w:val="0"/>
                  <w:marRight w:val="0"/>
                  <w:marTop w:val="0"/>
                  <w:marBottom w:val="0"/>
                  <w:divBdr>
                    <w:top w:val="none" w:sz="0" w:space="0" w:color="auto"/>
                    <w:left w:val="none" w:sz="0" w:space="0" w:color="auto"/>
                    <w:bottom w:val="none" w:sz="0" w:space="0" w:color="auto"/>
                    <w:right w:val="none" w:sz="0" w:space="0" w:color="auto"/>
                  </w:divBdr>
                  <w:divsChild>
                    <w:div w:id="2014065019">
                      <w:marLeft w:val="0"/>
                      <w:marRight w:val="0"/>
                      <w:marTop w:val="0"/>
                      <w:marBottom w:val="0"/>
                      <w:divBdr>
                        <w:top w:val="none" w:sz="0" w:space="0" w:color="auto"/>
                        <w:left w:val="none" w:sz="0" w:space="0" w:color="auto"/>
                        <w:bottom w:val="none" w:sz="0" w:space="0" w:color="auto"/>
                        <w:right w:val="none" w:sz="0" w:space="0" w:color="auto"/>
                      </w:divBdr>
                      <w:divsChild>
                        <w:div w:id="128594737">
                          <w:marLeft w:val="0"/>
                          <w:marRight w:val="0"/>
                          <w:marTop w:val="0"/>
                          <w:marBottom w:val="0"/>
                          <w:divBdr>
                            <w:top w:val="none" w:sz="0" w:space="0" w:color="auto"/>
                            <w:left w:val="none" w:sz="0" w:space="0" w:color="auto"/>
                            <w:bottom w:val="none" w:sz="0" w:space="0" w:color="auto"/>
                            <w:right w:val="none" w:sz="0" w:space="0" w:color="auto"/>
                          </w:divBdr>
                          <w:divsChild>
                            <w:div w:id="1067415354">
                              <w:marLeft w:val="0"/>
                              <w:marRight w:val="0"/>
                              <w:marTop w:val="0"/>
                              <w:marBottom w:val="0"/>
                              <w:divBdr>
                                <w:top w:val="none" w:sz="0" w:space="0" w:color="auto"/>
                                <w:left w:val="none" w:sz="0" w:space="0" w:color="auto"/>
                                <w:bottom w:val="none" w:sz="0" w:space="0" w:color="auto"/>
                                <w:right w:val="none" w:sz="0" w:space="0" w:color="auto"/>
                              </w:divBdr>
                              <w:divsChild>
                                <w:div w:id="1514567556">
                                  <w:marLeft w:val="0"/>
                                  <w:marRight w:val="0"/>
                                  <w:marTop w:val="0"/>
                                  <w:marBottom w:val="0"/>
                                  <w:divBdr>
                                    <w:top w:val="none" w:sz="0" w:space="0" w:color="auto"/>
                                    <w:left w:val="none" w:sz="0" w:space="0" w:color="auto"/>
                                    <w:bottom w:val="none" w:sz="0" w:space="0" w:color="auto"/>
                                    <w:right w:val="none" w:sz="0" w:space="0" w:color="auto"/>
                                  </w:divBdr>
                                  <w:divsChild>
                                    <w:div w:id="1583639141">
                                      <w:marLeft w:val="0"/>
                                      <w:marRight w:val="60"/>
                                      <w:marTop w:val="0"/>
                                      <w:marBottom w:val="0"/>
                                      <w:divBdr>
                                        <w:top w:val="none" w:sz="0" w:space="0" w:color="auto"/>
                                        <w:left w:val="none" w:sz="0" w:space="0" w:color="auto"/>
                                        <w:bottom w:val="none" w:sz="0" w:space="0" w:color="auto"/>
                                        <w:right w:val="none" w:sz="0" w:space="0" w:color="auto"/>
                                      </w:divBdr>
                                      <w:divsChild>
                                        <w:div w:id="1610552571">
                                          <w:marLeft w:val="0"/>
                                          <w:marRight w:val="0"/>
                                          <w:marTop w:val="0"/>
                                          <w:marBottom w:val="0"/>
                                          <w:divBdr>
                                            <w:top w:val="none" w:sz="0" w:space="0" w:color="auto"/>
                                            <w:left w:val="none" w:sz="0" w:space="0" w:color="auto"/>
                                            <w:bottom w:val="none" w:sz="0" w:space="0" w:color="auto"/>
                                            <w:right w:val="none" w:sz="0" w:space="0" w:color="auto"/>
                                          </w:divBdr>
                                          <w:divsChild>
                                            <w:div w:id="1404178849">
                                              <w:marLeft w:val="0"/>
                                              <w:marRight w:val="0"/>
                                              <w:marTop w:val="0"/>
                                              <w:marBottom w:val="120"/>
                                              <w:divBdr>
                                                <w:top w:val="single" w:sz="6" w:space="0" w:color="F5F5F5"/>
                                                <w:left w:val="single" w:sz="6" w:space="0" w:color="F5F5F5"/>
                                                <w:bottom w:val="single" w:sz="6" w:space="0" w:color="F5F5F5"/>
                                                <w:right w:val="single" w:sz="6" w:space="0" w:color="F5F5F5"/>
                                              </w:divBdr>
                                              <w:divsChild>
                                                <w:div w:id="1218590726">
                                                  <w:marLeft w:val="0"/>
                                                  <w:marRight w:val="0"/>
                                                  <w:marTop w:val="0"/>
                                                  <w:marBottom w:val="0"/>
                                                  <w:divBdr>
                                                    <w:top w:val="none" w:sz="0" w:space="0" w:color="auto"/>
                                                    <w:left w:val="none" w:sz="0" w:space="0" w:color="auto"/>
                                                    <w:bottom w:val="none" w:sz="0" w:space="0" w:color="auto"/>
                                                    <w:right w:val="none" w:sz="0" w:space="0" w:color="auto"/>
                                                  </w:divBdr>
                                                  <w:divsChild>
                                                    <w:div w:id="492264403">
                                                      <w:marLeft w:val="0"/>
                                                      <w:marRight w:val="0"/>
                                                      <w:marTop w:val="0"/>
                                                      <w:marBottom w:val="0"/>
                                                      <w:divBdr>
                                                        <w:top w:val="none" w:sz="0" w:space="0" w:color="auto"/>
                                                        <w:left w:val="none" w:sz="0" w:space="0" w:color="auto"/>
                                                        <w:bottom w:val="none" w:sz="0" w:space="0" w:color="auto"/>
                                                        <w:right w:val="none" w:sz="0" w:space="0" w:color="auto"/>
                                                      </w:divBdr>
                                                    </w:div>
                                                  </w:divsChild>
                                                </w:div>
                                                <w:div w:id="1473979599">
                                                  <w:marLeft w:val="0"/>
                                                  <w:marRight w:val="0"/>
                                                  <w:marTop w:val="0"/>
                                                  <w:marBottom w:val="0"/>
                                                  <w:divBdr>
                                                    <w:top w:val="none" w:sz="0" w:space="0" w:color="auto"/>
                                                    <w:left w:val="none" w:sz="0" w:space="0" w:color="auto"/>
                                                    <w:bottom w:val="none" w:sz="0" w:space="0" w:color="auto"/>
                                                    <w:right w:val="none" w:sz="0" w:space="0" w:color="auto"/>
                                                  </w:divBdr>
                                                  <w:divsChild>
                                                    <w:div w:id="3452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530049">
      <w:bodyDiv w:val="1"/>
      <w:marLeft w:val="0"/>
      <w:marRight w:val="0"/>
      <w:marTop w:val="0"/>
      <w:marBottom w:val="0"/>
      <w:divBdr>
        <w:top w:val="none" w:sz="0" w:space="0" w:color="auto"/>
        <w:left w:val="none" w:sz="0" w:space="0" w:color="auto"/>
        <w:bottom w:val="none" w:sz="0" w:space="0" w:color="auto"/>
        <w:right w:val="none" w:sz="0" w:space="0" w:color="auto"/>
      </w:divBdr>
      <w:divsChild>
        <w:div w:id="656148253">
          <w:marLeft w:val="0"/>
          <w:marRight w:val="0"/>
          <w:marTop w:val="0"/>
          <w:marBottom w:val="0"/>
          <w:divBdr>
            <w:top w:val="none" w:sz="0" w:space="0" w:color="auto"/>
            <w:left w:val="none" w:sz="0" w:space="0" w:color="auto"/>
            <w:bottom w:val="none" w:sz="0" w:space="0" w:color="auto"/>
            <w:right w:val="none" w:sz="0" w:space="0" w:color="auto"/>
          </w:divBdr>
          <w:divsChild>
            <w:div w:id="2108964939">
              <w:marLeft w:val="0"/>
              <w:marRight w:val="0"/>
              <w:marTop w:val="0"/>
              <w:marBottom w:val="0"/>
              <w:divBdr>
                <w:top w:val="none" w:sz="0" w:space="0" w:color="auto"/>
                <w:left w:val="none" w:sz="0" w:space="0" w:color="auto"/>
                <w:bottom w:val="none" w:sz="0" w:space="0" w:color="auto"/>
                <w:right w:val="none" w:sz="0" w:space="0" w:color="auto"/>
              </w:divBdr>
              <w:divsChild>
                <w:div w:id="650864377">
                  <w:marLeft w:val="0"/>
                  <w:marRight w:val="0"/>
                  <w:marTop w:val="0"/>
                  <w:marBottom w:val="0"/>
                  <w:divBdr>
                    <w:top w:val="none" w:sz="0" w:space="0" w:color="auto"/>
                    <w:left w:val="none" w:sz="0" w:space="0" w:color="auto"/>
                    <w:bottom w:val="none" w:sz="0" w:space="0" w:color="auto"/>
                    <w:right w:val="none" w:sz="0" w:space="0" w:color="auto"/>
                  </w:divBdr>
                  <w:divsChild>
                    <w:div w:id="631326923">
                      <w:marLeft w:val="0"/>
                      <w:marRight w:val="0"/>
                      <w:marTop w:val="0"/>
                      <w:marBottom w:val="0"/>
                      <w:divBdr>
                        <w:top w:val="none" w:sz="0" w:space="0" w:color="auto"/>
                        <w:left w:val="none" w:sz="0" w:space="0" w:color="auto"/>
                        <w:bottom w:val="none" w:sz="0" w:space="0" w:color="auto"/>
                        <w:right w:val="none" w:sz="0" w:space="0" w:color="auto"/>
                      </w:divBdr>
                      <w:divsChild>
                        <w:div w:id="1921400293">
                          <w:marLeft w:val="0"/>
                          <w:marRight w:val="0"/>
                          <w:marTop w:val="0"/>
                          <w:marBottom w:val="0"/>
                          <w:divBdr>
                            <w:top w:val="none" w:sz="0" w:space="0" w:color="auto"/>
                            <w:left w:val="none" w:sz="0" w:space="0" w:color="auto"/>
                            <w:bottom w:val="none" w:sz="0" w:space="0" w:color="auto"/>
                            <w:right w:val="none" w:sz="0" w:space="0" w:color="auto"/>
                          </w:divBdr>
                          <w:divsChild>
                            <w:div w:id="1932467398">
                              <w:marLeft w:val="0"/>
                              <w:marRight w:val="0"/>
                              <w:marTop w:val="0"/>
                              <w:marBottom w:val="0"/>
                              <w:divBdr>
                                <w:top w:val="none" w:sz="0" w:space="0" w:color="auto"/>
                                <w:left w:val="none" w:sz="0" w:space="0" w:color="auto"/>
                                <w:bottom w:val="none" w:sz="0" w:space="0" w:color="auto"/>
                                <w:right w:val="none" w:sz="0" w:space="0" w:color="auto"/>
                              </w:divBdr>
                              <w:divsChild>
                                <w:div w:id="1466772306">
                                  <w:marLeft w:val="0"/>
                                  <w:marRight w:val="0"/>
                                  <w:marTop w:val="0"/>
                                  <w:marBottom w:val="0"/>
                                  <w:divBdr>
                                    <w:top w:val="none" w:sz="0" w:space="0" w:color="auto"/>
                                    <w:left w:val="none" w:sz="0" w:space="0" w:color="auto"/>
                                    <w:bottom w:val="none" w:sz="0" w:space="0" w:color="auto"/>
                                    <w:right w:val="none" w:sz="0" w:space="0" w:color="auto"/>
                                  </w:divBdr>
                                  <w:divsChild>
                                    <w:div w:id="349335418">
                                      <w:marLeft w:val="0"/>
                                      <w:marRight w:val="0"/>
                                      <w:marTop w:val="0"/>
                                      <w:marBottom w:val="0"/>
                                      <w:divBdr>
                                        <w:top w:val="none" w:sz="0" w:space="0" w:color="auto"/>
                                        <w:left w:val="none" w:sz="0" w:space="0" w:color="auto"/>
                                        <w:bottom w:val="none" w:sz="0" w:space="0" w:color="auto"/>
                                        <w:right w:val="none" w:sz="0" w:space="0" w:color="auto"/>
                                      </w:divBdr>
                                      <w:divsChild>
                                        <w:div w:id="1078866644">
                                          <w:marLeft w:val="0"/>
                                          <w:marRight w:val="0"/>
                                          <w:marTop w:val="0"/>
                                          <w:marBottom w:val="413"/>
                                          <w:divBdr>
                                            <w:top w:val="none" w:sz="0" w:space="0" w:color="auto"/>
                                            <w:left w:val="none" w:sz="0" w:space="0" w:color="auto"/>
                                            <w:bottom w:val="none" w:sz="0" w:space="0" w:color="auto"/>
                                            <w:right w:val="none" w:sz="0" w:space="0" w:color="auto"/>
                                          </w:divBdr>
                                          <w:divsChild>
                                            <w:div w:id="131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705562953934838"/>
          <c:y val="3.3577012201024554E-2"/>
          <c:w val="0.56371277609699877"/>
          <c:h val="0.96642298779897617"/>
        </c:manualLayout>
      </c:layout>
      <c:pieChart>
        <c:varyColors val="1"/>
        <c:ser>
          <c:idx val="0"/>
          <c:order val="0"/>
          <c:tx>
            <c:strRef>
              <c:f>Sheet1!$B$1</c:f>
              <c:strCache>
                <c:ptCount val="1"/>
                <c:pt idx="0">
                  <c:v>Column1</c:v>
                </c:pt>
              </c:strCache>
            </c:strRef>
          </c:tx>
          <c:explosion val="13"/>
          <c:dPt>
            <c:idx val="0"/>
            <c:bubble3D val="0"/>
            <c:explosion val="0"/>
            <c:extLst>
              <c:ext xmlns:c16="http://schemas.microsoft.com/office/drawing/2014/chart" uri="{C3380CC4-5D6E-409C-BE32-E72D297353CC}">
                <c16:uniqueId val="{00000000-C46C-4574-A63B-2305EBEA5E6E}"/>
              </c:ext>
            </c:extLst>
          </c:dPt>
          <c:dPt>
            <c:idx val="1"/>
            <c:bubble3D val="0"/>
            <c:explosion val="0"/>
            <c:extLst>
              <c:ext xmlns:c16="http://schemas.microsoft.com/office/drawing/2014/chart" uri="{C3380CC4-5D6E-409C-BE32-E72D297353CC}">
                <c16:uniqueId val="{00000001-C46C-4574-A63B-2305EBEA5E6E}"/>
              </c:ext>
            </c:extLst>
          </c:dPt>
          <c:dPt>
            <c:idx val="2"/>
            <c:bubble3D val="0"/>
            <c:explosion val="0"/>
            <c:extLst>
              <c:ext xmlns:c16="http://schemas.microsoft.com/office/drawing/2014/chart" uri="{C3380CC4-5D6E-409C-BE32-E72D297353CC}">
                <c16:uniqueId val="{00000002-C46C-4574-A63B-2305EBEA5E6E}"/>
              </c:ext>
            </c:extLst>
          </c:dPt>
          <c:dPt>
            <c:idx val="3"/>
            <c:bubble3D val="0"/>
            <c:explosion val="0"/>
            <c:extLst>
              <c:ext xmlns:c16="http://schemas.microsoft.com/office/drawing/2014/chart" uri="{C3380CC4-5D6E-409C-BE32-E72D297353CC}">
                <c16:uniqueId val="{00000003-C46C-4574-A63B-2305EBEA5E6E}"/>
              </c:ext>
            </c:extLst>
          </c:dPt>
          <c:dLbls>
            <c:dLbl>
              <c:idx val="0"/>
              <c:layout>
                <c:manualLayout>
                  <c:x val="0.11772766067674728"/>
                  <c:y val="8.148496080072419E-2"/>
                </c:manualLayout>
              </c:layout>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Area (C)</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60%</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6C-4574-A63B-2305EBEA5E6E}"/>
                </c:ext>
              </c:extLst>
            </c:dLbl>
            <c:dLbl>
              <c:idx val="1"/>
              <c:layout>
                <c:manualLayout>
                  <c:x val="-4.9730835522404926E-2"/>
                  <c:y val="-8.6409209694774999E-3"/>
                </c:manualLayout>
              </c:layout>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Area (B)</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18%</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6C-4574-A63B-2305EBEA5E6E}"/>
                </c:ext>
              </c:extLst>
            </c:dLbl>
            <c:dLbl>
              <c:idx val="2"/>
              <c:layout>
                <c:manualLayout>
                  <c:x val="-6.9504710793478974E-2"/>
                  <c:y val="4.8218809958950393E-2"/>
                </c:manualLayout>
              </c:layout>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Area (A)</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18%</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6C-4574-A63B-2305EBEA5E6E}"/>
                </c:ext>
              </c:extLst>
            </c:dLbl>
            <c:dLbl>
              <c:idx val="3"/>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others</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4%</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6C-4574-A63B-2305EBEA5E6E}"/>
                </c:ext>
              </c:extLst>
            </c:dLbl>
            <c:numFmt formatCode="0.0%" sourceLinked="0"/>
            <c:spPr>
              <a:noFill/>
              <a:ln>
                <a:noFill/>
              </a:ln>
              <a:effectLst/>
            </c:spPr>
            <c:txPr>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المنطقة (ج)</c:v>
                </c:pt>
                <c:pt idx="1">
                  <c:v>المنطقة (ب)</c:v>
                </c:pt>
                <c:pt idx="2">
                  <c:v>المنطقة (أ)</c:v>
                </c:pt>
                <c:pt idx="3">
                  <c:v>أخرى</c:v>
                </c:pt>
              </c:strCache>
            </c:strRef>
          </c:cat>
          <c:val>
            <c:numRef>
              <c:f>Sheet1!$B$2:$B$5</c:f>
              <c:numCache>
                <c:formatCode>_-* #,##0.0_-;_-* #,##0.0\-;_-* "-"??_-;_-@_-</c:formatCode>
                <c:ptCount val="4"/>
                <c:pt idx="0">
                  <c:v>60</c:v>
                </c:pt>
                <c:pt idx="1">
                  <c:v>18</c:v>
                </c:pt>
                <c:pt idx="2">
                  <c:v>18</c:v>
                </c:pt>
                <c:pt idx="3">
                  <c:v>4</c:v>
                </c:pt>
              </c:numCache>
            </c:numRef>
          </c:val>
          <c:extLst>
            <c:ext xmlns:c16="http://schemas.microsoft.com/office/drawing/2014/chart" uri="{C3380CC4-5D6E-409C-BE32-E72D297353CC}">
              <c16:uniqueId val="{00000004-C46C-4574-A63B-2305EBEA5E6E}"/>
            </c:ext>
          </c:extLst>
        </c:ser>
        <c:dLbls>
          <c:showLegendKey val="0"/>
          <c:showVal val="0"/>
          <c:showCatName val="1"/>
          <c:showSerName val="0"/>
          <c:showPercent val="1"/>
          <c:showBubbleSize val="0"/>
          <c:showLeaderLines val="1"/>
        </c:dLbls>
        <c:firstSliceAng val="0"/>
      </c:pieChart>
      <c:spPr>
        <a:noFill/>
        <a:ln w="25395">
          <a:noFill/>
        </a:ln>
      </c:spPr>
    </c:plotArea>
    <c:plotVisOnly val="1"/>
    <c:dispBlanksAs val="zero"/>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Simplified Arabic" pitchFamily="18" charset="-78"/>
                <a:cs typeface="Simplified Arabic" pitchFamily="18" charset="-78"/>
              </a:defRPr>
            </a:pPr>
            <a:r>
              <a:rPr lang="en-US"/>
              <a:t>Year</a:t>
            </a:r>
            <a:endParaRPr lang="ar-SA"/>
          </a:p>
        </c:rich>
      </c:tx>
      <c:layout>
        <c:manualLayout>
          <c:xMode val="edge"/>
          <c:yMode val="edge"/>
          <c:x val="0.46529388819314704"/>
          <c:y val="0.85942386298535112"/>
        </c:manualLayout>
      </c:layout>
      <c:overlay val="0"/>
    </c:title>
    <c:autoTitleDeleted val="0"/>
    <c:plotArea>
      <c:layout>
        <c:manualLayout>
          <c:layoutTarget val="inner"/>
          <c:xMode val="edge"/>
          <c:yMode val="edge"/>
          <c:x val="0.14116851956219381"/>
          <c:y val="5.6094042996770364E-2"/>
          <c:w val="0.85883139001355513"/>
          <c:h val="0.68936412968395921"/>
        </c:manualLayout>
      </c:layout>
      <c:barChart>
        <c:barDir val="col"/>
        <c:grouping val="clustered"/>
        <c:varyColors val="0"/>
        <c:ser>
          <c:idx val="0"/>
          <c:order val="0"/>
          <c:tx>
            <c:v>السنة</c:v>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Sheet1!$A$1:$O$1</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Sheet1!$A$2:$O$2</c:f>
              <c:numCache>
                <c:formatCode>General</c:formatCode>
                <c:ptCount val="15"/>
                <c:pt idx="0">
                  <c:v>24</c:v>
                </c:pt>
                <c:pt idx="1">
                  <c:v>22</c:v>
                </c:pt>
                <c:pt idx="2">
                  <c:v>18</c:v>
                </c:pt>
                <c:pt idx="3">
                  <c:v>49</c:v>
                </c:pt>
                <c:pt idx="4">
                  <c:v>70</c:v>
                </c:pt>
                <c:pt idx="5">
                  <c:v>20</c:v>
                </c:pt>
                <c:pt idx="6">
                  <c:v>14</c:v>
                </c:pt>
                <c:pt idx="7">
                  <c:v>14</c:v>
                </c:pt>
                <c:pt idx="8">
                  <c:v>20</c:v>
                </c:pt>
                <c:pt idx="9">
                  <c:v>7</c:v>
                </c:pt>
                <c:pt idx="10">
                  <c:v>35</c:v>
                </c:pt>
                <c:pt idx="11">
                  <c:v>30</c:v>
                </c:pt>
                <c:pt idx="12">
                  <c:v>31</c:v>
                </c:pt>
                <c:pt idx="13">
                  <c:v>48</c:v>
                </c:pt>
                <c:pt idx="14">
                  <c:v>89</c:v>
                </c:pt>
              </c:numCache>
            </c:numRef>
          </c:val>
          <c:extLst>
            <c:ext xmlns:c16="http://schemas.microsoft.com/office/drawing/2014/chart" uri="{C3380CC4-5D6E-409C-BE32-E72D297353CC}">
              <c16:uniqueId val="{00000000-E618-46EC-B20B-4B134E44F044}"/>
            </c:ext>
          </c:extLst>
        </c:ser>
        <c:dLbls>
          <c:showLegendKey val="0"/>
          <c:showVal val="0"/>
          <c:showCatName val="0"/>
          <c:showSerName val="0"/>
          <c:showPercent val="0"/>
          <c:showBubbleSize val="0"/>
        </c:dLbls>
        <c:gapWidth val="150"/>
        <c:axId val="73853568"/>
        <c:axId val="73855360"/>
      </c:barChart>
      <c:catAx>
        <c:axId val="73853568"/>
        <c:scaling>
          <c:orientation val="minMax"/>
        </c:scaling>
        <c:delete val="0"/>
        <c:axPos val="b"/>
        <c:numFmt formatCode="General" sourceLinked="0"/>
        <c:majorTickMark val="none"/>
        <c:minorTickMark val="none"/>
        <c:tickLblPos val="nextTo"/>
        <c:spPr>
          <a:ln w="3175">
            <a:solidFill>
              <a:srgbClr val="000000"/>
            </a:solidFill>
            <a:prstDash val="solid"/>
          </a:ln>
        </c:spPr>
        <c:txPr>
          <a:bodyPr rot="5400000" vert="horz" anchor="ctr" anchorCtr="0"/>
          <a:lstStyle/>
          <a:p>
            <a:pPr>
              <a:defRPr sz="800" b="0" i="0" u="none" strike="noStrike" baseline="0">
                <a:solidFill>
                  <a:srgbClr val="000000"/>
                </a:solidFill>
                <a:latin typeface="Arial"/>
                <a:ea typeface="Arial"/>
                <a:cs typeface="Arial"/>
              </a:defRPr>
            </a:pPr>
            <a:endParaRPr lang="en-US"/>
          </a:p>
        </c:txPr>
        <c:crossAx val="73855360"/>
        <c:crossesAt val="5"/>
        <c:auto val="1"/>
        <c:lblAlgn val="ctr"/>
        <c:lblOffset val="100"/>
        <c:tickLblSkip val="1"/>
        <c:tickMarkSkip val="1"/>
        <c:noMultiLvlLbl val="0"/>
      </c:catAx>
      <c:valAx>
        <c:axId val="73855360"/>
        <c:scaling>
          <c:orientation val="minMax"/>
        </c:scaling>
        <c:delete val="0"/>
        <c:axPos val="l"/>
        <c:title>
          <c:tx>
            <c:rich>
              <a:bodyPr/>
              <a:lstStyle/>
              <a:p>
                <a:pPr>
                  <a:defRPr/>
                </a:pPr>
                <a:r>
                  <a:rPr lang="en-US" sz="900">
                    <a:latin typeface="Simplified Arabic" pitchFamily="18" charset="-78"/>
                    <a:cs typeface="Simplified Arabic" pitchFamily="18" charset="-78"/>
                  </a:rPr>
                  <a:t>Demolitions operations</a:t>
                </a:r>
              </a:p>
            </c:rich>
          </c:tx>
          <c:layout>
            <c:manualLayout>
              <c:xMode val="edge"/>
              <c:yMode val="edge"/>
              <c:x val="1.0971355624541281E-3"/>
              <c:y val="0.16831648409632968"/>
            </c:manualLayout>
          </c:layout>
          <c:overlay val="0"/>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3853568"/>
        <c:crosses val="autoZero"/>
        <c:crossBetween val="between"/>
      </c:valAx>
      <c:spPr>
        <a:noFill/>
        <a:ln w="25400">
          <a:noFill/>
        </a:ln>
      </c:spPr>
    </c:plotArea>
    <c:plotVisOnly val="1"/>
    <c:dispBlanksAs val="gap"/>
    <c:showDLblsOverMax val="0"/>
  </c:chart>
  <c:spPr>
    <a:noFill/>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53A6F-0D12-4954-9AB4-05E95A38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confiscation of land is the reason for the Land Day</vt:lpstr>
    </vt:vector>
  </TitlesOfParts>
  <Company>Hewlett-Packard Company</Company>
  <LinksUpToDate>false</LinksUpToDate>
  <CharactersWithSpaces>8403</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confiscation of land is the reason for the Land Day</dc:title>
  <dc:creator>arabi</dc:creator>
  <cp:lastModifiedBy>Hadeel Badran</cp:lastModifiedBy>
  <cp:revision>4</cp:revision>
  <cp:lastPrinted>2021-03-28T10:34:00Z</cp:lastPrinted>
  <dcterms:created xsi:type="dcterms:W3CDTF">2021-03-28T10:33:00Z</dcterms:created>
  <dcterms:modified xsi:type="dcterms:W3CDTF">2021-03-28T10:42:00Z</dcterms:modified>
</cp:coreProperties>
</file>