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EC" w:rsidRPr="00673DE3" w:rsidRDefault="00722AEC" w:rsidP="00722AEC">
      <w:pPr>
        <w:bidi w:val="0"/>
        <w:jc w:val="center"/>
        <w:rPr>
          <w:b/>
          <w:bCs/>
          <w:sz w:val="32"/>
          <w:szCs w:val="32"/>
        </w:rPr>
      </w:pPr>
      <w:r w:rsidRPr="00673DE3">
        <w:rPr>
          <w:b/>
          <w:bCs/>
          <w:sz w:val="32"/>
          <w:szCs w:val="32"/>
        </w:rPr>
        <w:t>Palestinian Central Bureau of Statistics (PCBS)</w:t>
      </w:r>
    </w:p>
    <w:p w:rsidR="00722AEC" w:rsidRDefault="00722AEC" w:rsidP="00722AEC">
      <w:pPr>
        <w:bidi w:val="0"/>
        <w:jc w:val="center"/>
        <w:rPr>
          <w:b/>
          <w:bCs/>
          <w:sz w:val="28"/>
          <w:szCs w:val="28"/>
        </w:rPr>
      </w:pPr>
    </w:p>
    <w:p w:rsidR="00722AEC" w:rsidRDefault="00722AEC" w:rsidP="00722AEC">
      <w:pPr>
        <w:bidi w:val="0"/>
        <w:jc w:val="both"/>
        <w:rPr>
          <w:b/>
          <w:bCs/>
          <w:sz w:val="28"/>
          <w:szCs w:val="28"/>
          <w:rtl/>
        </w:rPr>
      </w:pPr>
    </w:p>
    <w:p w:rsidR="00722AEC" w:rsidRPr="00BE2D7C" w:rsidRDefault="00722AEC" w:rsidP="00896632">
      <w:pPr>
        <w:pStyle w:val="BodyText"/>
        <w:widowControl/>
        <w:numPr>
          <w:ilvl w:val="0"/>
          <w:numId w:val="18"/>
        </w:numPr>
        <w:bidi w:val="0"/>
        <w:spacing w:after="120"/>
        <w:ind w:left="426" w:hanging="426"/>
        <w:jc w:val="both"/>
        <w:rPr>
          <w:b w:val="0"/>
          <w:bCs w:val="0"/>
        </w:rPr>
      </w:pPr>
      <w:r>
        <w:t>255,228</w:t>
      </w:r>
      <w:r w:rsidRPr="00BE2D7C">
        <w:t xml:space="preserve"> of </w:t>
      </w:r>
      <w:r>
        <w:t>Persons</w:t>
      </w:r>
      <w:r w:rsidRPr="00BE2D7C">
        <w:t xml:space="preserve"> in Palestine Suffered from at Least One Di</w:t>
      </w:r>
      <w:r>
        <w:t>fficulty</w:t>
      </w:r>
      <w:r w:rsidR="00790B35">
        <w:rPr>
          <w:rStyle w:val="FootnoteReference"/>
        </w:rPr>
        <w:footnoteReference w:id="1"/>
      </w:r>
      <w:r w:rsidR="00896632">
        <w:t xml:space="preserve"> in seeing or hearing or</w:t>
      </w:r>
      <w:r w:rsidR="00896632" w:rsidRPr="00010828">
        <w:t xml:space="preserve"> </w:t>
      </w:r>
      <w:r w:rsidR="00896632">
        <w:t xml:space="preserve">mobility or </w:t>
      </w:r>
      <w:r w:rsidR="00896632" w:rsidRPr="00010828">
        <w:t>remembering</w:t>
      </w:r>
      <w:r w:rsidR="00896632">
        <w:t xml:space="preserve"> and</w:t>
      </w:r>
      <w:r w:rsidR="00896632" w:rsidRPr="00010828">
        <w:t xml:space="preserve"> concentration, </w:t>
      </w:r>
      <w:r w:rsidR="00896632">
        <w:t>or</w:t>
      </w:r>
      <w:r w:rsidR="00896632" w:rsidRPr="00010828">
        <w:t xml:space="preserve"> </w:t>
      </w:r>
      <w:r w:rsidR="00896632">
        <w:t>communication</w:t>
      </w:r>
      <w:r w:rsidRPr="00BE2D7C">
        <w:t xml:space="preserve"> in </w:t>
      </w:r>
      <w:r>
        <w:t>2017</w:t>
      </w:r>
    </w:p>
    <w:p w:rsidR="00722AEC" w:rsidRPr="00BE2D7C" w:rsidRDefault="00C472B4" w:rsidP="00CA2F94">
      <w:pPr>
        <w:pStyle w:val="BodyText"/>
        <w:widowControl/>
        <w:numPr>
          <w:ilvl w:val="0"/>
          <w:numId w:val="18"/>
        </w:numPr>
        <w:bidi w:val="0"/>
        <w:spacing w:after="120"/>
        <w:ind w:left="426" w:hanging="426"/>
        <w:jc w:val="both"/>
        <w:rPr>
          <w:b w:val="0"/>
          <w:bCs w:val="0"/>
        </w:rPr>
      </w:pPr>
      <w:r>
        <w:rPr>
          <w:lang w:eastAsia="en-GB"/>
        </w:rPr>
        <w:t xml:space="preserve">More than </w:t>
      </w:r>
      <w:r w:rsidR="00722AEC">
        <w:rPr>
          <w:lang w:eastAsia="en-GB"/>
        </w:rPr>
        <w:t xml:space="preserve">27% </w:t>
      </w:r>
      <w:r w:rsidR="00722AEC" w:rsidRPr="00BE2D7C">
        <w:t xml:space="preserve">of </w:t>
      </w:r>
      <w:r w:rsidR="00722AEC">
        <w:t>Children</w:t>
      </w:r>
      <w:r w:rsidR="00141CF2">
        <w:t xml:space="preserve"> </w:t>
      </w:r>
      <w:r w:rsidR="00722AEC">
        <w:t>(6-17</w:t>
      </w:r>
      <w:r w:rsidR="00C812F7">
        <w:t xml:space="preserve"> </w:t>
      </w:r>
      <w:r w:rsidR="00722AEC">
        <w:t xml:space="preserve">Years) with Difficulties </w:t>
      </w:r>
      <w:r w:rsidR="00722AEC" w:rsidRPr="00BE2D7C">
        <w:t xml:space="preserve">in Palestine </w:t>
      </w:r>
      <w:r w:rsidR="00141CF2">
        <w:t>were</w:t>
      </w:r>
      <w:r w:rsidR="00722AEC">
        <w:t xml:space="preserve"> </w:t>
      </w:r>
      <w:r w:rsidR="00722AEC" w:rsidRPr="000C4E4D">
        <w:t>not Enrolled in Education</w:t>
      </w:r>
    </w:p>
    <w:p w:rsidR="00722AEC" w:rsidRPr="00CB4E69" w:rsidRDefault="00722AEC" w:rsidP="00722AEC">
      <w:pPr>
        <w:pStyle w:val="BodyText"/>
        <w:bidi w:val="0"/>
        <w:jc w:val="both"/>
        <w:rPr>
          <w:sz w:val="16"/>
          <w:szCs w:val="16"/>
        </w:rPr>
      </w:pPr>
    </w:p>
    <w:p w:rsidR="00722AEC" w:rsidRPr="00C80F36" w:rsidRDefault="00722AEC" w:rsidP="00141CF2">
      <w:pPr>
        <w:pStyle w:val="BodyText"/>
        <w:bidi w:val="0"/>
        <w:jc w:val="both"/>
        <w:rPr>
          <w:b w:val="0"/>
          <w:bCs w:val="0"/>
        </w:rPr>
      </w:pPr>
      <w:r w:rsidRPr="00C80F36">
        <w:rPr>
          <w:b w:val="0"/>
          <w:bCs w:val="0"/>
        </w:rPr>
        <w:t>The International Day of Persons with Disabilities on</w:t>
      </w:r>
      <w:r w:rsidR="00141CF2">
        <w:rPr>
          <w:b w:val="0"/>
          <w:bCs w:val="0"/>
        </w:rPr>
        <w:t xml:space="preserve"> </w:t>
      </w:r>
      <w:r w:rsidRPr="00C80F36">
        <w:rPr>
          <w:b w:val="0"/>
          <w:bCs w:val="0"/>
        </w:rPr>
        <w:t>December 3</w:t>
      </w:r>
      <w:r w:rsidRPr="00C80F36">
        <w:rPr>
          <w:b w:val="0"/>
          <w:bCs w:val="0"/>
          <w:vertAlign w:val="superscript"/>
        </w:rPr>
        <w:t>rd</w:t>
      </w:r>
      <w:r w:rsidRPr="00C80F36">
        <w:rPr>
          <w:b w:val="0"/>
          <w:bCs w:val="0"/>
        </w:rPr>
        <w:t xml:space="preserve"> is an </w:t>
      </w:r>
      <w:hyperlink r:id="rId8" w:tooltip="International observance" w:history="1">
        <w:r w:rsidRPr="00C80F36">
          <w:rPr>
            <w:b w:val="0"/>
            <w:bCs w:val="0"/>
          </w:rPr>
          <w:t>international observance</w:t>
        </w:r>
      </w:hyperlink>
      <w:r w:rsidRPr="00C80F36">
        <w:rPr>
          <w:b w:val="0"/>
          <w:bCs w:val="0"/>
        </w:rPr>
        <w:t> promoted by the </w:t>
      </w:r>
      <w:hyperlink r:id="rId9" w:tooltip="United Nations" w:history="1">
        <w:r w:rsidRPr="00C80F36">
          <w:rPr>
            <w:b w:val="0"/>
            <w:bCs w:val="0"/>
          </w:rPr>
          <w:t>United Nations</w:t>
        </w:r>
      </w:hyperlink>
      <w:r w:rsidRPr="00C80F36">
        <w:rPr>
          <w:b w:val="0"/>
          <w:bCs w:val="0"/>
        </w:rPr>
        <w:t> since 1992. The observance of the Day aims to promote an understanding of disability issues and mobilize support for the </w:t>
      </w:r>
      <w:hyperlink r:id="rId10" w:tooltip="Dignity" w:history="1">
        <w:r w:rsidRPr="00C80F36">
          <w:rPr>
            <w:b w:val="0"/>
            <w:bCs w:val="0"/>
          </w:rPr>
          <w:t>dignity</w:t>
        </w:r>
      </w:hyperlink>
      <w:r w:rsidRPr="00C80F36">
        <w:rPr>
          <w:b w:val="0"/>
          <w:bCs w:val="0"/>
        </w:rPr>
        <w:t>, rights and well-being of persons with disabilities. It also seeks to increase </w:t>
      </w:r>
      <w:hyperlink r:id="rId11" w:tooltip="Raising awareness" w:history="1">
        <w:r w:rsidRPr="00C80F36">
          <w:rPr>
            <w:b w:val="0"/>
            <w:bCs w:val="0"/>
          </w:rPr>
          <w:t>awareness</w:t>
        </w:r>
      </w:hyperlink>
      <w:r w:rsidRPr="00C80F36">
        <w:rPr>
          <w:b w:val="0"/>
          <w:bCs w:val="0"/>
        </w:rPr>
        <w:t xml:space="preserve"> of gains to be derived from the integration of persons with disabilities in every aspect of the </w:t>
      </w:r>
      <w:hyperlink r:id="rId12" w:tooltip="Civil and political rights" w:history="1">
        <w:r w:rsidRPr="00C80F36">
          <w:rPr>
            <w:b w:val="0"/>
            <w:bCs w:val="0"/>
          </w:rPr>
          <w:t>political</w:t>
        </w:r>
      </w:hyperlink>
      <w:r w:rsidRPr="00C80F36">
        <w:rPr>
          <w:b w:val="0"/>
          <w:bCs w:val="0"/>
        </w:rPr>
        <w:t>, </w:t>
      </w:r>
      <w:hyperlink r:id="rId13" w:tooltip="Economic, social and cultural rights" w:history="1">
        <w:r w:rsidRPr="00C80F36">
          <w:rPr>
            <w:b w:val="0"/>
            <w:bCs w:val="0"/>
          </w:rPr>
          <w:t>social, economic and cultural</w:t>
        </w:r>
      </w:hyperlink>
      <w:r w:rsidRPr="00C80F36">
        <w:rPr>
          <w:b w:val="0"/>
          <w:bCs w:val="0"/>
        </w:rPr>
        <w:t> life. The theme for this year is "Empowering persons with disabilities and ensuring inclusiveness and equality".</w:t>
      </w:r>
    </w:p>
    <w:p w:rsidR="00722AEC" w:rsidRDefault="00722AEC" w:rsidP="00722AEC">
      <w:pPr>
        <w:pStyle w:val="BodyText"/>
        <w:bidi w:val="0"/>
        <w:jc w:val="both"/>
      </w:pPr>
    </w:p>
    <w:p w:rsidR="00722AEC" w:rsidRDefault="00722AEC" w:rsidP="00722AEC">
      <w:pPr>
        <w:pStyle w:val="BodyText"/>
        <w:bidi w:val="0"/>
        <w:jc w:val="both"/>
        <w:rPr>
          <w:b w:val="0"/>
          <w:bCs w:val="0"/>
          <w:sz w:val="16"/>
          <w:szCs w:val="16"/>
        </w:rPr>
      </w:pPr>
    </w:p>
    <w:p w:rsidR="00892057" w:rsidRDefault="00892057" w:rsidP="00892057">
      <w:pPr>
        <w:bidi w:val="0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Increase the percentage </w:t>
      </w:r>
      <w:r w:rsidRPr="00892057">
        <w:rPr>
          <w:b/>
          <w:bCs/>
          <w:sz w:val="24"/>
          <w:szCs w:val="24"/>
        </w:rPr>
        <w:t xml:space="preserve"> of difficulties in Gaza Strip </w:t>
      </w:r>
      <w:r>
        <w:rPr>
          <w:b/>
          <w:bCs/>
          <w:sz w:val="24"/>
          <w:szCs w:val="24"/>
        </w:rPr>
        <w:t xml:space="preserve">compared to </w:t>
      </w:r>
      <w:r w:rsidRPr="00892057">
        <w:rPr>
          <w:b/>
          <w:bCs/>
          <w:sz w:val="24"/>
          <w:szCs w:val="24"/>
        </w:rPr>
        <w:t>a slight decrease in the West Bank.</w:t>
      </w:r>
    </w:p>
    <w:p w:rsidR="00722AEC" w:rsidRPr="005C7ECA" w:rsidRDefault="00722AEC" w:rsidP="005B3E38">
      <w:pPr>
        <w:bidi w:val="0"/>
        <w:jc w:val="both"/>
        <w:rPr>
          <w:sz w:val="22"/>
          <w:szCs w:val="22"/>
        </w:rPr>
      </w:pPr>
      <w:r w:rsidRPr="005C7ECA">
        <w:rPr>
          <w:sz w:val="22"/>
          <w:szCs w:val="22"/>
        </w:rPr>
        <w:t xml:space="preserve">In 2017 data of population, housing and establishments census, showed that 225,228 persons suffered from at least one difficulty which constitute </w:t>
      </w:r>
      <w:r w:rsidR="0094454A">
        <w:rPr>
          <w:sz w:val="22"/>
          <w:szCs w:val="22"/>
        </w:rPr>
        <w:t>5.8</w:t>
      </w:r>
      <w:r w:rsidRPr="005C7ECA">
        <w:rPr>
          <w:sz w:val="22"/>
          <w:szCs w:val="22"/>
        </w:rPr>
        <w:t>% of the total population of Palestine</w:t>
      </w:r>
      <w:r w:rsidR="000519E6">
        <w:rPr>
          <w:sz w:val="22"/>
          <w:szCs w:val="22"/>
        </w:rPr>
        <w:t>;</w:t>
      </w:r>
      <w:r w:rsidRPr="005C7ECA">
        <w:rPr>
          <w:sz w:val="22"/>
          <w:szCs w:val="22"/>
        </w:rPr>
        <w:t xml:space="preserve"> 127,26</w:t>
      </w:r>
      <w:r w:rsidR="00141CF2">
        <w:rPr>
          <w:sz w:val="22"/>
          <w:szCs w:val="22"/>
        </w:rPr>
        <w:t xml:space="preserve">6 in the West Bank constituting </w:t>
      </w:r>
      <w:r w:rsidR="0094454A">
        <w:rPr>
          <w:sz w:val="22"/>
          <w:szCs w:val="22"/>
        </w:rPr>
        <w:t>5.1</w:t>
      </w:r>
      <w:r w:rsidRPr="005C7ECA">
        <w:rPr>
          <w:sz w:val="22"/>
          <w:szCs w:val="22"/>
        </w:rPr>
        <w:t xml:space="preserve">% of the </w:t>
      </w:r>
      <w:r w:rsidR="00141CF2">
        <w:rPr>
          <w:sz w:val="22"/>
          <w:szCs w:val="22"/>
        </w:rPr>
        <w:t xml:space="preserve">total population of </w:t>
      </w:r>
      <w:r w:rsidRPr="005C7ECA">
        <w:rPr>
          <w:sz w:val="22"/>
          <w:szCs w:val="22"/>
        </w:rPr>
        <w:t xml:space="preserve">West Bank, and 127,962 in Gaza Strip constituting </w:t>
      </w:r>
      <w:r w:rsidR="0094454A">
        <w:rPr>
          <w:sz w:val="22"/>
          <w:szCs w:val="22"/>
        </w:rPr>
        <w:t>6.8</w:t>
      </w:r>
      <w:r w:rsidRPr="005C7ECA">
        <w:rPr>
          <w:sz w:val="22"/>
          <w:szCs w:val="22"/>
        </w:rPr>
        <w:t xml:space="preserve">% of the total population of Gaza Strip. The data also showed that the prevalence of difficulties among persons increased during the last </w:t>
      </w:r>
      <w:r w:rsidR="00160D28">
        <w:rPr>
          <w:sz w:val="22"/>
          <w:szCs w:val="22"/>
        </w:rPr>
        <w:t>10</w:t>
      </w:r>
      <w:r w:rsidR="00141CF2">
        <w:rPr>
          <w:sz w:val="22"/>
          <w:szCs w:val="22"/>
        </w:rPr>
        <w:t xml:space="preserve"> years</w:t>
      </w:r>
      <w:r w:rsidRPr="005C7ECA">
        <w:rPr>
          <w:sz w:val="22"/>
          <w:szCs w:val="22"/>
        </w:rPr>
        <w:t xml:space="preserve">, where it was </w:t>
      </w:r>
      <w:r w:rsidR="0094454A">
        <w:rPr>
          <w:sz w:val="22"/>
          <w:szCs w:val="22"/>
        </w:rPr>
        <w:t>4.7</w:t>
      </w:r>
      <w:r w:rsidRPr="005C7ECA">
        <w:rPr>
          <w:sz w:val="22"/>
          <w:szCs w:val="22"/>
        </w:rPr>
        <w:t>% in Palestine in 2007 (</w:t>
      </w:r>
      <w:r w:rsidR="0094454A">
        <w:rPr>
          <w:sz w:val="22"/>
          <w:szCs w:val="22"/>
        </w:rPr>
        <w:t>5.3</w:t>
      </w:r>
      <w:r w:rsidRPr="005C7ECA">
        <w:rPr>
          <w:sz w:val="22"/>
          <w:szCs w:val="22"/>
        </w:rPr>
        <w:t xml:space="preserve">% in West Bank and </w:t>
      </w:r>
      <w:r w:rsidR="0094454A">
        <w:rPr>
          <w:sz w:val="22"/>
          <w:szCs w:val="22"/>
        </w:rPr>
        <w:t>3.7</w:t>
      </w:r>
      <w:r w:rsidRPr="005C7ECA">
        <w:rPr>
          <w:sz w:val="22"/>
          <w:szCs w:val="22"/>
        </w:rPr>
        <w:t xml:space="preserve">% in Gaza Strip) then increased to </w:t>
      </w:r>
      <w:r w:rsidR="0094454A">
        <w:rPr>
          <w:sz w:val="22"/>
          <w:szCs w:val="22"/>
        </w:rPr>
        <w:t>5.8</w:t>
      </w:r>
      <w:r w:rsidRPr="005C7ECA">
        <w:rPr>
          <w:sz w:val="22"/>
          <w:szCs w:val="22"/>
        </w:rPr>
        <w:t xml:space="preserve">% </w:t>
      </w:r>
      <w:r w:rsidR="005B3E38">
        <w:rPr>
          <w:sz w:val="22"/>
          <w:szCs w:val="22"/>
        </w:rPr>
        <w:t>(5.1</w:t>
      </w:r>
      <w:r w:rsidR="005B3E38" w:rsidRPr="005C7ECA">
        <w:rPr>
          <w:sz w:val="22"/>
          <w:szCs w:val="22"/>
        </w:rPr>
        <w:t xml:space="preserve">% in West Bank and </w:t>
      </w:r>
      <w:r w:rsidR="005B3E38">
        <w:rPr>
          <w:sz w:val="22"/>
          <w:szCs w:val="22"/>
        </w:rPr>
        <w:t>6.8</w:t>
      </w:r>
      <w:r w:rsidR="005B3E38" w:rsidRPr="005C7ECA">
        <w:rPr>
          <w:sz w:val="22"/>
          <w:szCs w:val="22"/>
        </w:rPr>
        <w:t xml:space="preserve">% in Gaza Strip) </w:t>
      </w:r>
      <w:r w:rsidRPr="005C7ECA">
        <w:rPr>
          <w:sz w:val="22"/>
          <w:szCs w:val="22"/>
        </w:rPr>
        <w:t>in 2017.</w:t>
      </w:r>
    </w:p>
    <w:p w:rsidR="00790B35" w:rsidRDefault="00790B35" w:rsidP="00896632">
      <w:pPr>
        <w:bidi w:val="0"/>
        <w:jc w:val="center"/>
      </w:pPr>
    </w:p>
    <w:p w:rsidR="008F615C" w:rsidRDefault="00722AEC" w:rsidP="00790B35">
      <w:pPr>
        <w:bidi w:val="0"/>
        <w:jc w:val="center"/>
        <w:rPr>
          <w:b/>
          <w:bCs/>
          <w:sz w:val="24"/>
          <w:szCs w:val="24"/>
        </w:rPr>
      </w:pPr>
      <w:r w:rsidRPr="005C7ECA">
        <w:rPr>
          <w:b/>
          <w:bCs/>
          <w:sz w:val="24"/>
          <w:szCs w:val="24"/>
        </w:rPr>
        <w:t>Percentage of Persons with Difficulties by Region, 2007, 2017</w:t>
      </w:r>
    </w:p>
    <w:p w:rsidR="00722AEC" w:rsidRPr="008F615C" w:rsidRDefault="00722AEC" w:rsidP="008F615C">
      <w:pPr>
        <w:bidi w:val="0"/>
        <w:jc w:val="center"/>
        <w:rPr>
          <w:sz w:val="16"/>
          <w:szCs w:val="16"/>
        </w:rPr>
      </w:pPr>
      <w:r w:rsidRPr="005C7ECA">
        <w:rPr>
          <w:b/>
          <w:bCs/>
          <w:sz w:val="24"/>
          <w:szCs w:val="24"/>
        </w:rPr>
        <w:t xml:space="preserve"> </w:t>
      </w:r>
      <w:proofErr w:type="spellStart"/>
      <w:r w:rsidRPr="005C7ECA">
        <w:rPr>
          <w:b/>
          <w:bCs/>
          <w:sz w:val="24"/>
          <w:szCs w:val="24"/>
          <w:rtl/>
        </w:rPr>
        <w:t>‏</w:t>
      </w:r>
      <w:proofErr w:type="spellEnd"/>
    </w:p>
    <w:tbl>
      <w:tblPr>
        <w:tblStyle w:val="TableGrid"/>
        <w:tblW w:w="0" w:type="auto"/>
        <w:tblLook w:val="04A0"/>
      </w:tblPr>
      <w:tblGrid>
        <w:gridCol w:w="4391"/>
      </w:tblGrid>
      <w:tr w:rsidR="000519E6" w:rsidRPr="00CB4E69" w:rsidTr="000519E6">
        <w:tc>
          <w:tcPr>
            <w:tcW w:w="4391" w:type="dxa"/>
          </w:tcPr>
          <w:p w:rsidR="000519E6" w:rsidRPr="00CB4E69" w:rsidRDefault="000519E6" w:rsidP="00CA2F94">
            <w:pPr>
              <w:bidi w:val="0"/>
              <w:jc w:val="center"/>
              <w:rPr>
                <w:sz w:val="25"/>
                <w:szCs w:val="25"/>
              </w:rPr>
            </w:pPr>
            <w:r w:rsidRPr="000519E6">
              <w:rPr>
                <w:b/>
                <w:bCs/>
                <w:noProof/>
                <w:sz w:val="25"/>
                <w:szCs w:val="25"/>
              </w:rPr>
              <w:drawing>
                <wp:inline distT="0" distB="0" distL="0" distR="0">
                  <wp:extent cx="2600325" cy="2457450"/>
                  <wp:effectExtent l="0" t="0" r="0" b="0"/>
                  <wp:docPr id="1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722AEC" w:rsidRPr="00CB4E69" w:rsidRDefault="00722AEC" w:rsidP="00722AEC">
      <w:pPr>
        <w:bidi w:val="0"/>
        <w:jc w:val="center"/>
        <w:rPr>
          <w:sz w:val="25"/>
          <w:szCs w:val="25"/>
        </w:rPr>
      </w:pPr>
    </w:p>
    <w:p w:rsidR="00722AEC" w:rsidRDefault="00722AEC" w:rsidP="00642CFC">
      <w:pPr>
        <w:bidi w:val="0"/>
        <w:jc w:val="both"/>
        <w:rPr>
          <w:sz w:val="22"/>
          <w:szCs w:val="22"/>
        </w:rPr>
      </w:pPr>
      <w:r w:rsidRPr="005C7ECA">
        <w:rPr>
          <w:sz w:val="22"/>
          <w:szCs w:val="22"/>
        </w:rPr>
        <w:t xml:space="preserve">On the other hand, there has been an increase in the percentage of persons with difficulties by sex during the </w:t>
      </w:r>
      <w:r w:rsidR="00CA0C75">
        <w:rPr>
          <w:sz w:val="22"/>
          <w:szCs w:val="22"/>
        </w:rPr>
        <w:t>last 10 years</w:t>
      </w:r>
      <w:r w:rsidRPr="005C7ECA">
        <w:rPr>
          <w:sz w:val="22"/>
          <w:szCs w:val="22"/>
        </w:rPr>
        <w:t>. The percentage of pe</w:t>
      </w:r>
      <w:r w:rsidR="002C177E">
        <w:rPr>
          <w:sz w:val="22"/>
          <w:szCs w:val="22"/>
        </w:rPr>
        <w:t>rsons</w:t>
      </w:r>
      <w:r w:rsidRPr="005C7ECA">
        <w:rPr>
          <w:sz w:val="22"/>
          <w:szCs w:val="22"/>
        </w:rPr>
        <w:t xml:space="preserve"> with difficult</w:t>
      </w:r>
      <w:r w:rsidR="008F615C">
        <w:rPr>
          <w:sz w:val="22"/>
          <w:szCs w:val="22"/>
        </w:rPr>
        <w:t>ies</w:t>
      </w:r>
      <w:r w:rsidRPr="005C7ECA">
        <w:rPr>
          <w:sz w:val="22"/>
          <w:szCs w:val="22"/>
        </w:rPr>
        <w:t xml:space="preserve"> in Palestine in 2017 among males was 6</w:t>
      </w:r>
      <w:r w:rsidR="00642CFC">
        <w:rPr>
          <w:sz w:val="22"/>
          <w:szCs w:val="22"/>
        </w:rPr>
        <w:t>.3</w:t>
      </w:r>
      <w:r w:rsidRPr="005C7ECA">
        <w:rPr>
          <w:sz w:val="22"/>
          <w:szCs w:val="22"/>
        </w:rPr>
        <w:t>% and 5</w:t>
      </w:r>
      <w:r w:rsidR="00642CFC">
        <w:rPr>
          <w:sz w:val="22"/>
          <w:szCs w:val="22"/>
        </w:rPr>
        <w:t>.4</w:t>
      </w:r>
      <w:r w:rsidRPr="005C7ECA">
        <w:rPr>
          <w:sz w:val="22"/>
          <w:szCs w:val="22"/>
        </w:rPr>
        <w:t>% among females, while 2007 data indicated that the percentage reached</w:t>
      </w:r>
      <w:r w:rsidR="0036305A">
        <w:rPr>
          <w:sz w:val="22"/>
          <w:szCs w:val="22"/>
        </w:rPr>
        <w:t xml:space="preserve"> </w:t>
      </w:r>
      <w:r w:rsidR="00642CFC">
        <w:rPr>
          <w:sz w:val="22"/>
          <w:szCs w:val="22"/>
        </w:rPr>
        <w:t>4.8</w:t>
      </w:r>
      <w:r w:rsidRPr="005C7ECA">
        <w:rPr>
          <w:sz w:val="22"/>
          <w:szCs w:val="22"/>
        </w:rPr>
        <w:t>% among</w:t>
      </w:r>
      <w:r w:rsidR="00896632">
        <w:rPr>
          <w:sz w:val="22"/>
          <w:szCs w:val="22"/>
        </w:rPr>
        <w:t xml:space="preserve"> males and</w:t>
      </w:r>
      <w:r w:rsidRPr="005C7ECA">
        <w:rPr>
          <w:sz w:val="22"/>
          <w:szCs w:val="22"/>
        </w:rPr>
        <w:t xml:space="preserve"> </w:t>
      </w:r>
      <w:r w:rsidR="00642CFC">
        <w:rPr>
          <w:sz w:val="22"/>
          <w:szCs w:val="22"/>
        </w:rPr>
        <w:t xml:space="preserve">4.6% among </w:t>
      </w:r>
      <w:r w:rsidRPr="005C7ECA">
        <w:rPr>
          <w:sz w:val="22"/>
          <w:szCs w:val="22"/>
        </w:rPr>
        <w:t xml:space="preserve">females. </w:t>
      </w:r>
    </w:p>
    <w:p w:rsidR="00790B35" w:rsidRPr="005C7ECA" w:rsidRDefault="00790B35" w:rsidP="00790B35">
      <w:pPr>
        <w:bidi w:val="0"/>
        <w:jc w:val="both"/>
        <w:rPr>
          <w:sz w:val="22"/>
          <w:szCs w:val="22"/>
        </w:rPr>
      </w:pPr>
    </w:p>
    <w:p w:rsidR="00C80F36" w:rsidRDefault="00790B35" w:rsidP="00790B35">
      <w:pPr>
        <w:bidi w:val="0"/>
        <w:jc w:val="center"/>
        <w:rPr>
          <w:b/>
          <w:bCs/>
          <w:sz w:val="24"/>
          <w:szCs w:val="24"/>
        </w:rPr>
      </w:pPr>
      <w:r w:rsidRPr="005C7ECA">
        <w:rPr>
          <w:b/>
          <w:bCs/>
          <w:sz w:val="24"/>
          <w:szCs w:val="24"/>
        </w:rPr>
        <w:lastRenderedPageBreak/>
        <w:t>Percentage of Persons with Difficulties by Sex in 2007, 2017</w:t>
      </w:r>
    </w:p>
    <w:p w:rsidR="00790B35" w:rsidRPr="005C7ECA" w:rsidRDefault="00CA2F94" w:rsidP="00C80F36">
      <w:pPr>
        <w:bidi w:val="0"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1150620</wp:posOffset>
            </wp:positionH>
            <wp:positionV relativeFrom="paragraph">
              <wp:posOffset>82550</wp:posOffset>
            </wp:positionV>
            <wp:extent cx="3102610" cy="2273935"/>
            <wp:effectExtent l="19050" t="0" r="21590" b="0"/>
            <wp:wrapTopAndBottom/>
            <wp:docPr id="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22AEC" w:rsidRPr="005C7ECA" w:rsidRDefault="00722AEC" w:rsidP="00722AEC">
      <w:pPr>
        <w:pStyle w:val="BodyText"/>
        <w:bidi w:val="0"/>
        <w:jc w:val="both"/>
        <w:rPr>
          <w:b w:val="0"/>
          <w:bCs w:val="0"/>
          <w:sz w:val="22"/>
          <w:szCs w:val="22"/>
        </w:rPr>
      </w:pPr>
    </w:p>
    <w:p w:rsidR="00722AEC" w:rsidRPr="008B1711" w:rsidRDefault="00722AEC" w:rsidP="00361F09">
      <w:pPr>
        <w:bidi w:val="0"/>
        <w:spacing w:after="120"/>
        <w:jc w:val="both"/>
        <w:rPr>
          <w:b/>
          <w:bCs/>
          <w:sz w:val="24"/>
          <w:szCs w:val="24"/>
        </w:rPr>
      </w:pPr>
      <w:r w:rsidRPr="008B1711">
        <w:rPr>
          <w:b/>
          <w:bCs/>
          <w:sz w:val="24"/>
          <w:szCs w:val="24"/>
          <w:lang w:eastAsia="en-GB"/>
        </w:rPr>
        <w:t>Mobility Difficulty is the most Common Difficulty in 2017</w:t>
      </w:r>
    </w:p>
    <w:p w:rsidR="00722AEC" w:rsidRPr="008B1711" w:rsidRDefault="00E37839" w:rsidP="00E37839">
      <w:pPr>
        <w:bidi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722AEC" w:rsidRPr="008B1711">
        <w:rPr>
          <w:sz w:val="24"/>
          <w:szCs w:val="24"/>
        </w:rPr>
        <w:t xml:space="preserve">% of the total persons in Palestine </w:t>
      </w:r>
      <w:r w:rsidR="002D6077" w:rsidRPr="008B1711">
        <w:rPr>
          <w:sz w:val="24"/>
          <w:szCs w:val="24"/>
        </w:rPr>
        <w:t xml:space="preserve">are with </w:t>
      </w:r>
      <w:r w:rsidR="00722AEC" w:rsidRPr="008B1711">
        <w:rPr>
          <w:sz w:val="24"/>
          <w:szCs w:val="24"/>
        </w:rPr>
        <w:t xml:space="preserve">mobility difficulties in 2017. Seeing difficulty is the second most prevalent with 2.6%. Compared to 2007 seeing difficulty was the most prevalent with </w:t>
      </w:r>
      <w:r>
        <w:rPr>
          <w:sz w:val="24"/>
          <w:szCs w:val="24"/>
        </w:rPr>
        <w:t>2.5</w:t>
      </w:r>
      <w:r w:rsidR="00722AEC" w:rsidRPr="008B1711">
        <w:rPr>
          <w:sz w:val="24"/>
          <w:szCs w:val="24"/>
        </w:rPr>
        <w:t xml:space="preserve">% in Palestine followed by mobility difficulty with </w:t>
      </w:r>
      <w:r>
        <w:rPr>
          <w:sz w:val="24"/>
          <w:szCs w:val="24"/>
        </w:rPr>
        <w:t>1.8</w:t>
      </w:r>
      <w:r w:rsidR="00722AEC" w:rsidRPr="008B1711">
        <w:rPr>
          <w:sz w:val="24"/>
          <w:szCs w:val="24"/>
        </w:rPr>
        <w:t>% of total population.</w:t>
      </w:r>
    </w:p>
    <w:p w:rsidR="00722AEC" w:rsidRDefault="00722AEC" w:rsidP="00722AEC">
      <w:pPr>
        <w:bidi w:val="0"/>
        <w:jc w:val="both"/>
      </w:pPr>
    </w:p>
    <w:p w:rsidR="00722AEC" w:rsidRDefault="00722AEC" w:rsidP="00CA2F94">
      <w:pPr>
        <w:bidi w:val="0"/>
        <w:rPr>
          <w:b/>
          <w:bCs/>
          <w:sz w:val="24"/>
          <w:szCs w:val="24"/>
        </w:rPr>
      </w:pPr>
      <w:r w:rsidRPr="005C7ECA">
        <w:rPr>
          <w:b/>
          <w:bCs/>
          <w:sz w:val="24"/>
          <w:szCs w:val="24"/>
        </w:rPr>
        <w:t>Percentage of Persons with Difficulties by Type of Difficulty in 2007, 2017</w:t>
      </w:r>
    </w:p>
    <w:tbl>
      <w:tblPr>
        <w:tblStyle w:val="TableGrid"/>
        <w:tblW w:w="0" w:type="auto"/>
        <w:tblLook w:val="04A0"/>
      </w:tblPr>
      <w:tblGrid>
        <w:gridCol w:w="4391"/>
      </w:tblGrid>
      <w:tr w:rsidR="00141CF2" w:rsidTr="00141CF2">
        <w:tc>
          <w:tcPr>
            <w:tcW w:w="4391" w:type="dxa"/>
          </w:tcPr>
          <w:p w:rsidR="00141CF2" w:rsidRDefault="00141CF2" w:rsidP="00821FB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141CF2">
              <w:rPr>
                <w:rFonts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651125" cy="2224899"/>
                  <wp:effectExtent l="0" t="0" r="0" b="0"/>
                  <wp:docPr id="2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2D6077" w:rsidRDefault="002D6077" w:rsidP="002D6077">
      <w:pPr>
        <w:bidi w:val="0"/>
        <w:jc w:val="center"/>
        <w:rPr>
          <w:b/>
          <w:bCs/>
          <w:sz w:val="24"/>
          <w:szCs w:val="24"/>
        </w:rPr>
      </w:pPr>
    </w:p>
    <w:p w:rsidR="00722AEC" w:rsidRDefault="00722AEC" w:rsidP="00B04E93">
      <w:pPr>
        <w:pStyle w:val="BodyText"/>
        <w:bidi w:val="0"/>
        <w:jc w:val="both"/>
        <w:rPr>
          <w:b w:val="0"/>
          <w:bCs w:val="0"/>
          <w:szCs w:val="24"/>
        </w:rPr>
      </w:pPr>
      <w:r w:rsidRPr="008B1711">
        <w:rPr>
          <w:szCs w:val="24"/>
        </w:rPr>
        <w:t xml:space="preserve">Illiteracy among Persons (10 Years and above) with Difficulties Decreased during the last </w:t>
      </w:r>
      <w:r w:rsidR="00B04E93">
        <w:rPr>
          <w:szCs w:val="24"/>
        </w:rPr>
        <w:t>Ten Years</w:t>
      </w:r>
    </w:p>
    <w:p w:rsidR="004561F8" w:rsidRDefault="004561F8" w:rsidP="004561F8">
      <w:pPr>
        <w:bidi w:val="0"/>
        <w:jc w:val="both"/>
        <w:rPr>
          <w:sz w:val="24"/>
          <w:szCs w:val="24"/>
        </w:rPr>
      </w:pPr>
    </w:p>
    <w:p w:rsidR="00CA2F94" w:rsidRDefault="004561F8" w:rsidP="004561F8">
      <w:pPr>
        <w:bidi w:val="0"/>
        <w:jc w:val="both"/>
        <w:rPr>
          <w:b/>
          <w:bCs/>
          <w:sz w:val="24"/>
          <w:szCs w:val="24"/>
        </w:rPr>
      </w:pPr>
      <w:r w:rsidRPr="008B1711">
        <w:rPr>
          <w:sz w:val="24"/>
          <w:szCs w:val="24"/>
        </w:rPr>
        <w:t>In 2017 data showed that illiteracy among persons (10 years and above) with difficulties decreased by 37% between 2007 and 2017,</w:t>
      </w:r>
      <w:r>
        <w:rPr>
          <w:sz w:val="24"/>
          <w:szCs w:val="24"/>
        </w:rPr>
        <w:t xml:space="preserve"> </w:t>
      </w:r>
      <w:r w:rsidRPr="008B1711">
        <w:rPr>
          <w:sz w:val="24"/>
          <w:szCs w:val="24"/>
        </w:rPr>
        <w:t>where it was 33% in 2007 and fell to 21%</w:t>
      </w:r>
      <w:r>
        <w:rPr>
          <w:sz w:val="24"/>
          <w:szCs w:val="24"/>
        </w:rPr>
        <w:t xml:space="preserve"> </w:t>
      </w:r>
      <w:r w:rsidRPr="008B1711">
        <w:rPr>
          <w:sz w:val="24"/>
          <w:szCs w:val="24"/>
        </w:rPr>
        <w:t>in 2017. However, the gender gap in illiteracy</w:t>
      </w:r>
      <w:r w:rsidRPr="005C7ECA">
        <w:rPr>
          <w:sz w:val="22"/>
          <w:szCs w:val="22"/>
        </w:rPr>
        <w:t xml:space="preserve"> </w:t>
      </w:r>
      <w:r w:rsidRPr="008B1711">
        <w:rPr>
          <w:sz w:val="24"/>
          <w:szCs w:val="24"/>
        </w:rPr>
        <w:t>rates remained high. The data of census 2017 indicated that male illiteracy rates reached 11% compared to 33% among females. Meanwhile, in 2007, the percentage among males was 20% compared to 48% among females in Palestine.</w:t>
      </w:r>
    </w:p>
    <w:p w:rsidR="00CA2F94" w:rsidRDefault="00CA2F94" w:rsidP="00CA2F94">
      <w:pPr>
        <w:bidi w:val="0"/>
        <w:jc w:val="both"/>
        <w:rPr>
          <w:b/>
          <w:bCs/>
          <w:sz w:val="24"/>
          <w:szCs w:val="24"/>
        </w:rPr>
      </w:pPr>
    </w:p>
    <w:p w:rsidR="00CA2F94" w:rsidRDefault="00CA2F94" w:rsidP="00CA2F94">
      <w:pPr>
        <w:bidi w:val="0"/>
        <w:jc w:val="both"/>
        <w:rPr>
          <w:b/>
          <w:bCs/>
          <w:sz w:val="24"/>
          <w:szCs w:val="24"/>
        </w:rPr>
      </w:pPr>
    </w:p>
    <w:p w:rsidR="00CA2F94" w:rsidRDefault="00CA2F94" w:rsidP="00CA2F94">
      <w:pPr>
        <w:bidi w:val="0"/>
        <w:jc w:val="both"/>
        <w:rPr>
          <w:b/>
          <w:bCs/>
          <w:sz w:val="24"/>
          <w:szCs w:val="24"/>
        </w:rPr>
      </w:pPr>
    </w:p>
    <w:p w:rsidR="00CA2F94" w:rsidRDefault="00CA2F94" w:rsidP="00CA2F94">
      <w:pPr>
        <w:bidi w:val="0"/>
        <w:jc w:val="both"/>
        <w:rPr>
          <w:b/>
          <w:bCs/>
          <w:sz w:val="24"/>
          <w:szCs w:val="24"/>
        </w:rPr>
      </w:pPr>
    </w:p>
    <w:p w:rsidR="004561F8" w:rsidRPr="008B1711" w:rsidRDefault="004561F8" w:rsidP="00CA2F94">
      <w:pPr>
        <w:bidi w:val="0"/>
        <w:jc w:val="both"/>
        <w:rPr>
          <w:b/>
          <w:bCs/>
          <w:sz w:val="24"/>
          <w:szCs w:val="24"/>
        </w:rPr>
      </w:pPr>
      <w:r w:rsidRPr="008B1711">
        <w:rPr>
          <w:b/>
          <w:bCs/>
          <w:sz w:val="24"/>
          <w:szCs w:val="24"/>
        </w:rPr>
        <w:t xml:space="preserve"> </w:t>
      </w:r>
    </w:p>
    <w:p w:rsidR="004561F8" w:rsidRDefault="004561F8" w:rsidP="004561F8">
      <w:pPr>
        <w:pStyle w:val="BodyText"/>
        <w:bidi w:val="0"/>
        <w:jc w:val="both"/>
        <w:rPr>
          <w:b w:val="0"/>
          <w:bCs w:val="0"/>
          <w:szCs w:val="24"/>
        </w:rPr>
      </w:pPr>
    </w:p>
    <w:p w:rsidR="004561F8" w:rsidRPr="008B1711" w:rsidRDefault="00CA2F94" w:rsidP="006039C2">
      <w:pPr>
        <w:pStyle w:val="BodyText"/>
        <w:bidi w:val="0"/>
        <w:rPr>
          <w:b w:val="0"/>
          <w:bCs w:val="0"/>
          <w:szCs w:val="24"/>
        </w:rPr>
      </w:pPr>
      <w:r>
        <w:rPr>
          <w:noProof/>
          <w:snapToGrid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1623695</wp:posOffset>
            </wp:positionH>
            <wp:positionV relativeFrom="paragraph">
              <wp:posOffset>225425</wp:posOffset>
            </wp:positionV>
            <wp:extent cx="2659380" cy="1828800"/>
            <wp:effectExtent l="19050" t="0" r="26670" b="0"/>
            <wp:wrapTopAndBottom/>
            <wp:docPr id="7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4561F8" w:rsidRPr="008B1711">
        <w:rPr>
          <w:szCs w:val="24"/>
        </w:rPr>
        <w:t xml:space="preserve">Illiteracy </w:t>
      </w:r>
      <w:r w:rsidR="004561F8">
        <w:rPr>
          <w:szCs w:val="24"/>
        </w:rPr>
        <w:t>a</w:t>
      </w:r>
      <w:r w:rsidR="004561F8" w:rsidRPr="008B1711">
        <w:rPr>
          <w:szCs w:val="24"/>
        </w:rPr>
        <w:t xml:space="preserve">mong </w:t>
      </w:r>
      <w:r w:rsidR="004561F8">
        <w:rPr>
          <w:szCs w:val="24"/>
        </w:rPr>
        <w:t>P</w:t>
      </w:r>
      <w:r w:rsidR="004561F8" w:rsidRPr="008B1711">
        <w:rPr>
          <w:szCs w:val="24"/>
        </w:rPr>
        <w:t xml:space="preserve">ersons with </w:t>
      </w:r>
      <w:r w:rsidR="004561F8">
        <w:rPr>
          <w:szCs w:val="24"/>
        </w:rPr>
        <w:t>D</w:t>
      </w:r>
      <w:r w:rsidR="004561F8" w:rsidRPr="008B1711">
        <w:rPr>
          <w:szCs w:val="24"/>
        </w:rPr>
        <w:t xml:space="preserve">ifficulties (10 </w:t>
      </w:r>
      <w:r w:rsidR="004561F8">
        <w:rPr>
          <w:szCs w:val="24"/>
        </w:rPr>
        <w:t>y</w:t>
      </w:r>
      <w:r w:rsidR="004561F8" w:rsidRPr="008B1711">
        <w:rPr>
          <w:szCs w:val="24"/>
        </w:rPr>
        <w:t xml:space="preserve">ears and </w:t>
      </w:r>
      <w:r w:rsidR="006039C2">
        <w:rPr>
          <w:szCs w:val="24"/>
        </w:rPr>
        <w:t>above</w:t>
      </w:r>
      <w:r w:rsidR="004561F8" w:rsidRPr="008B1711">
        <w:rPr>
          <w:szCs w:val="24"/>
        </w:rPr>
        <w:t xml:space="preserve">) </w:t>
      </w:r>
      <w:r w:rsidR="004561F8">
        <w:rPr>
          <w:szCs w:val="24"/>
        </w:rPr>
        <w:t>by Sex, 2007, 2017</w:t>
      </w:r>
    </w:p>
    <w:p w:rsidR="00383559" w:rsidRPr="005C7ECA" w:rsidRDefault="00383559" w:rsidP="00CA2F94">
      <w:pPr>
        <w:bidi w:val="0"/>
        <w:jc w:val="both"/>
        <w:rPr>
          <w:b/>
          <w:bCs/>
          <w:sz w:val="24"/>
          <w:szCs w:val="24"/>
        </w:rPr>
      </w:pPr>
      <w:r w:rsidRPr="005C7ECA">
        <w:rPr>
          <w:b/>
          <w:bCs/>
          <w:sz w:val="24"/>
          <w:szCs w:val="24"/>
        </w:rPr>
        <w:t xml:space="preserve">Increases in the Percentage of Children with Difficulties (6-17 Years) </w:t>
      </w:r>
      <w:r w:rsidR="00C51085" w:rsidRPr="005C7ECA">
        <w:rPr>
          <w:b/>
          <w:bCs/>
          <w:sz w:val="24"/>
          <w:szCs w:val="24"/>
        </w:rPr>
        <w:t>who</w:t>
      </w:r>
      <w:r w:rsidRPr="005C7ECA">
        <w:rPr>
          <w:b/>
          <w:bCs/>
          <w:sz w:val="24"/>
          <w:szCs w:val="24"/>
        </w:rPr>
        <w:t xml:space="preserve"> </w:t>
      </w:r>
      <w:r w:rsidR="00141CF2">
        <w:rPr>
          <w:b/>
          <w:bCs/>
          <w:sz w:val="24"/>
          <w:szCs w:val="24"/>
        </w:rPr>
        <w:t xml:space="preserve">were </w:t>
      </w:r>
      <w:r w:rsidRPr="005C7ECA">
        <w:rPr>
          <w:b/>
          <w:bCs/>
          <w:sz w:val="24"/>
          <w:szCs w:val="24"/>
        </w:rPr>
        <w:t>not Enrolled in Education in the Years 2007and 2017</w:t>
      </w:r>
    </w:p>
    <w:p w:rsidR="00722AEC" w:rsidRPr="008B1711" w:rsidRDefault="00722AEC" w:rsidP="00141CF2">
      <w:pPr>
        <w:shd w:val="clear" w:color="auto" w:fill="FFFFFF" w:themeFill="background1"/>
        <w:bidi w:val="0"/>
        <w:spacing w:before="120"/>
        <w:jc w:val="both"/>
        <w:textAlignment w:val="top"/>
        <w:rPr>
          <w:sz w:val="24"/>
          <w:szCs w:val="24"/>
        </w:rPr>
      </w:pPr>
      <w:r w:rsidRPr="005C7ECA">
        <w:rPr>
          <w:sz w:val="22"/>
          <w:szCs w:val="22"/>
        </w:rPr>
        <w:t xml:space="preserve">27% of children (6-17 years) with difficulties in 2017 </w:t>
      </w:r>
      <w:r w:rsidR="00141CF2">
        <w:rPr>
          <w:sz w:val="22"/>
          <w:szCs w:val="22"/>
        </w:rPr>
        <w:t>were</w:t>
      </w:r>
      <w:r w:rsidRPr="005C7ECA">
        <w:rPr>
          <w:sz w:val="22"/>
          <w:szCs w:val="22"/>
        </w:rPr>
        <w:t xml:space="preserve"> not enrolled in education (32% in </w:t>
      </w:r>
      <w:r w:rsidRPr="008B1711">
        <w:rPr>
          <w:sz w:val="24"/>
          <w:szCs w:val="24"/>
        </w:rPr>
        <w:t xml:space="preserve">the West Bank compared to </w:t>
      </w:r>
      <w:r w:rsidR="00383559" w:rsidRPr="008B1711">
        <w:rPr>
          <w:sz w:val="24"/>
          <w:szCs w:val="24"/>
        </w:rPr>
        <w:t>24</w:t>
      </w:r>
      <w:r w:rsidRPr="008B1711">
        <w:rPr>
          <w:sz w:val="24"/>
          <w:szCs w:val="24"/>
        </w:rPr>
        <w:t xml:space="preserve">% in Gaza Strip). In 2007, the percentage of children with difficulties in the same age group who were not enrolled in education was 24% (22% in the West Bank, and </w:t>
      </w:r>
      <w:r w:rsidR="00383559" w:rsidRPr="008B1711">
        <w:rPr>
          <w:sz w:val="24"/>
          <w:szCs w:val="24"/>
        </w:rPr>
        <w:t>27</w:t>
      </w:r>
      <w:r w:rsidRPr="008B1711">
        <w:rPr>
          <w:sz w:val="24"/>
          <w:szCs w:val="24"/>
        </w:rPr>
        <w:t>% in Gaza Strip).</w:t>
      </w:r>
    </w:p>
    <w:p w:rsidR="00722AEC" w:rsidRPr="008B1711" w:rsidRDefault="00722AEC" w:rsidP="00722AEC">
      <w:pPr>
        <w:shd w:val="clear" w:color="auto" w:fill="FFFFFF" w:themeFill="background1"/>
        <w:bidi w:val="0"/>
        <w:jc w:val="both"/>
        <w:rPr>
          <w:sz w:val="24"/>
          <w:szCs w:val="24"/>
        </w:rPr>
      </w:pPr>
    </w:p>
    <w:p w:rsidR="00722AEC" w:rsidRPr="008B1711" w:rsidRDefault="00722AEC" w:rsidP="00B04E93">
      <w:pPr>
        <w:shd w:val="clear" w:color="auto" w:fill="FFFFFF" w:themeFill="background1"/>
        <w:bidi w:val="0"/>
        <w:jc w:val="center"/>
        <w:rPr>
          <w:sz w:val="24"/>
          <w:szCs w:val="24"/>
        </w:rPr>
      </w:pPr>
      <w:r w:rsidRPr="008B1711">
        <w:rPr>
          <w:b/>
          <w:bCs/>
          <w:sz w:val="24"/>
          <w:szCs w:val="24"/>
        </w:rPr>
        <w:t xml:space="preserve">Percentage of Children with Difficulties (6-17 Years) </w:t>
      </w:r>
      <w:r w:rsidR="00C51085" w:rsidRPr="008B1711">
        <w:rPr>
          <w:b/>
          <w:bCs/>
          <w:sz w:val="24"/>
          <w:szCs w:val="24"/>
        </w:rPr>
        <w:t>who</w:t>
      </w:r>
      <w:r w:rsidRPr="008B1711">
        <w:rPr>
          <w:b/>
          <w:bCs/>
          <w:sz w:val="24"/>
          <w:szCs w:val="24"/>
        </w:rPr>
        <w:t xml:space="preserve"> </w:t>
      </w:r>
      <w:r w:rsidR="00B04E93">
        <w:rPr>
          <w:b/>
          <w:bCs/>
          <w:sz w:val="24"/>
          <w:szCs w:val="24"/>
        </w:rPr>
        <w:t>were</w:t>
      </w:r>
      <w:r w:rsidRPr="008B1711">
        <w:rPr>
          <w:b/>
          <w:bCs/>
          <w:sz w:val="24"/>
          <w:szCs w:val="24"/>
        </w:rPr>
        <w:t xml:space="preserve"> not Enrolled in Education by Region and Sex in 2007, 2017</w:t>
      </w:r>
    </w:p>
    <w:p w:rsidR="00722AEC" w:rsidRDefault="00722AEC" w:rsidP="00722AEC">
      <w:pPr>
        <w:shd w:val="clear" w:color="auto" w:fill="FFFFFF" w:themeFill="background1"/>
        <w:bidi w:val="0"/>
        <w:jc w:val="both"/>
      </w:pPr>
    </w:p>
    <w:tbl>
      <w:tblPr>
        <w:tblStyle w:val="TableGrid"/>
        <w:bidiVisual/>
        <w:tblW w:w="4941" w:type="pct"/>
        <w:jc w:val="center"/>
        <w:tblLook w:val="04A0"/>
      </w:tblPr>
      <w:tblGrid>
        <w:gridCol w:w="1198"/>
        <w:gridCol w:w="1198"/>
        <w:gridCol w:w="1200"/>
        <w:gridCol w:w="1199"/>
        <w:gridCol w:w="1199"/>
        <w:gridCol w:w="909"/>
        <w:gridCol w:w="2274"/>
      </w:tblGrid>
      <w:tr w:rsidR="003D44CF" w:rsidRPr="00E72864" w:rsidTr="00E72864">
        <w:trPr>
          <w:cantSplit/>
          <w:trHeight w:val="340"/>
          <w:jc w:val="center"/>
        </w:trPr>
        <w:tc>
          <w:tcPr>
            <w:tcW w:w="1960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44CF" w:rsidRPr="00E72864" w:rsidRDefault="003D44CF" w:rsidP="003D44C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801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44CF" w:rsidRPr="00E72864" w:rsidRDefault="003D44CF" w:rsidP="003D44C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E72864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44CF" w:rsidRPr="00E72864" w:rsidRDefault="003D44CF" w:rsidP="003D44CF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3D44CF" w:rsidRPr="00E72864" w:rsidTr="00E72864">
        <w:trPr>
          <w:cantSplit/>
          <w:trHeight w:val="1134"/>
          <w:jc w:val="center"/>
        </w:trPr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  <w:r w:rsidRPr="00E72864">
              <w:rPr>
                <w:rFonts w:ascii="Simplified Arabic" w:hAnsi="Simplified Arabic" w:cs="Simplified Arabic"/>
                <w:sz w:val="18"/>
                <w:szCs w:val="18"/>
              </w:rPr>
              <w:t>Gaza Strip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sz w:val="18"/>
                <w:szCs w:val="18"/>
              </w:rPr>
              <w:t>West Bank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Palestine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sz w:val="18"/>
                <w:szCs w:val="18"/>
              </w:rPr>
              <w:t>Gaza Strip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textDirection w:val="tbRl"/>
            <w:vAlign w:val="center"/>
          </w:tcPr>
          <w:p w:rsidR="003D44CF" w:rsidRPr="00E72864" w:rsidRDefault="003D44CF" w:rsidP="003D44CF">
            <w:pPr>
              <w:bidi w:val="0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sz w:val="18"/>
                <w:szCs w:val="18"/>
              </w:rPr>
              <w:t>West Bank</w:t>
            </w:r>
          </w:p>
        </w:tc>
        <w:tc>
          <w:tcPr>
            <w:tcW w:w="1239" w:type="pct"/>
            <w:tcBorders>
              <w:left w:val="nil"/>
              <w:bottom w:val="double" w:sz="4" w:space="0" w:color="auto"/>
              <w:right w:val="nil"/>
            </w:tcBorders>
          </w:tcPr>
          <w:p w:rsidR="003D44CF" w:rsidRPr="00E72864" w:rsidRDefault="00E72864" w:rsidP="007C6F65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>Sex</w:t>
            </w:r>
          </w:p>
        </w:tc>
      </w:tr>
      <w:tr w:rsidR="003D44CF" w:rsidRPr="00E72864" w:rsidTr="00E72864">
        <w:trPr>
          <w:trHeight w:val="340"/>
          <w:jc w:val="center"/>
        </w:trPr>
        <w:tc>
          <w:tcPr>
            <w:tcW w:w="6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29.9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25.6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35.8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25.1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27.3</w:t>
            </w:r>
          </w:p>
        </w:tc>
        <w:tc>
          <w:tcPr>
            <w:tcW w:w="49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23.7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Males</w:t>
            </w:r>
          </w:p>
        </w:tc>
      </w:tr>
      <w:tr w:rsidR="003D44CF" w:rsidRPr="00E72864" w:rsidTr="00E72864">
        <w:trPr>
          <w:trHeight w:val="340"/>
          <w:jc w:val="center"/>
        </w:trPr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23.8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21.1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27.5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22.6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25.9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20.5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44CF" w:rsidRPr="00E72864" w:rsidRDefault="003D44CF" w:rsidP="007C6F65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Females</w:t>
            </w:r>
          </w:p>
        </w:tc>
      </w:tr>
      <w:tr w:rsidR="003D44CF" w:rsidRPr="00E72864" w:rsidTr="00E72864">
        <w:trPr>
          <w:trHeight w:val="340"/>
          <w:jc w:val="center"/>
        </w:trPr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27.4</w:t>
            </w:r>
          </w:p>
        </w:tc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23.8</w:t>
            </w:r>
          </w:p>
        </w:tc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32.4</w:t>
            </w:r>
          </w:p>
        </w:tc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24.0</w:t>
            </w:r>
          </w:p>
        </w:tc>
        <w:tc>
          <w:tcPr>
            <w:tcW w:w="65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26.7</w:t>
            </w:r>
          </w:p>
        </w:tc>
        <w:tc>
          <w:tcPr>
            <w:tcW w:w="49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 w:hint="cs"/>
                <w:sz w:val="18"/>
                <w:szCs w:val="18"/>
                <w:rtl/>
              </w:rPr>
              <w:t>22.3</w:t>
            </w:r>
          </w:p>
        </w:tc>
        <w:tc>
          <w:tcPr>
            <w:tcW w:w="123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44CF" w:rsidRPr="00E72864" w:rsidRDefault="003D44CF" w:rsidP="007C6F65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7286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Both Sexes</w:t>
            </w:r>
          </w:p>
        </w:tc>
      </w:tr>
    </w:tbl>
    <w:p w:rsidR="00722AEC" w:rsidRPr="008B1711" w:rsidRDefault="00722AEC" w:rsidP="00722AEC">
      <w:pPr>
        <w:shd w:val="clear" w:color="auto" w:fill="FFFFFF" w:themeFill="background1"/>
        <w:bidi w:val="0"/>
        <w:jc w:val="both"/>
        <w:rPr>
          <w:sz w:val="24"/>
          <w:szCs w:val="24"/>
        </w:rPr>
      </w:pPr>
    </w:p>
    <w:p w:rsidR="00C51085" w:rsidRPr="008B1711" w:rsidRDefault="00C51085" w:rsidP="00C51085">
      <w:pPr>
        <w:shd w:val="clear" w:color="auto" w:fill="FFFFFF" w:themeFill="background1"/>
        <w:bidi w:val="0"/>
        <w:rPr>
          <w:b/>
          <w:bCs/>
          <w:sz w:val="24"/>
          <w:szCs w:val="24"/>
        </w:rPr>
      </w:pPr>
    </w:p>
    <w:p w:rsidR="00722AEC" w:rsidRDefault="00722AEC" w:rsidP="00C51085">
      <w:pPr>
        <w:shd w:val="clear" w:color="auto" w:fill="FFFFFF" w:themeFill="background1"/>
        <w:bidi w:val="0"/>
        <w:rPr>
          <w:b/>
          <w:bCs/>
          <w:sz w:val="24"/>
          <w:szCs w:val="24"/>
        </w:rPr>
      </w:pPr>
      <w:r w:rsidRPr="008B1711">
        <w:rPr>
          <w:b/>
          <w:bCs/>
          <w:sz w:val="24"/>
          <w:szCs w:val="24"/>
        </w:rPr>
        <w:t>Increase in Unemployment Rate among Persons with Disabilities in 2017</w:t>
      </w:r>
    </w:p>
    <w:p w:rsidR="00A2459B" w:rsidRPr="008B1711" w:rsidRDefault="00A2459B" w:rsidP="00A2459B">
      <w:pPr>
        <w:shd w:val="clear" w:color="auto" w:fill="FFFFFF" w:themeFill="background1"/>
        <w:bidi w:val="0"/>
        <w:rPr>
          <w:b/>
          <w:bCs/>
          <w:sz w:val="24"/>
          <w:szCs w:val="24"/>
        </w:rPr>
      </w:pPr>
    </w:p>
    <w:p w:rsidR="00722AEC" w:rsidRPr="008B1711" w:rsidRDefault="00722AEC" w:rsidP="00DD7F51">
      <w:pPr>
        <w:shd w:val="clear" w:color="auto" w:fill="FFFFFF" w:themeFill="background1"/>
        <w:bidi w:val="0"/>
        <w:jc w:val="both"/>
        <w:rPr>
          <w:sz w:val="24"/>
          <w:szCs w:val="24"/>
        </w:rPr>
      </w:pPr>
      <w:r w:rsidRPr="008B1711">
        <w:rPr>
          <w:sz w:val="24"/>
          <w:szCs w:val="24"/>
        </w:rPr>
        <w:t>Data of census 2017 indicated a rise in the unemployment rate among persons with disabilities</w:t>
      </w:r>
      <w:r w:rsidR="00DD7F51">
        <w:rPr>
          <w:sz w:val="24"/>
          <w:szCs w:val="24"/>
        </w:rPr>
        <w:t xml:space="preserve"> (a lot of difficulties and can't at all)</w:t>
      </w:r>
      <w:r w:rsidRPr="008B1711">
        <w:rPr>
          <w:sz w:val="24"/>
          <w:szCs w:val="24"/>
        </w:rPr>
        <w:t xml:space="preserve"> in Palestine. This rate rose from </w:t>
      </w:r>
      <w:r w:rsidR="00383559" w:rsidRPr="008B1711">
        <w:rPr>
          <w:sz w:val="24"/>
          <w:szCs w:val="24"/>
        </w:rPr>
        <w:t>24</w:t>
      </w:r>
      <w:r w:rsidRPr="008B1711">
        <w:rPr>
          <w:sz w:val="24"/>
          <w:szCs w:val="24"/>
        </w:rPr>
        <w:t xml:space="preserve">% </w:t>
      </w:r>
      <w:r w:rsidR="00DD7F51" w:rsidRPr="005C7ECA">
        <w:rPr>
          <w:sz w:val="22"/>
          <w:szCs w:val="22"/>
        </w:rPr>
        <w:t>(</w:t>
      </w:r>
      <w:r w:rsidR="00DD7F51">
        <w:rPr>
          <w:rFonts w:hint="cs"/>
          <w:sz w:val="22"/>
          <w:szCs w:val="22"/>
          <w:rtl/>
        </w:rPr>
        <w:t>15.7</w:t>
      </w:r>
      <w:r w:rsidR="00DD7F51" w:rsidRPr="005C7ECA">
        <w:rPr>
          <w:sz w:val="22"/>
          <w:szCs w:val="22"/>
        </w:rPr>
        <w:t xml:space="preserve">% in West Bank and </w:t>
      </w:r>
      <w:r w:rsidR="00DD7F51">
        <w:rPr>
          <w:rFonts w:hint="cs"/>
          <w:sz w:val="22"/>
          <w:szCs w:val="22"/>
          <w:rtl/>
        </w:rPr>
        <w:t>41.2</w:t>
      </w:r>
      <w:r w:rsidR="00DD7F51" w:rsidRPr="005C7ECA">
        <w:rPr>
          <w:sz w:val="22"/>
          <w:szCs w:val="22"/>
        </w:rPr>
        <w:t>% in Gaza Strip)</w:t>
      </w:r>
      <w:r w:rsidR="00DD7F51">
        <w:rPr>
          <w:sz w:val="24"/>
          <w:szCs w:val="24"/>
        </w:rPr>
        <w:t xml:space="preserve"> </w:t>
      </w:r>
      <w:r w:rsidRPr="008B1711">
        <w:rPr>
          <w:sz w:val="24"/>
          <w:szCs w:val="24"/>
        </w:rPr>
        <w:t xml:space="preserve">among the persons 15 years and above with disabilities in the labor </w:t>
      </w:r>
      <w:r w:rsidR="00C51085" w:rsidRPr="008B1711">
        <w:rPr>
          <w:sz w:val="24"/>
          <w:szCs w:val="24"/>
        </w:rPr>
        <w:t>force in</w:t>
      </w:r>
      <w:r w:rsidRPr="008B1711">
        <w:rPr>
          <w:sz w:val="24"/>
          <w:szCs w:val="24"/>
        </w:rPr>
        <w:t xml:space="preserve"> 2007 to </w:t>
      </w:r>
      <w:r w:rsidR="00C51085" w:rsidRPr="008B1711">
        <w:rPr>
          <w:sz w:val="24"/>
          <w:szCs w:val="24"/>
        </w:rPr>
        <w:t xml:space="preserve">reach </w:t>
      </w:r>
      <w:r w:rsidR="00383559" w:rsidRPr="008B1711">
        <w:rPr>
          <w:sz w:val="24"/>
          <w:szCs w:val="24"/>
        </w:rPr>
        <w:t>37</w:t>
      </w:r>
      <w:r w:rsidRPr="008B1711">
        <w:rPr>
          <w:sz w:val="24"/>
          <w:szCs w:val="24"/>
        </w:rPr>
        <w:t>%</w:t>
      </w:r>
      <w:r w:rsidR="00DD7F51">
        <w:rPr>
          <w:sz w:val="24"/>
          <w:szCs w:val="24"/>
        </w:rPr>
        <w:t xml:space="preserve"> </w:t>
      </w:r>
      <w:r w:rsidR="00DD7F51" w:rsidRPr="005C7ECA">
        <w:rPr>
          <w:sz w:val="22"/>
          <w:szCs w:val="22"/>
        </w:rPr>
        <w:t>(</w:t>
      </w:r>
      <w:r w:rsidR="00DD7F51">
        <w:rPr>
          <w:sz w:val="22"/>
          <w:szCs w:val="22"/>
        </w:rPr>
        <w:t>18.8</w:t>
      </w:r>
      <w:r w:rsidR="00DD7F51" w:rsidRPr="005C7ECA">
        <w:rPr>
          <w:sz w:val="22"/>
          <w:szCs w:val="22"/>
        </w:rPr>
        <w:t xml:space="preserve">% in West Bank and </w:t>
      </w:r>
      <w:r w:rsidR="00DD7F51">
        <w:rPr>
          <w:sz w:val="22"/>
          <w:szCs w:val="22"/>
        </w:rPr>
        <w:t>53.7</w:t>
      </w:r>
      <w:r w:rsidR="00DD7F51" w:rsidRPr="005C7ECA">
        <w:rPr>
          <w:sz w:val="22"/>
          <w:szCs w:val="22"/>
        </w:rPr>
        <w:t>% in Gaza Strip)</w:t>
      </w:r>
      <w:r w:rsidRPr="008B1711">
        <w:rPr>
          <w:sz w:val="24"/>
          <w:szCs w:val="24"/>
        </w:rPr>
        <w:t xml:space="preserve"> in 2017.</w:t>
      </w:r>
    </w:p>
    <w:p w:rsidR="005243D7" w:rsidRDefault="005243D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80F36" w:rsidRPr="008B1711" w:rsidRDefault="00C80F36" w:rsidP="00CA2F94">
      <w:pPr>
        <w:shd w:val="clear" w:color="auto" w:fill="FFFFFF" w:themeFill="background1"/>
        <w:bidi w:val="0"/>
        <w:rPr>
          <w:sz w:val="24"/>
          <w:szCs w:val="24"/>
        </w:rPr>
      </w:pPr>
      <w:r w:rsidRPr="008B1711">
        <w:rPr>
          <w:b/>
          <w:bCs/>
          <w:sz w:val="24"/>
          <w:szCs w:val="24"/>
        </w:rPr>
        <w:lastRenderedPageBreak/>
        <w:t>Unemployment Rate among Labor Force Participants (15 Years and above) with Disabilities by Region in 2007, 2017</w:t>
      </w:r>
    </w:p>
    <w:p w:rsidR="00C80F36" w:rsidRDefault="00C80F36" w:rsidP="00C80F36">
      <w:pPr>
        <w:shd w:val="clear" w:color="auto" w:fill="FFFFFF" w:themeFill="background1"/>
        <w:bidi w:val="0"/>
        <w:jc w:val="center"/>
      </w:pPr>
    </w:p>
    <w:tbl>
      <w:tblPr>
        <w:tblStyle w:val="TableGrid"/>
        <w:tblW w:w="0" w:type="auto"/>
        <w:tblLook w:val="04A0"/>
      </w:tblPr>
      <w:tblGrid>
        <w:gridCol w:w="4486"/>
      </w:tblGrid>
      <w:tr w:rsidR="00C51085" w:rsidTr="00C51085">
        <w:tc>
          <w:tcPr>
            <w:tcW w:w="4391" w:type="dxa"/>
          </w:tcPr>
          <w:p w:rsidR="00C51085" w:rsidRDefault="00C51085" w:rsidP="00CA2F94">
            <w:pPr>
              <w:shd w:val="clear" w:color="auto" w:fill="FFFFFF" w:themeFill="background1"/>
              <w:bidi w:val="0"/>
              <w:rPr>
                <w:b/>
                <w:bCs/>
              </w:rPr>
            </w:pPr>
            <w:r w:rsidRPr="00C51085">
              <w:rPr>
                <w:rFonts w:hint="cs"/>
                <w:b/>
                <w:bCs/>
                <w:noProof/>
              </w:rPr>
              <w:drawing>
                <wp:inline distT="0" distB="0" distL="0" distR="0">
                  <wp:extent cx="2711395" cy="2361537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722AEC" w:rsidRDefault="00722AEC" w:rsidP="00722AEC">
      <w:pPr>
        <w:shd w:val="clear" w:color="auto" w:fill="FFFFFF" w:themeFill="background1"/>
        <w:bidi w:val="0"/>
        <w:jc w:val="center"/>
        <w:rPr>
          <w:b/>
          <w:bCs/>
        </w:rPr>
      </w:pPr>
    </w:p>
    <w:p w:rsidR="00722AEC" w:rsidRPr="009F26DE" w:rsidRDefault="00722AEC" w:rsidP="00722AEC">
      <w:pPr>
        <w:bidi w:val="0"/>
      </w:pPr>
    </w:p>
    <w:p w:rsidR="00722AEC" w:rsidRPr="009F26DE" w:rsidRDefault="00722AEC" w:rsidP="00722AEC">
      <w:pPr>
        <w:bidi w:val="0"/>
      </w:pPr>
    </w:p>
    <w:p w:rsidR="00722AEC" w:rsidRDefault="00722AEC" w:rsidP="00722AEC">
      <w:pPr>
        <w:bidi w:val="0"/>
      </w:pPr>
    </w:p>
    <w:p w:rsidR="005C7ECA" w:rsidRDefault="005C7ECA" w:rsidP="005C7ECA">
      <w:pPr>
        <w:bidi w:val="0"/>
      </w:pPr>
    </w:p>
    <w:p w:rsidR="005C7ECA" w:rsidRPr="009F26DE" w:rsidRDefault="005C7ECA" w:rsidP="005C7ECA">
      <w:pPr>
        <w:bidi w:val="0"/>
      </w:pPr>
    </w:p>
    <w:p w:rsidR="00722AEC" w:rsidRDefault="00722AEC" w:rsidP="00722AEC">
      <w:pPr>
        <w:bidi w:val="0"/>
      </w:pPr>
    </w:p>
    <w:sectPr w:rsidR="00722AEC" w:rsidSect="00CA2F94">
      <w:footerReference w:type="even" r:id="rId19"/>
      <w:footerReference w:type="default" r:id="rId20"/>
      <w:endnotePr>
        <w:numFmt w:val="lowerLetter"/>
      </w:endnotePr>
      <w:pgSz w:w="11907" w:h="16839" w:code="9"/>
      <w:pgMar w:top="1134" w:right="1418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7D" w:rsidRDefault="00D0037D">
      <w:r>
        <w:separator/>
      </w:r>
    </w:p>
  </w:endnote>
  <w:endnote w:type="continuationSeparator" w:id="0">
    <w:p w:rsidR="00D0037D" w:rsidRDefault="00D0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A5" w:rsidRDefault="00FB1936">
    <w:pPr>
      <w:pStyle w:val="Footer"/>
      <w:framePr w:wrap="around" w:vAnchor="text" w:hAnchor="margin" w:xAlign="right" w:y="1"/>
      <w:rPr>
        <w:rStyle w:val="PageNumber"/>
        <w:rtl/>
      </w:rPr>
    </w:pPr>
    <w:r>
      <w:rPr>
        <w:rStyle w:val="PageNumber"/>
        <w:rtl/>
      </w:rPr>
      <w:fldChar w:fldCharType="begin"/>
    </w:r>
    <w:r w:rsidR="00F13B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42C4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13BA5" w:rsidRDefault="00F13BA5">
    <w:pPr>
      <w:pStyle w:val="Footer"/>
      <w:ind w:firstLine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A5" w:rsidRDefault="00FB1936">
    <w:pPr>
      <w:pStyle w:val="Footer"/>
      <w:framePr w:wrap="around" w:vAnchor="text" w:hAnchor="margin" w:xAlign="right" w:y="1"/>
      <w:jc w:val="center"/>
      <w:rPr>
        <w:rStyle w:val="PageNumber"/>
        <w:rtl/>
      </w:rPr>
    </w:pPr>
    <w:r>
      <w:rPr>
        <w:rStyle w:val="PageNumber"/>
        <w:rtl/>
      </w:rPr>
      <w:fldChar w:fldCharType="begin"/>
    </w:r>
    <w:r w:rsidR="00F13B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8270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13BA5" w:rsidRDefault="00F13BA5">
    <w:pPr>
      <w:pStyle w:val="Footer"/>
      <w:framePr w:wrap="around" w:vAnchor="text" w:hAnchor="margin" w:xAlign="right" w:y="1"/>
      <w:rPr>
        <w:rStyle w:val="PageNumber"/>
        <w:rtl/>
      </w:rPr>
    </w:pPr>
  </w:p>
  <w:p w:rsidR="00F13BA5" w:rsidRDefault="00F13BA5">
    <w:pPr>
      <w:pStyle w:val="Footer"/>
      <w:bidi w:val="0"/>
      <w:ind w:right="360"/>
      <w:jc w:val="cen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7D" w:rsidRDefault="00D0037D">
      <w:r>
        <w:separator/>
      </w:r>
    </w:p>
  </w:footnote>
  <w:footnote w:type="continuationSeparator" w:id="0">
    <w:p w:rsidR="00D0037D" w:rsidRDefault="00D0037D">
      <w:r>
        <w:continuationSeparator/>
      </w:r>
    </w:p>
  </w:footnote>
  <w:footnote w:id="1">
    <w:p w:rsidR="00790B35" w:rsidRPr="00744009" w:rsidRDefault="00790B35" w:rsidP="00642CFC">
      <w:pPr>
        <w:bidi w:val="0"/>
        <w:jc w:val="both"/>
        <w:rPr>
          <w:sz w:val="16"/>
          <w:szCs w:val="16"/>
        </w:rPr>
      </w:pPr>
      <w:r w:rsidRPr="00C80F36">
        <w:rPr>
          <w:rStyle w:val="FootnoteReference"/>
        </w:rPr>
        <w:footnoteRef/>
      </w:r>
      <w:r w:rsidRPr="00C80F36">
        <w:rPr>
          <w:rtl/>
        </w:rPr>
        <w:t xml:space="preserve"> </w:t>
      </w:r>
      <w:r w:rsidRPr="00744009">
        <w:rPr>
          <w:sz w:val="16"/>
          <w:szCs w:val="16"/>
        </w:rPr>
        <w:t>Difficulties:</w:t>
      </w:r>
      <w:r w:rsidR="00744009" w:rsidRPr="00744009">
        <w:rPr>
          <w:sz w:val="16"/>
          <w:szCs w:val="16"/>
        </w:rPr>
        <w:t xml:space="preserve"> Persons with some difficulties, a lot of difficulties and who can't at all. Its</w:t>
      </w:r>
      <w:r w:rsidRPr="00744009">
        <w:rPr>
          <w:sz w:val="16"/>
          <w:szCs w:val="16"/>
        </w:rPr>
        <w:t xml:space="preserve"> includ</w:t>
      </w:r>
      <w:r w:rsidR="00C80F36" w:rsidRPr="00744009">
        <w:rPr>
          <w:sz w:val="16"/>
          <w:szCs w:val="16"/>
        </w:rPr>
        <w:t xml:space="preserve">e seeing difficulties, hearing, </w:t>
      </w:r>
      <w:r w:rsidRPr="00744009">
        <w:rPr>
          <w:sz w:val="16"/>
          <w:szCs w:val="16"/>
        </w:rPr>
        <w:t>mobility, remembering and concentration, and communication difficulties.</w:t>
      </w:r>
    </w:p>
    <w:p w:rsidR="00790B35" w:rsidRPr="00744009" w:rsidRDefault="00790B35" w:rsidP="00790B35">
      <w:pPr>
        <w:pStyle w:val="FootnoteText"/>
        <w:bidi w:val="0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9C94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4CE08A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01C896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B1BE7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91B2C9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36EC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A5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000D0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8">
    <w:nsid w:val="FFFFFF89"/>
    <w:multiLevelType w:val="singleLevel"/>
    <w:tmpl w:val="489C0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>
    <w:nsid w:val="053F6F77"/>
    <w:multiLevelType w:val="hybridMultilevel"/>
    <w:tmpl w:val="D6C602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6053A7"/>
    <w:multiLevelType w:val="hybridMultilevel"/>
    <w:tmpl w:val="08DE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500EE"/>
    <w:multiLevelType w:val="multilevel"/>
    <w:tmpl w:val="3FEE1A8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2">
    <w:nsid w:val="13490E78"/>
    <w:multiLevelType w:val="hybridMultilevel"/>
    <w:tmpl w:val="83C0C0CE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275B3"/>
    <w:multiLevelType w:val="hybridMultilevel"/>
    <w:tmpl w:val="64E4DF08"/>
    <w:lvl w:ilvl="0" w:tplc="040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EF6BE8"/>
    <w:multiLevelType w:val="hybridMultilevel"/>
    <w:tmpl w:val="E062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1158E"/>
    <w:multiLevelType w:val="hybridMultilevel"/>
    <w:tmpl w:val="AD6801B2"/>
    <w:lvl w:ilvl="0" w:tplc="040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238EC"/>
    <w:multiLevelType w:val="multilevel"/>
    <w:tmpl w:val="71D2E77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E6A83"/>
    <w:multiLevelType w:val="hybridMultilevel"/>
    <w:tmpl w:val="F9ACCD60"/>
    <w:lvl w:ilvl="0" w:tplc="040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14"/>
  </w:num>
  <w:num w:numId="14">
    <w:abstractNumId w:val="11"/>
  </w:num>
  <w:num w:numId="15">
    <w:abstractNumId w:val="17"/>
  </w:num>
  <w:num w:numId="16">
    <w:abstractNumId w:val="1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157959"/>
    <w:rsid w:val="00001F90"/>
    <w:rsid w:val="00002B13"/>
    <w:rsid w:val="00033E54"/>
    <w:rsid w:val="0004213B"/>
    <w:rsid w:val="0004275D"/>
    <w:rsid w:val="000470E7"/>
    <w:rsid w:val="000519E6"/>
    <w:rsid w:val="00060276"/>
    <w:rsid w:val="00062DAD"/>
    <w:rsid w:val="00066567"/>
    <w:rsid w:val="000700B6"/>
    <w:rsid w:val="00082235"/>
    <w:rsid w:val="000845A4"/>
    <w:rsid w:val="00090BEB"/>
    <w:rsid w:val="0009297A"/>
    <w:rsid w:val="00093465"/>
    <w:rsid w:val="00094A07"/>
    <w:rsid w:val="000957E2"/>
    <w:rsid w:val="00096E07"/>
    <w:rsid w:val="000A1905"/>
    <w:rsid w:val="000A5895"/>
    <w:rsid w:val="000A7E8D"/>
    <w:rsid w:val="000C26D5"/>
    <w:rsid w:val="000C6D1A"/>
    <w:rsid w:val="000D240E"/>
    <w:rsid w:val="000D5834"/>
    <w:rsid w:val="000D796A"/>
    <w:rsid w:val="000E3F2C"/>
    <w:rsid w:val="000E7233"/>
    <w:rsid w:val="000E7B45"/>
    <w:rsid w:val="000F270F"/>
    <w:rsid w:val="000F32D9"/>
    <w:rsid w:val="00102E75"/>
    <w:rsid w:val="001061B1"/>
    <w:rsid w:val="0010693D"/>
    <w:rsid w:val="00107EA3"/>
    <w:rsid w:val="001143F8"/>
    <w:rsid w:val="00115474"/>
    <w:rsid w:val="0011737F"/>
    <w:rsid w:val="001241C3"/>
    <w:rsid w:val="00127D81"/>
    <w:rsid w:val="00132060"/>
    <w:rsid w:val="001349CB"/>
    <w:rsid w:val="00137666"/>
    <w:rsid w:val="00140865"/>
    <w:rsid w:val="00141CF2"/>
    <w:rsid w:val="0014438C"/>
    <w:rsid w:val="00147D9E"/>
    <w:rsid w:val="00153455"/>
    <w:rsid w:val="00154E12"/>
    <w:rsid w:val="0015709A"/>
    <w:rsid w:val="00157959"/>
    <w:rsid w:val="00160D28"/>
    <w:rsid w:val="00176AE4"/>
    <w:rsid w:val="001779C1"/>
    <w:rsid w:val="00182A02"/>
    <w:rsid w:val="00184FC3"/>
    <w:rsid w:val="00192E8E"/>
    <w:rsid w:val="00193494"/>
    <w:rsid w:val="00196640"/>
    <w:rsid w:val="001C33EF"/>
    <w:rsid w:val="001C4D0A"/>
    <w:rsid w:val="001D52C6"/>
    <w:rsid w:val="001F5F45"/>
    <w:rsid w:val="0020023B"/>
    <w:rsid w:val="002021AC"/>
    <w:rsid w:val="002057D9"/>
    <w:rsid w:val="002202DF"/>
    <w:rsid w:val="00222DAE"/>
    <w:rsid w:val="002249D4"/>
    <w:rsid w:val="0022753F"/>
    <w:rsid w:val="00227601"/>
    <w:rsid w:val="00230470"/>
    <w:rsid w:val="00231111"/>
    <w:rsid w:val="0023386B"/>
    <w:rsid w:val="002347F8"/>
    <w:rsid w:val="00235465"/>
    <w:rsid w:val="00245ED9"/>
    <w:rsid w:val="00250D29"/>
    <w:rsid w:val="002539AF"/>
    <w:rsid w:val="002613BD"/>
    <w:rsid w:val="00261556"/>
    <w:rsid w:val="00261995"/>
    <w:rsid w:val="002629DF"/>
    <w:rsid w:val="00264465"/>
    <w:rsid w:val="00267916"/>
    <w:rsid w:val="002727CD"/>
    <w:rsid w:val="002841A8"/>
    <w:rsid w:val="00292795"/>
    <w:rsid w:val="00295815"/>
    <w:rsid w:val="002A01F4"/>
    <w:rsid w:val="002A1B70"/>
    <w:rsid w:val="002B3230"/>
    <w:rsid w:val="002B4F57"/>
    <w:rsid w:val="002C1723"/>
    <w:rsid w:val="002C177E"/>
    <w:rsid w:val="002C1BF5"/>
    <w:rsid w:val="002C54C3"/>
    <w:rsid w:val="002D6077"/>
    <w:rsid w:val="002E4411"/>
    <w:rsid w:val="002F2B81"/>
    <w:rsid w:val="002F397C"/>
    <w:rsid w:val="002F40D3"/>
    <w:rsid w:val="003046AC"/>
    <w:rsid w:val="00322376"/>
    <w:rsid w:val="00331A00"/>
    <w:rsid w:val="00334C02"/>
    <w:rsid w:val="00335A71"/>
    <w:rsid w:val="00347895"/>
    <w:rsid w:val="00356F70"/>
    <w:rsid w:val="00361F09"/>
    <w:rsid w:val="0036305A"/>
    <w:rsid w:val="003753A3"/>
    <w:rsid w:val="00375463"/>
    <w:rsid w:val="00377E3E"/>
    <w:rsid w:val="00382EA3"/>
    <w:rsid w:val="00383559"/>
    <w:rsid w:val="00386D11"/>
    <w:rsid w:val="00390C10"/>
    <w:rsid w:val="00393D2B"/>
    <w:rsid w:val="003B0949"/>
    <w:rsid w:val="003B5F70"/>
    <w:rsid w:val="003C1CAC"/>
    <w:rsid w:val="003C58F6"/>
    <w:rsid w:val="003D44CF"/>
    <w:rsid w:val="003D4C5D"/>
    <w:rsid w:val="003E52A4"/>
    <w:rsid w:val="003F3678"/>
    <w:rsid w:val="003F368E"/>
    <w:rsid w:val="003F50BA"/>
    <w:rsid w:val="004144A2"/>
    <w:rsid w:val="00420660"/>
    <w:rsid w:val="00427E56"/>
    <w:rsid w:val="00430D34"/>
    <w:rsid w:val="00436BEB"/>
    <w:rsid w:val="00440DF1"/>
    <w:rsid w:val="0044339A"/>
    <w:rsid w:val="004476D3"/>
    <w:rsid w:val="0044773D"/>
    <w:rsid w:val="0045114F"/>
    <w:rsid w:val="004552F2"/>
    <w:rsid w:val="004561F8"/>
    <w:rsid w:val="00457FB1"/>
    <w:rsid w:val="00470CC3"/>
    <w:rsid w:val="00470E19"/>
    <w:rsid w:val="004719AE"/>
    <w:rsid w:val="004814D8"/>
    <w:rsid w:val="0048270F"/>
    <w:rsid w:val="00483679"/>
    <w:rsid w:val="004866B4"/>
    <w:rsid w:val="00491F6E"/>
    <w:rsid w:val="004927C1"/>
    <w:rsid w:val="004932DD"/>
    <w:rsid w:val="00495089"/>
    <w:rsid w:val="004961FD"/>
    <w:rsid w:val="004A15FF"/>
    <w:rsid w:val="004B720D"/>
    <w:rsid w:val="004C1253"/>
    <w:rsid w:val="004C598D"/>
    <w:rsid w:val="004D0A29"/>
    <w:rsid w:val="004D119E"/>
    <w:rsid w:val="004D300B"/>
    <w:rsid w:val="004E1FF6"/>
    <w:rsid w:val="004F0290"/>
    <w:rsid w:val="004F1D5A"/>
    <w:rsid w:val="004F2F17"/>
    <w:rsid w:val="004F58BE"/>
    <w:rsid w:val="0050565C"/>
    <w:rsid w:val="005057E1"/>
    <w:rsid w:val="005175B7"/>
    <w:rsid w:val="005230E2"/>
    <w:rsid w:val="00524237"/>
    <w:rsid w:val="005243D7"/>
    <w:rsid w:val="00534CC1"/>
    <w:rsid w:val="00536E15"/>
    <w:rsid w:val="00543EFA"/>
    <w:rsid w:val="005463A3"/>
    <w:rsid w:val="00546CB4"/>
    <w:rsid w:val="00551A9C"/>
    <w:rsid w:val="0055397C"/>
    <w:rsid w:val="00560B55"/>
    <w:rsid w:val="005642EC"/>
    <w:rsid w:val="00564D94"/>
    <w:rsid w:val="00567F07"/>
    <w:rsid w:val="00573BD9"/>
    <w:rsid w:val="005816F7"/>
    <w:rsid w:val="00581B55"/>
    <w:rsid w:val="00581CD8"/>
    <w:rsid w:val="00586164"/>
    <w:rsid w:val="0059172F"/>
    <w:rsid w:val="005A69E5"/>
    <w:rsid w:val="005B3E38"/>
    <w:rsid w:val="005B4454"/>
    <w:rsid w:val="005B4C0E"/>
    <w:rsid w:val="005C1683"/>
    <w:rsid w:val="005C7ECA"/>
    <w:rsid w:val="005D787A"/>
    <w:rsid w:val="005E12E4"/>
    <w:rsid w:val="005E2DFD"/>
    <w:rsid w:val="005F4D3B"/>
    <w:rsid w:val="005F530A"/>
    <w:rsid w:val="005F65FD"/>
    <w:rsid w:val="00600FD9"/>
    <w:rsid w:val="006039C2"/>
    <w:rsid w:val="00605B24"/>
    <w:rsid w:val="006122A3"/>
    <w:rsid w:val="00621A1F"/>
    <w:rsid w:val="00621CAC"/>
    <w:rsid w:val="00622F3A"/>
    <w:rsid w:val="00625D62"/>
    <w:rsid w:val="006278B2"/>
    <w:rsid w:val="00632B8B"/>
    <w:rsid w:val="00637AD9"/>
    <w:rsid w:val="00642CFC"/>
    <w:rsid w:val="00643A3E"/>
    <w:rsid w:val="006507D1"/>
    <w:rsid w:val="00651ECC"/>
    <w:rsid w:val="00654EB1"/>
    <w:rsid w:val="00660489"/>
    <w:rsid w:val="00670D83"/>
    <w:rsid w:val="0067170B"/>
    <w:rsid w:val="006718BA"/>
    <w:rsid w:val="00672AB9"/>
    <w:rsid w:val="00676088"/>
    <w:rsid w:val="00683291"/>
    <w:rsid w:val="00685E43"/>
    <w:rsid w:val="00691678"/>
    <w:rsid w:val="00697399"/>
    <w:rsid w:val="006A615A"/>
    <w:rsid w:val="006B2282"/>
    <w:rsid w:val="006B27A1"/>
    <w:rsid w:val="006D1532"/>
    <w:rsid w:val="006E00BB"/>
    <w:rsid w:val="006E1B42"/>
    <w:rsid w:val="006E1D05"/>
    <w:rsid w:val="006E2184"/>
    <w:rsid w:val="006F4E0C"/>
    <w:rsid w:val="006F5229"/>
    <w:rsid w:val="00704A58"/>
    <w:rsid w:val="00707199"/>
    <w:rsid w:val="0070725A"/>
    <w:rsid w:val="00720E00"/>
    <w:rsid w:val="007222BB"/>
    <w:rsid w:val="00722AEC"/>
    <w:rsid w:val="00733580"/>
    <w:rsid w:val="0074293A"/>
    <w:rsid w:val="00744009"/>
    <w:rsid w:val="00744E0E"/>
    <w:rsid w:val="007527D0"/>
    <w:rsid w:val="00754FB9"/>
    <w:rsid w:val="00757313"/>
    <w:rsid w:val="00775613"/>
    <w:rsid w:val="00775F6F"/>
    <w:rsid w:val="0077697F"/>
    <w:rsid w:val="00790B35"/>
    <w:rsid w:val="00796874"/>
    <w:rsid w:val="007A5774"/>
    <w:rsid w:val="007A5BEF"/>
    <w:rsid w:val="007B23BB"/>
    <w:rsid w:val="007C4B79"/>
    <w:rsid w:val="007D5A14"/>
    <w:rsid w:val="007D78B8"/>
    <w:rsid w:val="007F0FD5"/>
    <w:rsid w:val="00800693"/>
    <w:rsid w:val="00820DBD"/>
    <w:rsid w:val="00822B7C"/>
    <w:rsid w:val="0082531B"/>
    <w:rsid w:val="00825A09"/>
    <w:rsid w:val="00833687"/>
    <w:rsid w:val="00833B3C"/>
    <w:rsid w:val="00835E31"/>
    <w:rsid w:val="00835FAE"/>
    <w:rsid w:val="00843149"/>
    <w:rsid w:val="00844E6C"/>
    <w:rsid w:val="008460DA"/>
    <w:rsid w:val="008467E9"/>
    <w:rsid w:val="00847884"/>
    <w:rsid w:val="00850E82"/>
    <w:rsid w:val="00855D62"/>
    <w:rsid w:val="00862B69"/>
    <w:rsid w:val="00892057"/>
    <w:rsid w:val="008921AB"/>
    <w:rsid w:val="008947BB"/>
    <w:rsid w:val="00896632"/>
    <w:rsid w:val="008A19DD"/>
    <w:rsid w:val="008B1083"/>
    <w:rsid w:val="008B1711"/>
    <w:rsid w:val="008C198B"/>
    <w:rsid w:val="008C2F6F"/>
    <w:rsid w:val="008C5AE1"/>
    <w:rsid w:val="008C6A74"/>
    <w:rsid w:val="008D44F8"/>
    <w:rsid w:val="008E3415"/>
    <w:rsid w:val="008E7C75"/>
    <w:rsid w:val="008F615C"/>
    <w:rsid w:val="009001B1"/>
    <w:rsid w:val="009003E5"/>
    <w:rsid w:val="009063F9"/>
    <w:rsid w:val="0091047A"/>
    <w:rsid w:val="00914F0B"/>
    <w:rsid w:val="00916DC7"/>
    <w:rsid w:val="00916FC9"/>
    <w:rsid w:val="00917088"/>
    <w:rsid w:val="0092274B"/>
    <w:rsid w:val="00923EA6"/>
    <w:rsid w:val="00932489"/>
    <w:rsid w:val="0093264B"/>
    <w:rsid w:val="009407DA"/>
    <w:rsid w:val="00941114"/>
    <w:rsid w:val="00941761"/>
    <w:rsid w:val="00942150"/>
    <w:rsid w:val="009434C2"/>
    <w:rsid w:val="0094454A"/>
    <w:rsid w:val="009550FA"/>
    <w:rsid w:val="00955856"/>
    <w:rsid w:val="00956F77"/>
    <w:rsid w:val="00962308"/>
    <w:rsid w:val="009659ED"/>
    <w:rsid w:val="00971A59"/>
    <w:rsid w:val="00971BAB"/>
    <w:rsid w:val="00982F10"/>
    <w:rsid w:val="00983391"/>
    <w:rsid w:val="0099798B"/>
    <w:rsid w:val="009A6169"/>
    <w:rsid w:val="009A7A18"/>
    <w:rsid w:val="009B30DC"/>
    <w:rsid w:val="009B44EE"/>
    <w:rsid w:val="009C1A3B"/>
    <w:rsid w:val="009D5EA0"/>
    <w:rsid w:val="009D7093"/>
    <w:rsid w:val="009E4A6B"/>
    <w:rsid w:val="009E5549"/>
    <w:rsid w:val="009E7304"/>
    <w:rsid w:val="00A000F8"/>
    <w:rsid w:val="00A07B01"/>
    <w:rsid w:val="00A233A4"/>
    <w:rsid w:val="00A2459B"/>
    <w:rsid w:val="00A27B5E"/>
    <w:rsid w:val="00A42060"/>
    <w:rsid w:val="00A46598"/>
    <w:rsid w:val="00A5716F"/>
    <w:rsid w:val="00A67C9A"/>
    <w:rsid w:val="00A70200"/>
    <w:rsid w:val="00A74FC6"/>
    <w:rsid w:val="00A81C6B"/>
    <w:rsid w:val="00A90D90"/>
    <w:rsid w:val="00A9131F"/>
    <w:rsid w:val="00A9179A"/>
    <w:rsid w:val="00AA08FE"/>
    <w:rsid w:val="00AA0E79"/>
    <w:rsid w:val="00AA6959"/>
    <w:rsid w:val="00AA7472"/>
    <w:rsid w:val="00AA74B0"/>
    <w:rsid w:val="00AB7467"/>
    <w:rsid w:val="00AC4F82"/>
    <w:rsid w:val="00AD0756"/>
    <w:rsid w:val="00AD14DB"/>
    <w:rsid w:val="00AD2F8F"/>
    <w:rsid w:val="00AD79C3"/>
    <w:rsid w:val="00AE05A1"/>
    <w:rsid w:val="00AF2930"/>
    <w:rsid w:val="00AF5317"/>
    <w:rsid w:val="00B04510"/>
    <w:rsid w:val="00B04E93"/>
    <w:rsid w:val="00B12183"/>
    <w:rsid w:val="00B14692"/>
    <w:rsid w:val="00B20933"/>
    <w:rsid w:val="00B2211F"/>
    <w:rsid w:val="00B23E99"/>
    <w:rsid w:val="00B2587C"/>
    <w:rsid w:val="00B30002"/>
    <w:rsid w:val="00B34438"/>
    <w:rsid w:val="00B355E7"/>
    <w:rsid w:val="00B42932"/>
    <w:rsid w:val="00B52B83"/>
    <w:rsid w:val="00B54B60"/>
    <w:rsid w:val="00B63634"/>
    <w:rsid w:val="00B64C5B"/>
    <w:rsid w:val="00B6797B"/>
    <w:rsid w:val="00B704B5"/>
    <w:rsid w:val="00B76C32"/>
    <w:rsid w:val="00B84BE8"/>
    <w:rsid w:val="00B90208"/>
    <w:rsid w:val="00B90598"/>
    <w:rsid w:val="00B92FE6"/>
    <w:rsid w:val="00B95127"/>
    <w:rsid w:val="00B958C2"/>
    <w:rsid w:val="00B979F1"/>
    <w:rsid w:val="00BA6338"/>
    <w:rsid w:val="00BA7147"/>
    <w:rsid w:val="00BA7494"/>
    <w:rsid w:val="00BB0F1E"/>
    <w:rsid w:val="00BB46FC"/>
    <w:rsid w:val="00BC0660"/>
    <w:rsid w:val="00BC1AD6"/>
    <w:rsid w:val="00BC497F"/>
    <w:rsid w:val="00BC563C"/>
    <w:rsid w:val="00BD24DB"/>
    <w:rsid w:val="00BD6024"/>
    <w:rsid w:val="00BF0403"/>
    <w:rsid w:val="00BF5401"/>
    <w:rsid w:val="00C05066"/>
    <w:rsid w:val="00C07F13"/>
    <w:rsid w:val="00C1109B"/>
    <w:rsid w:val="00C14CE4"/>
    <w:rsid w:val="00C1748B"/>
    <w:rsid w:val="00C20F5E"/>
    <w:rsid w:val="00C25AA7"/>
    <w:rsid w:val="00C32544"/>
    <w:rsid w:val="00C41106"/>
    <w:rsid w:val="00C472B4"/>
    <w:rsid w:val="00C5023E"/>
    <w:rsid w:val="00C51085"/>
    <w:rsid w:val="00C56D4D"/>
    <w:rsid w:val="00C6645E"/>
    <w:rsid w:val="00C66CCD"/>
    <w:rsid w:val="00C77653"/>
    <w:rsid w:val="00C80F36"/>
    <w:rsid w:val="00C812F7"/>
    <w:rsid w:val="00C938E3"/>
    <w:rsid w:val="00C945A9"/>
    <w:rsid w:val="00C95B4C"/>
    <w:rsid w:val="00C960B5"/>
    <w:rsid w:val="00CA0C75"/>
    <w:rsid w:val="00CA2F94"/>
    <w:rsid w:val="00CA38B3"/>
    <w:rsid w:val="00CB2288"/>
    <w:rsid w:val="00CB7516"/>
    <w:rsid w:val="00CC4B37"/>
    <w:rsid w:val="00CC7ABF"/>
    <w:rsid w:val="00CD6B52"/>
    <w:rsid w:val="00CD6E43"/>
    <w:rsid w:val="00CE3D07"/>
    <w:rsid w:val="00CE46E9"/>
    <w:rsid w:val="00CF0A41"/>
    <w:rsid w:val="00D0001F"/>
    <w:rsid w:val="00D0037D"/>
    <w:rsid w:val="00D032B7"/>
    <w:rsid w:val="00D0632B"/>
    <w:rsid w:val="00D200CA"/>
    <w:rsid w:val="00D2600E"/>
    <w:rsid w:val="00D26CDE"/>
    <w:rsid w:val="00D40C27"/>
    <w:rsid w:val="00D414CD"/>
    <w:rsid w:val="00D50A29"/>
    <w:rsid w:val="00D54D09"/>
    <w:rsid w:val="00D57D51"/>
    <w:rsid w:val="00D62583"/>
    <w:rsid w:val="00D730C3"/>
    <w:rsid w:val="00D74B3A"/>
    <w:rsid w:val="00D87203"/>
    <w:rsid w:val="00D92DE5"/>
    <w:rsid w:val="00D953B0"/>
    <w:rsid w:val="00DA679D"/>
    <w:rsid w:val="00DB31AA"/>
    <w:rsid w:val="00DB48C7"/>
    <w:rsid w:val="00DC1265"/>
    <w:rsid w:val="00DC1444"/>
    <w:rsid w:val="00DC193B"/>
    <w:rsid w:val="00DC1FE6"/>
    <w:rsid w:val="00DC3C27"/>
    <w:rsid w:val="00DC4417"/>
    <w:rsid w:val="00DC5BFC"/>
    <w:rsid w:val="00DC7E28"/>
    <w:rsid w:val="00DD4B5D"/>
    <w:rsid w:val="00DD4EF7"/>
    <w:rsid w:val="00DD7F51"/>
    <w:rsid w:val="00DE1559"/>
    <w:rsid w:val="00DF1371"/>
    <w:rsid w:val="00DF3355"/>
    <w:rsid w:val="00DF74C9"/>
    <w:rsid w:val="00E01AA8"/>
    <w:rsid w:val="00E0488C"/>
    <w:rsid w:val="00E06692"/>
    <w:rsid w:val="00E157D3"/>
    <w:rsid w:val="00E17B2B"/>
    <w:rsid w:val="00E24520"/>
    <w:rsid w:val="00E30748"/>
    <w:rsid w:val="00E34C06"/>
    <w:rsid w:val="00E37839"/>
    <w:rsid w:val="00E40B16"/>
    <w:rsid w:val="00E44FD0"/>
    <w:rsid w:val="00E55453"/>
    <w:rsid w:val="00E64155"/>
    <w:rsid w:val="00E7045B"/>
    <w:rsid w:val="00E72864"/>
    <w:rsid w:val="00E73D80"/>
    <w:rsid w:val="00E75B77"/>
    <w:rsid w:val="00E84414"/>
    <w:rsid w:val="00E854D2"/>
    <w:rsid w:val="00E90929"/>
    <w:rsid w:val="00E937C6"/>
    <w:rsid w:val="00E97A71"/>
    <w:rsid w:val="00EA55A3"/>
    <w:rsid w:val="00EA78A5"/>
    <w:rsid w:val="00EC3D09"/>
    <w:rsid w:val="00EC7193"/>
    <w:rsid w:val="00ED0A3B"/>
    <w:rsid w:val="00ED286C"/>
    <w:rsid w:val="00ED30F4"/>
    <w:rsid w:val="00EE24DC"/>
    <w:rsid w:val="00EE3CB3"/>
    <w:rsid w:val="00F01AE9"/>
    <w:rsid w:val="00F12A26"/>
    <w:rsid w:val="00F13BA5"/>
    <w:rsid w:val="00F25E79"/>
    <w:rsid w:val="00F305EF"/>
    <w:rsid w:val="00F36212"/>
    <w:rsid w:val="00F42B8C"/>
    <w:rsid w:val="00F42C49"/>
    <w:rsid w:val="00F42DAA"/>
    <w:rsid w:val="00F46311"/>
    <w:rsid w:val="00F4723C"/>
    <w:rsid w:val="00F5528A"/>
    <w:rsid w:val="00F55999"/>
    <w:rsid w:val="00F6408A"/>
    <w:rsid w:val="00F6414A"/>
    <w:rsid w:val="00F67C72"/>
    <w:rsid w:val="00F75660"/>
    <w:rsid w:val="00F84C26"/>
    <w:rsid w:val="00F85FF7"/>
    <w:rsid w:val="00F876E7"/>
    <w:rsid w:val="00F94FA9"/>
    <w:rsid w:val="00F96F99"/>
    <w:rsid w:val="00F975E3"/>
    <w:rsid w:val="00FA54A0"/>
    <w:rsid w:val="00FA5A47"/>
    <w:rsid w:val="00FB1936"/>
    <w:rsid w:val="00FB1E23"/>
    <w:rsid w:val="00FB648B"/>
    <w:rsid w:val="00FC5A2A"/>
    <w:rsid w:val="00FE7F1E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9"/>
    <w:pPr>
      <w:bidi/>
    </w:pPr>
    <w:rPr>
      <w:rFonts w:cs="Times New Roman"/>
      <w:snapToGrid w:val="0"/>
    </w:rPr>
  </w:style>
  <w:style w:type="paragraph" w:styleId="Heading1">
    <w:name w:val="heading 1"/>
    <w:basedOn w:val="Normal"/>
    <w:next w:val="Normal"/>
    <w:qFormat/>
    <w:rsid w:val="00862B69"/>
    <w:pPr>
      <w:keepNext/>
      <w:tabs>
        <w:tab w:val="right" w:pos="2904"/>
      </w:tabs>
      <w:bidi w:val="0"/>
      <w:ind w:left="709" w:right="849" w:firstLine="210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62B69"/>
    <w:pPr>
      <w:keepNext/>
      <w:bidi w:val="0"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862B69"/>
    <w:pPr>
      <w:keepNext/>
      <w:bidi w:val="0"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rsid w:val="00862B69"/>
    <w:pPr>
      <w:keepNext/>
      <w:bidi w:val="0"/>
      <w:outlineLvl w:val="3"/>
    </w:pPr>
    <w:rPr>
      <w:rFonts w:cs="Simplified Arabic"/>
      <w:sz w:val="24"/>
    </w:rPr>
  </w:style>
  <w:style w:type="paragraph" w:styleId="Heading5">
    <w:name w:val="heading 5"/>
    <w:basedOn w:val="Normal"/>
    <w:next w:val="Normal"/>
    <w:qFormat/>
    <w:rsid w:val="00862B69"/>
    <w:pPr>
      <w:keepNext/>
      <w:bidi w:val="0"/>
      <w:jc w:val="lowKashida"/>
      <w:outlineLvl w:val="4"/>
    </w:pPr>
    <w:rPr>
      <w:rFonts w:cs="Traditional Arabic"/>
      <w:b/>
      <w:bCs/>
      <w:sz w:val="24"/>
    </w:rPr>
  </w:style>
  <w:style w:type="paragraph" w:styleId="Heading6">
    <w:name w:val="heading 6"/>
    <w:basedOn w:val="Normal"/>
    <w:next w:val="Normal"/>
    <w:qFormat/>
    <w:rsid w:val="00862B69"/>
    <w:pPr>
      <w:keepNext/>
      <w:widowControl w:val="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62B69"/>
    <w:pPr>
      <w:keepNext/>
      <w:bidi w:val="0"/>
      <w:jc w:val="center"/>
      <w:outlineLvl w:val="6"/>
    </w:pPr>
    <w:rPr>
      <w:rFonts w:cs="Traditional Arabic"/>
      <w:b/>
      <w:bCs/>
      <w:sz w:val="28"/>
    </w:rPr>
  </w:style>
  <w:style w:type="paragraph" w:styleId="Heading8">
    <w:name w:val="heading 8"/>
    <w:basedOn w:val="Normal"/>
    <w:next w:val="Normal"/>
    <w:qFormat/>
    <w:rsid w:val="00862B69"/>
    <w:pPr>
      <w:keepNext/>
      <w:tabs>
        <w:tab w:val="right" w:pos="1134"/>
      </w:tabs>
      <w:bidi w:val="0"/>
      <w:ind w:right="-78"/>
      <w:jc w:val="center"/>
      <w:outlineLvl w:val="7"/>
    </w:pPr>
    <w:rPr>
      <w:rFonts w:cs="Traditional Arabic"/>
      <w:b/>
      <w:bCs/>
      <w:sz w:val="24"/>
      <w:u w:val="single"/>
    </w:rPr>
  </w:style>
  <w:style w:type="paragraph" w:styleId="Heading9">
    <w:name w:val="heading 9"/>
    <w:basedOn w:val="Normal"/>
    <w:next w:val="Normal"/>
    <w:qFormat/>
    <w:rsid w:val="00862B69"/>
    <w:pPr>
      <w:keepNext/>
      <w:bidi w:val="0"/>
      <w:jc w:val="lowKashida"/>
      <w:outlineLvl w:val="8"/>
    </w:pPr>
    <w:rPr>
      <w:rFonts w:cs="Traditional Arab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62B69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862B6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862B6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862B69"/>
    <w:pPr>
      <w:widowControl w:val="0"/>
      <w:jc w:val="center"/>
    </w:pPr>
    <w:rPr>
      <w:b/>
      <w:bCs/>
      <w:sz w:val="24"/>
    </w:rPr>
  </w:style>
  <w:style w:type="character" w:styleId="Hyperlink">
    <w:name w:val="Hyperlink"/>
    <w:basedOn w:val="DefaultParagraphFont"/>
    <w:semiHidden/>
    <w:rsid w:val="00862B69"/>
    <w:rPr>
      <w:rFonts w:cs="Traditional Arabic"/>
      <w:color w:val="0000FF"/>
      <w:u w:val="single"/>
    </w:rPr>
  </w:style>
  <w:style w:type="paragraph" w:styleId="Title">
    <w:name w:val="Title"/>
    <w:basedOn w:val="Normal"/>
    <w:qFormat/>
    <w:rsid w:val="00862B69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semiHidden/>
    <w:rsid w:val="00862B69"/>
    <w:pPr>
      <w:bidi w:val="0"/>
      <w:jc w:val="lowKashida"/>
    </w:pPr>
    <w:rPr>
      <w:sz w:val="24"/>
    </w:rPr>
  </w:style>
  <w:style w:type="paragraph" w:styleId="BodyTextIndent2">
    <w:name w:val="Body Text Indent 2"/>
    <w:basedOn w:val="Normal"/>
    <w:semiHidden/>
    <w:rsid w:val="00862B69"/>
    <w:pPr>
      <w:bidi w:val="0"/>
      <w:ind w:left="284"/>
      <w:jc w:val="lowKashida"/>
    </w:pPr>
    <w:rPr>
      <w:sz w:val="24"/>
    </w:rPr>
  </w:style>
  <w:style w:type="paragraph" w:styleId="ListBullet2">
    <w:name w:val="List Bullet 2"/>
    <w:basedOn w:val="Normal"/>
    <w:autoRedefine/>
    <w:semiHidden/>
    <w:rsid w:val="00862B69"/>
    <w:pPr>
      <w:ind w:left="720" w:hanging="360"/>
    </w:pPr>
    <w:rPr>
      <w:rFonts w:cs="Traditional Arabic"/>
    </w:rPr>
  </w:style>
  <w:style w:type="paragraph" w:styleId="Caption">
    <w:name w:val="caption"/>
    <w:basedOn w:val="Normal"/>
    <w:next w:val="Normal"/>
    <w:qFormat/>
    <w:rsid w:val="00862B69"/>
    <w:pPr>
      <w:bidi w:val="0"/>
      <w:jc w:val="center"/>
    </w:pPr>
    <w:rPr>
      <w:rFonts w:cs="Simplified Arabic"/>
      <w:b/>
      <w:bCs/>
      <w:sz w:val="28"/>
      <w:szCs w:val="28"/>
    </w:rPr>
  </w:style>
  <w:style w:type="character" w:styleId="FollowedHyperlink">
    <w:name w:val="FollowedHyperlink"/>
    <w:basedOn w:val="DefaultParagraphFont"/>
    <w:semiHidden/>
    <w:rsid w:val="00862B69"/>
    <w:rPr>
      <w:color w:val="800080"/>
      <w:u w:val="single"/>
    </w:rPr>
  </w:style>
  <w:style w:type="paragraph" w:styleId="BodyText2">
    <w:name w:val="Body Text 2"/>
    <w:basedOn w:val="Normal"/>
    <w:semiHidden/>
    <w:rsid w:val="00862B69"/>
    <w:pPr>
      <w:bidi w:val="0"/>
      <w:jc w:val="lowKashida"/>
    </w:pPr>
    <w:rPr>
      <w:b/>
      <w:bCs/>
      <w:sz w:val="24"/>
      <w:szCs w:val="28"/>
    </w:rPr>
  </w:style>
  <w:style w:type="paragraph" w:styleId="BodyText3">
    <w:name w:val="Body Text 3"/>
    <w:basedOn w:val="Normal"/>
    <w:semiHidden/>
    <w:rsid w:val="00862B69"/>
    <w:pPr>
      <w:bidi w:val="0"/>
      <w:ind w:right="-1"/>
      <w:jc w:val="lowKashida"/>
    </w:pPr>
    <w:rPr>
      <w:rFonts w:cs="Traditional Arabic"/>
      <w:sz w:val="24"/>
    </w:rPr>
  </w:style>
  <w:style w:type="paragraph" w:styleId="Subtitle">
    <w:name w:val="Subtitle"/>
    <w:basedOn w:val="Normal"/>
    <w:qFormat/>
    <w:rsid w:val="00862B69"/>
    <w:pPr>
      <w:bidi w:val="0"/>
      <w:jc w:val="lowKashida"/>
    </w:pPr>
    <w:rPr>
      <w:rFonts w:cs="Traditional Arabic"/>
      <w:b/>
      <w:bCs/>
      <w:sz w:val="24"/>
    </w:rPr>
  </w:style>
  <w:style w:type="paragraph" w:styleId="BlockText">
    <w:name w:val="Block Text"/>
    <w:basedOn w:val="Normal"/>
    <w:semiHidden/>
    <w:rsid w:val="00862B69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862B69"/>
    <w:pPr>
      <w:widowControl/>
      <w:spacing w:after="120"/>
      <w:ind w:firstLine="210"/>
      <w:jc w:val="left"/>
    </w:pPr>
    <w:rPr>
      <w:b w:val="0"/>
      <w:bCs w:val="0"/>
      <w:sz w:val="20"/>
    </w:rPr>
  </w:style>
  <w:style w:type="paragraph" w:styleId="BodyTextFirstIndent2">
    <w:name w:val="Body Text First Indent 2"/>
    <w:basedOn w:val="BodyTextIndent"/>
    <w:semiHidden/>
    <w:rsid w:val="00862B69"/>
    <w:pPr>
      <w:bidi/>
      <w:spacing w:after="120"/>
      <w:ind w:left="360" w:firstLine="210"/>
      <w:jc w:val="left"/>
    </w:pPr>
    <w:rPr>
      <w:sz w:val="20"/>
    </w:rPr>
  </w:style>
  <w:style w:type="paragraph" w:styleId="BodyTextIndent3">
    <w:name w:val="Body Text Indent 3"/>
    <w:basedOn w:val="Normal"/>
    <w:semiHidden/>
    <w:rsid w:val="00862B69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862B69"/>
    <w:pPr>
      <w:ind w:left="4320"/>
    </w:pPr>
  </w:style>
  <w:style w:type="paragraph" w:styleId="CommentText">
    <w:name w:val="annotation text"/>
    <w:basedOn w:val="Normal"/>
    <w:semiHidden/>
    <w:rsid w:val="00862B69"/>
  </w:style>
  <w:style w:type="paragraph" w:styleId="Date">
    <w:name w:val="Date"/>
    <w:basedOn w:val="Normal"/>
    <w:next w:val="Normal"/>
    <w:semiHidden/>
    <w:rsid w:val="00862B69"/>
  </w:style>
  <w:style w:type="paragraph" w:styleId="DocumentMap">
    <w:name w:val="Document Map"/>
    <w:basedOn w:val="Normal"/>
    <w:semiHidden/>
    <w:rsid w:val="00862B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862B69"/>
  </w:style>
  <w:style w:type="paragraph" w:styleId="EndnoteText">
    <w:name w:val="endnote text"/>
    <w:basedOn w:val="Normal"/>
    <w:semiHidden/>
    <w:rsid w:val="00862B69"/>
  </w:style>
  <w:style w:type="paragraph" w:styleId="EnvelopeAddress">
    <w:name w:val="envelope address"/>
    <w:basedOn w:val="Normal"/>
    <w:semiHidden/>
    <w:rsid w:val="00862B6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862B69"/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862B69"/>
  </w:style>
  <w:style w:type="paragraph" w:styleId="HTMLAddress">
    <w:name w:val="HTML Address"/>
    <w:basedOn w:val="Normal"/>
    <w:semiHidden/>
    <w:rsid w:val="00862B69"/>
    <w:rPr>
      <w:i/>
      <w:iCs/>
    </w:rPr>
  </w:style>
  <w:style w:type="paragraph" w:styleId="HTMLPreformatted">
    <w:name w:val="HTML Preformatted"/>
    <w:basedOn w:val="Normal"/>
    <w:semiHidden/>
    <w:rsid w:val="00862B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2B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2B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2B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2B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2B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2B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2B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2B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2B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862B6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862B69"/>
    <w:pPr>
      <w:ind w:left="360" w:hanging="360"/>
    </w:pPr>
  </w:style>
  <w:style w:type="paragraph" w:styleId="List2">
    <w:name w:val="List 2"/>
    <w:basedOn w:val="Normal"/>
    <w:semiHidden/>
    <w:rsid w:val="00862B69"/>
    <w:pPr>
      <w:ind w:left="720" w:hanging="360"/>
    </w:pPr>
  </w:style>
  <w:style w:type="paragraph" w:styleId="List3">
    <w:name w:val="List 3"/>
    <w:basedOn w:val="Normal"/>
    <w:semiHidden/>
    <w:rsid w:val="00862B69"/>
    <w:pPr>
      <w:ind w:left="1080" w:hanging="360"/>
    </w:pPr>
  </w:style>
  <w:style w:type="paragraph" w:styleId="List4">
    <w:name w:val="List 4"/>
    <w:basedOn w:val="Normal"/>
    <w:semiHidden/>
    <w:rsid w:val="00862B69"/>
    <w:pPr>
      <w:ind w:left="1440" w:hanging="360"/>
    </w:pPr>
  </w:style>
  <w:style w:type="paragraph" w:styleId="List5">
    <w:name w:val="List 5"/>
    <w:basedOn w:val="Normal"/>
    <w:semiHidden/>
    <w:rsid w:val="00862B69"/>
    <w:pPr>
      <w:ind w:left="1800" w:hanging="360"/>
    </w:pPr>
  </w:style>
  <w:style w:type="paragraph" w:styleId="ListBullet">
    <w:name w:val="List Bullet"/>
    <w:basedOn w:val="Normal"/>
    <w:autoRedefine/>
    <w:semiHidden/>
    <w:rsid w:val="00862B69"/>
    <w:pPr>
      <w:numPr>
        <w:numId w:val="1"/>
      </w:numPr>
      <w:ind w:right="0"/>
    </w:pPr>
  </w:style>
  <w:style w:type="paragraph" w:styleId="ListBullet3">
    <w:name w:val="List Bullet 3"/>
    <w:basedOn w:val="Normal"/>
    <w:autoRedefine/>
    <w:semiHidden/>
    <w:rsid w:val="00862B69"/>
    <w:pPr>
      <w:numPr>
        <w:numId w:val="2"/>
      </w:numPr>
      <w:ind w:right="0"/>
    </w:pPr>
  </w:style>
  <w:style w:type="paragraph" w:styleId="ListBullet4">
    <w:name w:val="List Bullet 4"/>
    <w:basedOn w:val="Normal"/>
    <w:autoRedefine/>
    <w:semiHidden/>
    <w:rsid w:val="00862B69"/>
    <w:pPr>
      <w:numPr>
        <w:numId w:val="3"/>
      </w:numPr>
      <w:ind w:right="0"/>
    </w:pPr>
  </w:style>
  <w:style w:type="paragraph" w:styleId="ListBullet5">
    <w:name w:val="List Bullet 5"/>
    <w:basedOn w:val="Normal"/>
    <w:autoRedefine/>
    <w:semiHidden/>
    <w:rsid w:val="00862B69"/>
    <w:pPr>
      <w:numPr>
        <w:numId w:val="4"/>
      </w:numPr>
      <w:ind w:right="0"/>
    </w:pPr>
  </w:style>
  <w:style w:type="paragraph" w:styleId="ListContinue">
    <w:name w:val="List Continue"/>
    <w:basedOn w:val="Normal"/>
    <w:semiHidden/>
    <w:rsid w:val="00862B69"/>
    <w:pPr>
      <w:spacing w:after="120"/>
      <w:ind w:left="360"/>
    </w:pPr>
  </w:style>
  <w:style w:type="paragraph" w:styleId="ListContinue2">
    <w:name w:val="List Continue 2"/>
    <w:basedOn w:val="Normal"/>
    <w:semiHidden/>
    <w:rsid w:val="00862B69"/>
    <w:pPr>
      <w:spacing w:after="120"/>
      <w:ind w:left="720"/>
    </w:pPr>
  </w:style>
  <w:style w:type="paragraph" w:styleId="ListContinue3">
    <w:name w:val="List Continue 3"/>
    <w:basedOn w:val="Normal"/>
    <w:semiHidden/>
    <w:rsid w:val="00862B69"/>
    <w:pPr>
      <w:spacing w:after="120"/>
      <w:ind w:left="1080"/>
    </w:pPr>
  </w:style>
  <w:style w:type="paragraph" w:styleId="ListContinue4">
    <w:name w:val="List Continue 4"/>
    <w:basedOn w:val="Normal"/>
    <w:semiHidden/>
    <w:rsid w:val="00862B69"/>
    <w:pPr>
      <w:spacing w:after="120"/>
      <w:ind w:left="1440"/>
    </w:pPr>
  </w:style>
  <w:style w:type="paragraph" w:styleId="ListContinue5">
    <w:name w:val="List Continue 5"/>
    <w:basedOn w:val="Normal"/>
    <w:semiHidden/>
    <w:rsid w:val="00862B69"/>
    <w:pPr>
      <w:spacing w:after="120"/>
      <w:ind w:left="1800"/>
    </w:pPr>
  </w:style>
  <w:style w:type="paragraph" w:styleId="ListNumber">
    <w:name w:val="List Number"/>
    <w:basedOn w:val="Normal"/>
    <w:semiHidden/>
    <w:rsid w:val="00862B69"/>
    <w:pPr>
      <w:numPr>
        <w:numId w:val="5"/>
      </w:numPr>
      <w:ind w:right="0"/>
    </w:pPr>
  </w:style>
  <w:style w:type="paragraph" w:styleId="ListNumber2">
    <w:name w:val="List Number 2"/>
    <w:basedOn w:val="Normal"/>
    <w:semiHidden/>
    <w:rsid w:val="00862B69"/>
    <w:pPr>
      <w:numPr>
        <w:numId w:val="6"/>
      </w:numPr>
      <w:ind w:right="0"/>
    </w:pPr>
  </w:style>
  <w:style w:type="paragraph" w:styleId="ListNumber3">
    <w:name w:val="List Number 3"/>
    <w:basedOn w:val="Normal"/>
    <w:semiHidden/>
    <w:rsid w:val="00862B69"/>
    <w:pPr>
      <w:numPr>
        <w:numId w:val="7"/>
      </w:numPr>
      <w:ind w:right="0"/>
    </w:pPr>
  </w:style>
  <w:style w:type="paragraph" w:styleId="ListNumber4">
    <w:name w:val="List Number 4"/>
    <w:basedOn w:val="Normal"/>
    <w:semiHidden/>
    <w:rsid w:val="00862B69"/>
    <w:pPr>
      <w:numPr>
        <w:numId w:val="8"/>
      </w:numPr>
      <w:ind w:right="0"/>
    </w:pPr>
  </w:style>
  <w:style w:type="paragraph" w:styleId="ListNumber5">
    <w:name w:val="List Number 5"/>
    <w:basedOn w:val="Normal"/>
    <w:semiHidden/>
    <w:rsid w:val="00862B69"/>
    <w:pPr>
      <w:numPr>
        <w:numId w:val="9"/>
      </w:numPr>
      <w:ind w:right="0"/>
    </w:pPr>
  </w:style>
  <w:style w:type="paragraph" w:styleId="MacroText">
    <w:name w:val="macro"/>
    <w:semiHidden/>
    <w:rsid w:val="0086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rsid w:val="0086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2B69"/>
    <w:rPr>
      <w:sz w:val="24"/>
      <w:szCs w:val="24"/>
    </w:rPr>
  </w:style>
  <w:style w:type="paragraph" w:styleId="NormalIndent">
    <w:name w:val="Normal Indent"/>
    <w:basedOn w:val="Normal"/>
    <w:semiHidden/>
    <w:rsid w:val="00862B69"/>
    <w:pPr>
      <w:ind w:left="720"/>
    </w:pPr>
  </w:style>
  <w:style w:type="paragraph" w:styleId="NoteHeading">
    <w:name w:val="Note Heading"/>
    <w:basedOn w:val="Normal"/>
    <w:next w:val="Normal"/>
    <w:semiHidden/>
    <w:rsid w:val="00862B69"/>
  </w:style>
  <w:style w:type="paragraph" w:styleId="PlainText">
    <w:name w:val="Plain Text"/>
    <w:basedOn w:val="Normal"/>
    <w:semiHidden/>
    <w:rsid w:val="00862B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2B69"/>
  </w:style>
  <w:style w:type="paragraph" w:styleId="Signature">
    <w:name w:val="Signature"/>
    <w:basedOn w:val="Normal"/>
    <w:semiHidden/>
    <w:rsid w:val="00862B69"/>
    <w:pPr>
      <w:ind w:left="4320"/>
    </w:pPr>
  </w:style>
  <w:style w:type="paragraph" w:styleId="TableofAuthorities">
    <w:name w:val="table of authorities"/>
    <w:basedOn w:val="Normal"/>
    <w:next w:val="Normal"/>
    <w:semiHidden/>
    <w:rsid w:val="00862B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2B69"/>
    <w:pPr>
      <w:ind w:left="400" w:hanging="400"/>
    </w:pPr>
  </w:style>
  <w:style w:type="paragraph" w:styleId="TOAHeading">
    <w:name w:val="toa heading"/>
    <w:basedOn w:val="Normal"/>
    <w:next w:val="Normal"/>
    <w:semiHidden/>
    <w:rsid w:val="00862B6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62B69"/>
  </w:style>
  <w:style w:type="paragraph" w:styleId="TOC2">
    <w:name w:val="toc 2"/>
    <w:basedOn w:val="Normal"/>
    <w:next w:val="Normal"/>
    <w:autoRedefine/>
    <w:semiHidden/>
    <w:rsid w:val="00862B69"/>
    <w:pPr>
      <w:ind w:left="200"/>
    </w:pPr>
  </w:style>
  <w:style w:type="paragraph" w:styleId="TOC3">
    <w:name w:val="toc 3"/>
    <w:basedOn w:val="Normal"/>
    <w:next w:val="Normal"/>
    <w:autoRedefine/>
    <w:semiHidden/>
    <w:rsid w:val="00862B69"/>
    <w:pPr>
      <w:ind w:left="400"/>
    </w:pPr>
  </w:style>
  <w:style w:type="paragraph" w:styleId="TOC4">
    <w:name w:val="toc 4"/>
    <w:basedOn w:val="Normal"/>
    <w:next w:val="Normal"/>
    <w:autoRedefine/>
    <w:semiHidden/>
    <w:rsid w:val="00862B69"/>
    <w:pPr>
      <w:ind w:left="600"/>
    </w:pPr>
  </w:style>
  <w:style w:type="paragraph" w:styleId="TOC5">
    <w:name w:val="toc 5"/>
    <w:basedOn w:val="Normal"/>
    <w:next w:val="Normal"/>
    <w:autoRedefine/>
    <w:semiHidden/>
    <w:rsid w:val="00862B69"/>
    <w:pPr>
      <w:ind w:left="800"/>
    </w:pPr>
  </w:style>
  <w:style w:type="paragraph" w:styleId="TOC6">
    <w:name w:val="toc 6"/>
    <w:basedOn w:val="Normal"/>
    <w:next w:val="Normal"/>
    <w:autoRedefine/>
    <w:semiHidden/>
    <w:rsid w:val="00862B69"/>
    <w:pPr>
      <w:ind w:left="1000"/>
    </w:pPr>
  </w:style>
  <w:style w:type="paragraph" w:styleId="TOC7">
    <w:name w:val="toc 7"/>
    <w:basedOn w:val="Normal"/>
    <w:next w:val="Normal"/>
    <w:autoRedefine/>
    <w:semiHidden/>
    <w:rsid w:val="00862B69"/>
    <w:pPr>
      <w:ind w:left="1200"/>
    </w:pPr>
  </w:style>
  <w:style w:type="paragraph" w:styleId="TOC8">
    <w:name w:val="toc 8"/>
    <w:basedOn w:val="Normal"/>
    <w:next w:val="Normal"/>
    <w:autoRedefine/>
    <w:semiHidden/>
    <w:rsid w:val="00862B69"/>
    <w:pPr>
      <w:ind w:left="1400"/>
    </w:pPr>
  </w:style>
  <w:style w:type="paragraph" w:styleId="TOC9">
    <w:name w:val="toc 9"/>
    <w:basedOn w:val="Normal"/>
    <w:next w:val="Normal"/>
    <w:autoRedefine/>
    <w:semiHidden/>
    <w:rsid w:val="00862B69"/>
    <w:pPr>
      <w:ind w:left="1600"/>
    </w:pPr>
  </w:style>
  <w:style w:type="character" w:styleId="FootnoteReference">
    <w:name w:val="footnote reference"/>
    <w:basedOn w:val="DefaultParagraphFont"/>
    <w:semiHidden/>
    <w:rsid w:val="00862B69"/>
    <w:rPr>
      <w:vertAlign w:val="superscript"/>
    </w:rPr>
  </w:style>
  <w:style w:type="paragraph" w:customStyle="1" w:styleId="xl27">
    <w:name w:val="xl27"/>
    <w:basedOn w:val="Normal"/>
    <w:rsid w:val="00862B69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Simplified Arabic" w:hint="cs"/>
      <w:snapToGrid/>
      <w:sz w:val="24"/>
      <w:szCs w:val="24"/>
    </w:rPr>
  </w:style>
  <w:style w:type="character" w:customStyle="1" w:styleId="longtext1">
    <w:name w:val="long_text1"/>
    <w:basedOn w:val="DefaultParagraphFont"/>
    <w:rsid w:val="00862B69"/>
    <w:rPr>
      <w:spacing w:val="408"/>
      <w:sz w:val="20"/>
      <w:szCs w:val="20"/>
    </w:rPr>
  </w:style>
  <w:style w:type="paragraph" w:styleId="z-TopofForm">
    <w:name w:val="HTML Top of Form"/>
    <w:basedOn w:val="Normal"/>
    <w:next w:val="Normal"/>
    <w:hidden/>
    <w:rsid w:val="00862B69"/>
    <w:pPr>
      <w:pBdr>
        <w:bottom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hidden/>
    <w:rsid w:val="00862B69"/>
    <w:pPr>
      <w:pBdr>
        <w:top w:val="single" w:sz="6" w:space="1" w:color="auto"/>
      </w:pBdr>
      <w:bidi w:val="0"/>
      <w:jc w:val="center"/>
    </w:pPr>
    <w:rPr>
      <w:rFonts w:ascii="Arial" w:eastAsia="Arial Unicode MS" w:hAnsi="Arial" w:cs="Arial"/>
      <w:snapToGrid/>
      <w:vanish/>
      <w:sz w:val="16"/>
      <w:szCs w:val="16"/>
      <w:lang w:eastAsia="ar-SA"/>
    </w:rPr>
  </w:style>
  <w:style w:type="paragraph" w:styleId="BalloonText">
    <w:name w:val="Balloon Text"/>
    <w:basedOn w:val="Normal"/>
    <w:semiHidden/>
    <w:unhideWhenUsed/>
    <w:rsid w:val="00862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862B69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66CCD"/>
    <w:rPr>
      <w:rFonts w:cs="Times New Roman"/>
      <w:snapToGrid w:val="0"/>
    </w:rPr>
  </w:style>
  <w:style w:type="character" w:customStyle="1" w:styleId="longtext">
    <w:name w:val="long_text"/>
    <w:basedOn w:val="DefaultParagraphFont"/>
    <w:rsid w:val="00B20933"/>
  </w:style>
  <w:style w:type="character" w:customStyle="1" w:styleId="shorttext">
    <w:name w:val="short_text"/>
    <w:basedOn w:val="DefaultParagraphFont"/>
    <w:rsid w:val="0045114F"/>
  </w:style>
  <w:style w:type="paragraph" w:styleId="Revision">
    <w:name w:val="Revision"/>
    <w:hidden/>
    <w:uiPriority w:val="99"/>
    <w:semiHidden/>
    <w:rsid w:val="00560B55"/>
    <w:rPr>
      <w:rFonts w:cs="Times New Roman"/>
      <w:snapToGrid w:val="0"/>
    </w:rPr>
  </w:style>
  <w:style w:type="character" w:customStyle="1" w:styleId="hps">
    <w:name w:val="hps"/>
    <w:basedOn w:val="DefaultParagraphFont"/>
    <w:rsid w:val="00564D94"/>
  </w:style>
  <w:style w:type="character" w:customStyle="1" w:styleId="alt-edited1">
    <w:name w:val="alt-edited1"/>
    <w:basedOn w:val="DefaultParagraphFont"/>
    <w:rsid w:val="00AD14DB"/>
    <w:rPr>
      <w:color w:val="4D90F0"/>
    </w:rPr>
  </w:style>
  <w:style w:type="table" w:styleId="TableGrid">
    <w:name w:val="Table Grid"/>
    <w:basedOn w:val="TableNormal"/>
    <w:uiPriority w:val="59"/>
    <w:rsid w:val="003F36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0F32D9"/>
    <w:rPr>
      <w:rFonts w:cs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2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484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6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788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69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538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6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1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304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national_observance" TargetMode="External"/><Relationship Id="rId13" Type="http://schemas.openxmlformats.org/officeDocument/2006/relationships/hyperlink" Target="https://en.wikipedia.org/wiki/Economic,_social_and_cultural_rights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ivil_and_political_rights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ising_awareness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en.wikipedia.org/wiki/Dignit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Nations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0176227971503611"/>
          <c:y val="0.11962847667297413"/>
          <c:w val="0.91661386129789801"/>
          <c:h val="0.5967320448580265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West Bank</c:v>
                </c:pt>
              </c:strCache>
            </c:strRef>
          </c:tx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5.3</c:v>
                </c:pt>
                <c:pt idx="1">
                  <c:v>5.0999999999999996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Gaza Strip</c:v>
                </c:pt>
              </c:strCache>
            </c:strRef>
          </c:tx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3.7</c:v>
                </c:pt>
                <c:pt idx="1">
                  <c:v>6.8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Palestine</c:v>
                </c:pt>
              </c:strCache>
            </c:strRef>
          </c:tx>
          <c:dLbls>
            <c:txPr>
              <a:bodyPr/>
              <a:lstStyle/>
              <a:p>
                <a:pPr>
                  <a:defRPr b="0"/>
                </a:pPr>
                <a:endParaRPr lang="ar-SA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2007</c:v>
                </c:pt>
                <c:pt idx="1">
                  <c:v>2017</c:v>
                </c:pt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  <c:pt idx="0">
                  <c:v>4.7</c:v>
                </c:pt>
                <c:pt idx="1">
                  <c:v>5.8</c:v>
                </c:pt>
              </c:numCache>
            </c:numRef>
          </c:val>
        </c:ser>
        <c:dLbls>
          <c:showVal val="1"/>
        </c:dLbls>
        <c:gapWidth val="75"/>
        <c:axId val="110260224"/>
        <c:axId val="110261760"/>
      </c:barChart>
      <c:catAx>
        <c:axId val="1102602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="0"/>
            </a:pPr>
            <a:endParaRPr lang="ar-SA"/>
          </a:p>
        </c:txPr>
        <c:crossAx val="110261760"/>
        <c:crosses val="autoZero"/>
        <c:auto val="1"/>
        <c:lblAlgn val="ctr"/>
        <c:lblOffset val="100"/>
      </c:catAx>
      <c:valAx>
        <c:axId val="110261760"/>
        <c:scaling>
          <c:orientation val="minMax"/>
        </c:scaling>
        <c:axPos val="l"/>
        <c:numFmt formatCode="General" sourceLinked="1"/>
        <c:majorTickMark val="none"/>
        <c:tickLblPos val="nextTo"/>
        <c:crossAx val="110260224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7.9303933162201246E-2"/>
          <c:y val="0.89922480620155187"/>
          <c:w val="0.8999998077163438"/>
          <c:h val="9.9719221143868705E-2"/>
        </c:manualLayout>
      </c:layout>
      <c:txPr>
        <a:bodyPr/>
        <a:lstStyle/>
        <a:p>
          <a:pPr>
            <a:defRPr sz="1100" b="0"/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8.5218105405535913E-2"/>
          <c:y val="0.13456066945606693"/>
          <c:w val="0.91473188247302983"/>
          <c:h val="0.5425743748558625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Males</c:v>
                </c:pt>
                <c:pt idx="1">
                  <c:v>Females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4.8</c:v>
                </c:pt>
                <c:pt idx="1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Males</c:v>
                </c:pt>
                <c:pt idx="1">
                  <c:v>Females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6.3</c:v>
                </c:pt>
                <c:pt idx="1">
                  <c:v>5.4</c:v>
                </c:pt>
              </c:numCache>
            </c:numRef>
          </c:val>
        </c:ser>
        <c:dLbls>
          <c:showVal val="1"/>
        </c:dLbls>
        <c:axId val="110285952"/>
        <c:axId val="110287488"/>
      </c:barChart>
      <c:catAx>
        <c:axId val="110285952"/>
        <c:scaling>
          <c:orientation val="minMax"/>
        </c:scaling>
        <c:axPos val="b"/>
        <c:numFmt formatCode="General" sourceLinked="1"/>
        <c:tickLblPos val="nextTo"/>
        <c:crossAx val="110287488"/>
        <c:crosses val="autoZero"/>
        <c:auto val="1"/>
        <c:lblAlgn val="ctr"/>
        <c:lblOffset val="100"/>
      </c:catAx>
      <c:valAx>
        <c:axId val="110287488"/>
        <c:scaling>
          <c:orientation val="minMax"/>
        </c:scaling>
        <c:axPos val="l"/>
        <c:numFmt formatCode="General" sourceLinked="1"/>
        <c:tickLblPos val="nextTo"/>
        <c:crossAx val="1102859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9165676376342697"/>
          <c:y val="0.87039787390592915"/>
          <c:w val="0.38443553451524082"/>
          <c:h val="0.12764581074072329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7.8255457588759458E-2"/>
          <c:y val="3.3622697989197634E-2"/>
          <c:w val="0.8886517987646757"/>
          <c:h val="0.6463794536291370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dLbls>
            <c:dLbl>
              <c:idx val="0"/>
              <c:layout>
                <c:manualLayout>
                  <c:x val="-2.730375426621160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2.3952095808383235E-2"/>
                  <c:y val="-5.7081242788998496E-3"/>
                </c:manualLayout>
              </c:layout>
              <c:showVal val="1"/>
            </c:dLbl>
            <c:dLbl>
              <c:idx val="2"/>
              <c:layout>
                <c:manualLayout>
                  <c:x val="-2.395209580838323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Seeing</c:v>
                </c:pt>
                <c:pt idx="1">
                  <c:v>Hearing</c:v>
                </c:pt>
                <c:pt idx="2">
                  <c:v>Mobility</c:v>
                </c:pt>
                <c:pt idx="3">
                  <c:v>Remembering and Concentration</c:v>
                </c:pt>
                <c:pt idx="4">
                  <c:v>Communication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2.5</c:v>
                </c:pt>
                <c:pt idx="1">
                  <c:v>1.2</c:v>
                </c:pt>
                <c:pt idx="2">
                  <c:v>1.8</c:v>
                </c:pt>
                <c:pt idx="3">
                  <c:v>0.70000000000000062</c:v>
                </c:pt>
                <c:pt idx="4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-1.7939252770252594E-2"/>
                  <c:y val="1.0791803198513295E-2"/>
                </c:manualLayout>
              </c:layout>
              <c:showVal val="1"/>
            </c:dLbl>
            <c:dLbl>
              <c:idx val="4"/>
              <c:layout>
                <c:manualLayout>
                  <c:x val="4.5506257110352694E-2"/>
                  <c:y val="1.1111111111111125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ar-SA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Seeing</c:v>
                </c:pt>
                <c:pt idx="1">
                  <c:v>Hearing</c:v>
                </c:pt>
                <c:pt idx="2">
                  <c:v>Mobility</c:v>
                </c:pt>
                <c:pt idx="3">
                  <c:v>Remembering and Concentration</c:v>
                </c:pt>
                <c:pt idx="4">
                  <c:v>Communication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2.6</c:v>
                </c:pt>
                <c:pt idx="1">
                  <c:v>1.6</c:v>
                </c:pt>
                <c:pt idx="2">
                  <c:v>2.9</c:v>
                </c:pt>
                <c:pt idx="3">
                  <c:v>1</c:v>
                </c:pt>
                <c:pt idx="4">
                  <c:v>0.9</c:v>
                </c:pt>
              </c:numCache>
            </c:numRef>
          </c:val>
        </c:ser>
        <c:axId val="118215424"/>
        <c:axId val="118217344"/>
      </c:barChart>
      <c:catAx>
        <c:axId val="118215424"/>
        <c:scaling>
          <c:orientation val="minMax"/>
        </c:scaling>
        <c:axPos val="b"/>
        <c:title>
          <c:tx>
            <c:rich>
              <a:bodyPr rot="0" vert="horz"/>
              <a:lstStyle/>
              <a:p>
                <a:pPr>
                  <a:defRPr>
                    <a:cs typeface="+mn-cs"/>
                  </a:defRPr>
                </a:pPr>
                <a:r>
                  <a:rPr lang="en-US">
                    <a:cs typeface="+mn-cs"/>
                  </a:rPr>
                  <a:t>Type</a:t>
                </a:r>
                <a:r>
                  <a:rPr lang="en-US" baseline="0">
                    <a:cs typeface="+mn-cs"/>
                  </a:rPr>
                  <a:t> of Difficulty</a:t>
                </a:r>
                <a:endParaRPr lang="en-US">
                  <a:cs typeface="+mn-cs"/>
                </a:endParaRPr>
              </a:p>
            </c:rich>
          </c:tx>
          <c:layout>
            <c:manualLayout>
              <c:xMode val="edge"/>
              <c:yMode val="edge"/>
              <c:x val="0.24169437502946894"/>
              <c:y val="0.84236992330888083"/>
            </c:manualLayout>
          </c:layout>
        </c:title>
        <c:tickLblPos val="nextTo"/>
        <c:txPr>
          <a:bodyPr rot="5400000" vert="horz"/>
          <a:lstStyle/>
          <a:p>
            <a:pPr>
              <a:defRPr sz="800"/>
            </a:pPr>
            <a:endParaRPr lang="ar-SA"/>
          </a:p>
        </c:txPr>
        <c:crossAx val="118217344"/>
        <c:crosses val="autoZero"/>
        <c:auto val="1"/>
        <c:lblAlgn val="ctr"/>
        <c:lblOffset val="100"/>
      </c:catAx>
      <c:valAx>
        <c:axId val="118217344"/>
        <c:scaling>
          <c:orientation val="minMax"/>
          <c:max val="4"/>
        </c:scaling>
        <c:axPos val="l"/>
        <c:numFmt formatCode="General" sourceLinked="0"/>
        <c:tickLblPos val="nextTo"/>
        <c:crossAx val="118215424"/>
        <c:crosses val="autoZero"/>
        <c:crossBetween val="between"/>
        <c:majorUnit val="1"/>
      </c:valAx>
      <c:spPr>
        <a:ln>
          <a:noFill/>
        </a:ln>
      </c:spPr>
    </c:plotArea>
    <c:legend>
      <c:legendPos val="t"/>
      <c:layout>
        <c:manualLayout>
          <c:xMode val="edge"/>
          <c:yMode val="edge"/>
          <c:x val="0.61355877221934085"/>
          <c:y val="4.6554922268381663E-2"/>
          <c:w val="0.38198198877835093"/>
          <c:h val="0.10321951693088099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5003979341292145"/>
          <c:y val="0.11239884076990375"/>
          <c:w val="0.79739150885709176"/>
          <c:h val="0.5925951443569519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Males</c:v>
                </c:pt>
                <c:pt idx="1">
                  <c:v>Females</c:v>
                </c:pt>
                <c:pt idx="2">
                  <c:v>Both Sexes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19.5</c:v>
                </c:pt>
                <c:pt idx="1">
                  <c:v>48.3</c:v>
                </c:pt>
                <c:pt idx="2">
                  <c:v>33.4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Males</c:v>
                </c:pt>
                <c:pt idx="1">
                  <c:v>Females</c:v>
                </c:pt>
                <c:pt idx="2">
                  <c:v>Both Sexes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11.3</c:v>
                </c:pt>
                <c:pt idx="1">
                  <c:v>32.700000000000003</c:v>
                </c:pt>
                <c:pt idx="2">
                  <c:v>21.1</c:v>
                </c:pt>
              </c:numCache>
            </c:numRef>
          </c:val>
        </c:ser>
        <c:dLbls>
          <c:showVal val="1"/>
        </c:dLbls>
        <c:gapWidth val="75"/>
        <c:axId val="110377216"/>
        <c:axId val="110419968"/>
      </c:barChart>
      <c:catAx>
        <c:axId val="110377216"/>
        <c:scaling>
          <c:orientation val="minMax"/>
        </c:scaling>
        <c:axPos val="b"/>
        <c:numFmt formatCode="General" sourceLinked="1"/>
        <c:majorTickMark val="none"/>
        <c:tickLblPos val="nextTo"/>
        <c:crossAx val="110419968"/>
        <c:crosses val="autoZero"/>
        <c:auto val="1"/>
        <c:lblAlgn val="ctr"/>
        <c:lblOffset val="100"/>
      </c:catAx>
      <c:valAx>
        <c:axId val="110419968"/>
        <c:scaling>
          <c:orientation val="minMax"/>
        </c:scaling>
        <c:axPos val="l"/>
        <c:numFmt formatCode="General" sourceLinked="1"/>
        <c:majorTickMark val="none"/>
        <c:tickLblPos val="nextTo"/>
        <c:crossAx val="1103772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2325421687880546"/>
          <c:y val="0.91411198600174959"/>
          <c:w val="0.36588038708902576"/>
          <c:h val="8.2570380757200065E-2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1770714279444167"/>
          <c:y val="0.16948500369492644"/>
          <c:w val="0.84661838674848189"/>
          <c:h val="0.4858741850817055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West Bank</c:v>
                </c:pt>
                <c:pt idx="1">
                  <c:v>Gaza Strip</c:v>
                </c:pt>
                <c:pt idx="2">
                  <c:v>Palestine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15.7</c:v>
                </c:pt>
                <c:pt idx="1">
                  <c:v>41.2</c:v>
                </c:pt>
                <c:pt idx="2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West Bank</c:v>
                </c:pt>
                <c:pt idx="1">
                  <c:v>Gaza Strip</c:v>
                </c:pt>
                <c:pt idx="2">
                  <c:v>Palestine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18.8</c:v>
                </c:pt>
                <c:pt idx="1">
                  <c:v>53.7</c:v>
                </c:pt>
                <c:pt idx="2">
                  <c:v>37.300000000000004</c:v>
                </c:pt>
              </c:numCache>
            </c:numRef>
          </c:val>
        </c:ser>
        <c:axId val="110953600"/>
        <c:axId val="110955136"/>
      </c:barChart>
      <c:catAx>
        <c:axId val="110953600"/>
        <c:scaling>
          <c:orientation val="minMax"/>
        </c:scaling>
        <c:axPos val="b"/>
        <c:tickLblPos val="nextTo"/>
        <c:crossAx val="110955136"/>
        <c:crosses val="autoZero"/>
        <c:auto val="1"/>
        <c:lblAlgn val="ctr"/>
        <c:lblOffset val="100"/>
      </c:catAx>
      <c:valAx>
        <c:axId val="110955136"/>
        <c:scaling>
          <c:orientation val="minMax"/>
        </c:scaling>
        <c:axPos val="l"/>
        <c:numFmt formatCode="General" sourceLinked="1"/>
        <c:tickLblPos val="nextTo"/>
        <c:crossAx val="11095360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3112860892388718"/>
          <c:y val="0.84262467191601065"/>
          <c:w val="0.37349113648140525"/>
          <c:h val="9.724725888266833E-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434C-711C-4E02-985E-97613AE0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of the World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hbadran</cp:lastModifiedBy>
  <cp:revision>2</cp:revision>
  <cp:lastPrinted>2018-11-29T09:37:00Z</cp:lastPrinted>
  <dcterms:created xsi:type="dcterms:W3CDTF">2018-12-02T13:17:00Z</dcterms:created>
  <dcterms:modified xsi:type="dcterms:W3CDTF">2018-12-02T13:17:00Z</dcterms:modified>
</cp:coreProperties>
</file>