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591"/>
      </w:tblGrid>
      <w:tr w:rsidR="001A0B2F" w:rsidRPr="0087527C" w:rsidTr="00021534">
        <w:tc>
          <w:tcPr>
            <w:tcW w:w="4714" w:type="dxa"/>
          </w:tcPr>
          <w:p w:rsidR="001A0B2F" w:rsidRPr="0087527C" w:rsidRDefault="001A0B2F" w:rsidP="00021534">
            <w:pPr>
              <w:pStyle w:val="Header"/>
              <w:jc w:val="center"/>
              <w:rPr>
                <w:rFonts w:cs="Simplified Arabic"/>
                <w:b/>
                <w:bCs/>
                <w:sz w:val="32"/>
                <w:szCs w:val="32"/>
                <w:rtl/>
              </w:rPr>
            </w:pPr>
            <w:r w:rsidRPr="0087527C">
              <w:rPr>
                <w:rFonts w:cs="Simplified Arabic" w:hint="cs"/>
                <w:b/>
                <w:bCs/>
                <w:sz w:val="32"/>
                <w:szCs w:val="32"/>
                <w:rtl/>
              </w:rPr>
              <w:drawing>
                <wp:anchor distT="0" distB="0" distL="114300" distR="114300" simplePos="0" relativeHeight="251655680" behindDoc="0" locked="0" layoutInCell="1" allowOverlap="1">
                  <wp:simplePos x="0" y="0"/>
                  <wp:positionH relativeFrom="margin">
                    <wp:align>right</wp:align>
                  </wp:positionH>
                  <wp:positionV relativeFrom="margin">
                    <wp:posOffset>76835</wp:posOffset>
                  </wp:positionV>
                  <wp:extent cx="1475740" cy="11366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75740" cy="1136650"/>
                          </a:xfrm>
                          <a:prstGeom prst="rect">
                            <a:avLst/>
                          </a:prstGeom>
                          <a:noFill/>
                          <a:ln w="9525">
                            <a:noFill/>
                            <a:miter lim="800000"/>
                            <a:headEnd/>
                            <a:tailEnd/>
                          </a:ln>
                        </pic:spPr>
                      </pic:pic>
                    </a:graphicData>
                  </a:graphic>
                </wp:anchor>
              </w:drawing>
            </w:r>
          </w:p>
          <w:p w:rsidR="001A0B2F" w:rsidRPr="0087527C" w:rsidRDefault="001A0B2F" w:rsidP="00021534">
            <w:pPr>
              <w:pStyle w:val="Header"/>
              <w:jc w:val="center"/>
              <w:rPr>
                <w:rFonts w:cs="Simplified Arabic"/>
                <w:b/>
                <w:bCs/>
                <w:sz w:val="32"/>
                <w:szCs w:val="32"/>
                <w:rtl/>
              </w:rPr>
            </w:pPr>
          </w:p>
          <w:p w:rsidR="001A0B2F" w:rsidRPr="0087527C" w:rsidRDefault="001A0B2F" w:rsidP="00021534">
            <w:pPr>
              <w:pStyle w:val="Header"/>
              <w:jc w:val="center"/>
              <w:rPr>
                <w:rFonts w:cs="Simplified Arabic"/>
                <w:b/>
                <w:bCs/>
                <w:sz w:val="32"/>
                <w:szCs w:val="32"/>
                <w:rtl/>
              </w:rPr>
            </w:pPr>
          </w:p>
          <w:p w:rsidR="001A0B2F" w:rsidRPr="0087527C" w:rsidRDefault="001A0B2F" w:rsidP="00021534">
            <w:pPr>
              <w:pStyle w:val="Header"/>
              <w:jc w:val="center"/>
              <w:rPr>
                <w:rFonts w:cs="Simplified Arabic"/>
                <w:b/>
                <w:bCs/>
                <w:sz w:val="32"/>
                <w:szCs w:val="32"/>
                <w:rtl/>
              </w:rPr>
            </w:pPr>
          </w:p>
        </w:tc>
        <w:tc>
          <w:tcPr>
            <w:tcW w:w="4714" w:type="dxa"/>
          </w:tcPr>
          <w:p w:rsidR="001A0B2F" w:rsidRPr="0087527C" w:rsidRDefault="001A0B2F" w:rsidP="00021534">
            <w:pPr>
              <w:pStyle w:val="Header"/>
              <w:rPr>
                <w:rFonts w:cs="Simplified Arabic"/>
                <w:b/>
                <w:bCs/>
                <w:sz w:val="32"/>
                <w:szCs w:val="32"/>
                <w:rtl/>
              </w:rPr>
            </w:pPr>
            <w:r w:rsidRPr="0087527C">
              <w:rPr>
                <w:rFonts w:cs="Simplified Arabic" w:hint="cs"/>
                <w:b/>
                <w:bCs/>
                <w:sz w:val="32"/>
                <w:szCs w:val="32"/>
                <w:rtl/>
              </w:rPr>
              <w:t xml:space="preserve">              </w:t>
            </w:r>
            <w:r w:rsidRPr="0087527C">
              <w:rPr>
                <w:rFonts w:cs="Simplified Arabic"/>
                <w:b/>
                <w:bCs/>
                <w:sz w:val="32"/>
                <w:szCs w:val="32"/>
              </w:rPr>
              <w:t xml:space="preserve">   </w:t>
            </w:r>
            <w:r w:rsidRPr="0087527C">
              <w:rPr>
                <w:rFonts w:cs="Simplified Arabic" w:hint="cs"/>
                <w:b/>
                <w:bCs/>
                <w:sz w:val="32"/>
                <w:szCs w:val="32"/>
                <w:rtl/>
              </w:rPr>
              <w:t xml:space="preserve"> </w:t>
            </w:r>
            <w:r w:rsidRPr="0087527C">
              <w:rPr>
                <w:rFonts w:cs="Simplified Arabic"/>
                <w:b/>
                <w:bCs/>
                <w:sz w:val="32"/>
                <w:szCs w:val="32"/>
                <w:rtl/>
              </w:rPr>
              <w:drawing>
                <wp:inline distT="0" distB="0" distL="0" distR="0">
                  <wp:extent cx="607161" cy="701302"/>
                  <wp:effectExtent l="19050" t="0" r="2439" b="0"/>
                  <wp:docPr id="2" name="Picture 1" descr="C:\Users\adel\Desktop\النسر المعتم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Desktop\النسر المعتمد.gif"/>
                          <pic:cNvPicPr>
                            <a:picLocks noChangeAspect="1" noChangeArrowheads="1"/>
                          </pic:cNvPicPr>
                        </pic:nvPicPr>
                        <pic:blipFill>
                          <a:blip r:embed="rId9" cstate="print"/>
                          <a:srcRect/>
                          <a:stretch>
                            <a:fillRect/>
                          </a:stretch>
                        </pic:blipFill>
                        <pic:spPr bwMode="auto">
                          <a:xfrm>
                            <a:off x="0" y="0"/>
                            <a:ext cx="607989" cy="702259"/>
                          </a:xfrm>
                          <a:prstGeom prst="rect">
                            <a:avLst/>
                          </a:prstGeom>
                          <a:noFill/>
                          <a:ln w="9525">
                            <a:noFill/>
                            <a:miter lim="800000"/>
                            <a:headEnd/>
                            <a:tailEnd/>
                          </a:ln>
                        </pic:spPr>
                      </pic:pic>
                    </a:graphicData>
                  </a:graphic>
                </wp:inline>
              </w:drawing>
            </w:r>
          </w:p>
          <w:p w:rsidR="001A0B2F" w:rsidRPr="0087527C" w:rsidRDefault="001A0B2F" w:rsidP="00021534">
            <w:pPr>
              <w:jc w:val="center"/>
              <w:rPr>
                <w:rFonts w:ascii="Simplified Arabic" w:hAnsi="Simplified Arabic" w:cs="Simplified Arabic"/>
                <w:bCs/>
                <w:rtl/>
              </w:rPr>
            </w:pPr>
            <w:r w:rsidRPr="0087527C">
              <w:rPr>
                <w:rFonts w:ascii="Simplified Arabic" w:hAnsi="Simplified Arabic" w:cs="Simplified Arabic"/>
                <w:bCs/>
                <w:rtl/>
              </w:rPr>
              <w:t>الجهاز المركزي للإحصاء الفلسطيني</w:t>
            </w:r>
          </w:p>
          <w:p w:rsidR="001A0B2F" w:rsidRPr="00902140" w:rsidRDefault="001A0B2F" w:rsidP="00021534">
            <w:pPr>
              <w:bidi w:val="0"/>
              <w:jc w:val="center"/>
              <w:rPr>
                <w:rFonts w:asciiTheme="majorBidi" w:hAnsiTheme="majorBidi" w:cstheme="majorBidi"/>
                <w:b/>
                <w:i/>
                <w:iCs/>
                <w:rtl/>
              </w:rPr>
            </w:pPr>
            <w:r w:rsidRPr="00902140">
              <w:rPr>
                <w:rFonts w:asciiTheme="majorBidi" w:hAnsiTheme="majorBidi" w:cstheme="majorBidi"/>
                <w:b/>
                <w:iCs/>
              </w:rPr>
              <w:t>Palestinian Central Bureau of Statistics</w:t>
            </w:r>
          </w:p>
          <w:p w:rsidR="001A0B2F" w:rsidRPr="0087527C" w:rsidRDefault="001A0B2F" w:rsidP="00021534">
            <w:pPr>
              <w:tabs>
                <w:tab w:val="left" w:pos="1681"/>
              </w:tabs>
              <w:rPr>
                <w:rtl/>
                <w:lang w:eastAsia="en-US"/>
              </w:rPr>
            </w:pPr>
          </w:p>
        </w:tc>
      </w:tr>
    </w:tbl>
    <w:p w:rsidR="001A0B2F" w:rsidRPr="0087527C" w:rsidRDefault="001A0B2F" w:rsidP="001A0B2F">
      <w:pPr>
        <w:jc w:val="both"/>
        <w:rPr>
          <w:rFonts w:cs="Simplified Arabic"/>
          <w:rtl/>
          <w:lang w:bidi="ar-EG"/>
        </w:rPr>
      </w:pPr>
    </w:p>
    <w:p w:rsidR="00797A25" w:rsidRPr="00414C69" w:rsidRDefault="00797A25" w:rsidP="00797A25">
      <w:pPr>
        <w:tabs>
          <w:tab w:val="right" w:pos="9639"/>
        </w:tabs>
        <w:bidi w:val="0"/>
        <w:ind w:left="-284" w:right="-851" w:hanging="567"/>
        <w:jc w:val="center"/>
        <w:rPr>
          <w:b/>
          <w:bCs/>
          <w:iCs/>
          <w:sz w:val="30"/>
          <w:szCs w:val="30"/>
          <w:lang w:eastAsia="en-US"/>
        </w:rPr>
      </w:pPr>
      <w:r w:rsidRPr="00414C69">
        <w:rPr>
          <w:b/>
          <w:bCs/>
          <w:iCs/>
          <w:sz w:val="30"/>
          <w:szCs w:val="30"/>
        </w:rPr>
        <w:t xml:space="preserve">The Palestine Monetary Authority and </w:t>
      </w:r>
      <w:proofErr w:type="gramStart"/>
      <w:r w:rsidRPr="00414C69">
        <w:rPr>
          <w:b/>
          <w:bCs/>
          <w:iCs/>
          <w:sz w:val="30"/>
          <w:szCs w:val="30"/>
        </w:rPr>
        <w:t>The</w:t>
      </w:r>
      <w:proofErr w:type="gramEnd"/>
      <w:r w:rsidRPr="00414C69">
        <w:rPr>
          <w:b/>
          <w:bCs/>
          <w:iCs/>
          <w:sz w:val="30"/>
          <w:szCs w:val="30"/>
        </w:rPr>
        <w:t xml:space="preserve"> Palestinian Central Bureau of Statistics</w:t>
      </w:r>
    </w:p>
    <w:p w:rsidR="00797A25" w:rsidRPr="00414C69" w:rsidRDefault="00797A25" w:rsidP="00797A25">
      <w:pPr>
        <w:tabs>
          <w:tab w:val="right" w:pos="9639"/>
        </w:tabs>
        <w:bidi w:val="0"/>
        <w:ind w:left="-284" w:right="-851" w:hanging="567"/>
        <w:jc w:val="center"/>
        <w:rPr>
          <w:b/>
          <w:bCs/>
          <w:iCs/>
          <w:sz w:val="30"/>
          <w:szCs w:val="30"/>
        </w:rPr>
      </w:pPr>
    </w:p>
    <w:p w:rsidR="00797A25" w:rsidRDefault="00797A25" w:rsidP="00797A25">
      <w:pPr>
        <w:shd w:val="clear" w:color="auto" w:fill="FFFFFF"/>
        <w:bidi w:val="0"/>
        <w:jc w:val="center"/>
        <w:rPr>
          <w:rFonts w:eastAsia="Calibri"/>
          <w:rtl/>
        </w:rPr>
      </w:pPr>
      <w:r w:rsidRPr="00414C69">
        <w:rPr>
          <w:b/>
          <w:bCs/>
          <w:color w:val="000000"/>
          <w:sz w:val="32"/>
          <w:szCs w:val="32"/>
        </w:rPr>
        <w:t xml:space="preserve">The </w:t>
      </w:r>
      <w:r w:rsidRPr="00414C69">
        <w:rPr>
          <w:b/>
          <w:bCs/>
          <w:sz w:val="32"/>
          <w:szCs w:val="32"/>
        </w:rPr>
        <w:t xml:space="preserve">Performance of the Palestinian economy during </w:t>
      </w:r>
      <w:r>
        <w:rPr>
          <w:rFonts w:hint="cs"/>
          <w:b/>
          <w:bCs/>
          <w:sz w:val="32"/>
          <w:szCs w:val="32"/>
          <w:rtl/>
        </w:rPr>
        <w:t>2021</w:t>
      </w:r>
      <w:r w:rsidRPr="00414C69">
        <w:rPr>
          <w:b/>
          <w:bCs/>
          <w:sz w:val="32"/>
          <w:szCs w:val="32"/>
        </w:rPr>
        <w:t xml:space="preserve">, as well as the economic forecasts for the year </w:t>
      </w:r>
      <w:r>
        <w:rPr>
          <w:rFonts w:hint="cs"/>
          <w:b/>
          <w:bCs/>
          <w:sz w:val="32"/>
          <w:szCs w:val="32"/>
          <w:rtl/>
        </w:rPr>
        <w:t>2022</w:t>
      </w:r>
    </w:p>
    <w:p w:rsidR="00797A25" w:rsidRDefault="00797A25" w:rsidP="00797A25">
      <w:pPr>
        <w:bidi w:val="0"/>
        <w:jc w:val="both"/>
        <w:rPr>
          <w:rFonts w:asciiTheme="majorBidi" w:eastAsia="Calibri" w:hAnsiTheme="majorBidi" w:cstheme="majorBidi"/>
        </w:rPr>
      </w:pPr>
    </w:p>
    <w:p w:rsidR="00234068" w:rsidRPr="006C0E26" w:rsidRDefault="00234068" w:rsidP="00797A25">
      <w:pPr>
        <w:bidi w:val="0"/>
        <w:jc w:val="both"/>
        <w:rPr>
          <w:rFonts w:asciiTheme="majorBidi" w:eastAsia="Calibri" w:hAnsiTheme="majorBidi" w:cstheme="majorBidi"/>
          <w:rtl/>
        </w:rPr>
      </w:pPr>
      <w:r w:rsidRPr="006C0E26">
        <w:rPr>
          <w:rFonts w:asciiTheme="majorBidi" w:eastAsia="Calibri" w:hAnsiTheme="majorBidi" w:cstheme="majorBidi"/>
        </w:rPr>
        <w:t xml:space="preserve">Palestine Monetary Authority (PMA) and the Palestinian Central Bureau of Statistics (PCBS) jointly issued a press release on the performance of the Palestinian </w:t>
      </w:r>
      <w:r w:rsidR="00C079EF" w:rsidRPr="006C0E26">
        <w:rPr>
          <w:rFonts w:asciiTheme="majorBidi" w:eastAsia="Calibri" w:hAnsiTheme="majorBidi" w:cstheme="majorBidi"/>
        </w:rPr>
        <w:t>e</w:t>
      </w:r>
      <w:r w:rsidRPr="006C0E26">
        <w:rPr>
          <w:rFonts w:asciiTheme="majorBidi" w:eastAsia="Calibri" w:hAnsiTheme="majorBidi" w:cstheme="majorBidi"/>
        </w:rPr>
        <w:t xml:space="preserve">conomy </w:t>
      </w:r>
      <w:r w:rsidR="00C90AC8" w:rsidRPr="006C0E26">
        <w:rPr>
          <w:rFonts w:asciiTheme="majorBidi" w:eastAsia="Calibri" w:hAnsiTheme="majorBidi" w:cstheme="majorBidi"/>
        </w:rPr>
        <w:t>for</w:t>
      </w:r>
      <w:r w:rsidRPr="006C0E26">
        <w:rPr>
          <w:rFonts w:asciiTheme="majorBidi" w:eastAsia="Calibri" w:hAnsiTheme="majorBidi" w:cstheme="majorBidi"/>
        </w:rPr>
        <w:t xml:space="preserve"> </w:t>
      </w:r>
      <w:r w:rsidR="00B87F86" w:rsidRPr="006C0E26">
        <w:rPr>
          <w:rFonts w:asciiTheme="majorBidi" w:eastAsia="Calibri" w:hAnsiTheme="majorBidi" w:cstheme="majorBidi" w:hint="cs"/>
          <w:rtl/>
        </w:rPr>
        <w:t>2021</w:t>
      </w:r>
      <w:r w:rsidRPr="006C0E26">
        <w:rPr>
          <w:rFonts w:asciiTheme="majorBidi" w:eastAsia="Calibri" w:hAnsiTheme="majorBidi" w:cstheme="majorBidi"/>
        </w:rPr>
        <w:t xml:space="preserve"> along </w:t>
      </w:r>
      <w:r w:rsidR="00C079EF" w:rsidRPr="006C0E26">
        <w:rPr>
          <w:rFonts w:asciiTheme="majorBidi" w:eastAsia="Calibri" w:hAnsiTheme="majorBidi" w:cstheme="majorBidi"/>
        </w:rPr>
        <w:t xml:space="preserve">with the economic forecasts for </w:t>
      </w:r>
      <w:r w:rsidR="00B87F86" w:rsidRPr="006C0E26">
        <w:rPr>
          <w:rFonts w:asciiTheme="majorBidi" w:eastAsia="Calibri" w:hAnsiTheme="majorBidi" w:cstheme="majorBidi" w:hint="cs"/>
          <w:rtl/>
        </w:rPr>
        <w:t>2022</w:t>
      </w:r>
      <w:r w:rsidRPr="006C0E26">
        <w:rPr>
          <w:rFonts w:asciiTheme="majorBidi" w:eastAsia="Calibri" w:hAnsiTheme="majorBidi" w:cstheme="majorBidi"/>
        </w:rPr>
        <w:t xml:space="preserve">; a joint publication that represents the continuous efforts </w:t>
      </w:r>
      <w:r w:rsidR="006C0E26" w:rsidRPr="006C0E26">
        <w:rPr>
          <w:rFonts w:asciiTheme="majorBidi" w:eastAsia="Calibri" w:hAnsiTheme="majorBidi" w:cstheme="majorBidi"/>
        </w:rPr>
        <w:t>of the two institutions</w:t>
      </w:r>
      <w:r w:rsidRPr="006C0E26">
        <w:rPr>
          <w:rFonts w:asciiTheme="majorBidi" w:eastAsia="Calibri" w:hAnsiTheme="majorBidi" w:cstheme="majorBidi"/>
        </w:rPr>
        <w:t xml:space="preserve">. It is worth mentioning that this </w:t>
      </w:r>
      <w:proofErr w:type="gramStart"/>
      <w:r w:rsidRPr="006C0E26">
        <w:rPr>
          <w:rFonts w:asciiTheme="majorBidi" w:eastAsia="Calibri" w:hAnsiTheme="majorBidi" w:cstheme="majorBidi"/>
        </w:rPr>
        <w:t xml:space="preserve">data </w:t>
      </w:r>
      <w:r w:rsidR="00B87F86" w:rsidRPr="006C0E26">
        <w:rPr>
          <w:rFonts w:asciiTheme="majorBidi" w:eastAsia="Calibri" w:hAnsiTheme="majorBidi" w:cstheme="majorBidi" w:hint="cs"/>
          <w:rtl/>
        </w:rPr>
        <w:t>)</w:t>
      </w:r>
      <w:r w:rsidR="00B87F86" w:rsidRPr="006C0E26">
        <w:rPr>
          <w:rFonts w:asciiTheme="majorBidi" w:eastAsia="Calibri" w:hAnsiTheme="majorBidi" w:cstheme="majorBidi"/>
        </w:rPr>
        <w:t>at</w:t>
      </w:r>
      <w:proofErr w:type="gramEnd"/>
      <w:r w:rsidR="00B87F86" w:rsidRPr="006C0E26">
        <w:rPr>
          <w:rFonts w:asciiTheme="majorBidi" w:eastAsia="Calibri" w:hAnsiTheme="majorBidi" w:cstheme="majorBidi"/>
        </w:rPr>
        <w:t xml:space="preserve"> constant prices) </w:t>
      </w:r>
      <w:r w:rsidRPr="006C0E26">
        <w:rPr>
          <w:rFonts w:asciiTheme="majorBidi" w:eastAsia="Calibri" w:hAnsiTheme="majorBidi" w:cstheme="majorBidi"/>
        </w:rPr>
        <w:t>excludes those parts of Jerusalem which were annexed by Israeli occupation in 1967.</w:t>
      </w:r>
    </w:p>
    <w:p w:rsidR="00234068" w:rsidRPr="0087527C" w:rsidRDefault="00234068" w:rsidP="00234068">
      <w:pPr>
        <w:bidi w:val="0"/>
        <w:ind w:left="360"/>
        <w:rPr>
          <w:rFonts w:ascii="Simplified Arabic" w:hAnsi="Simplified Arabic" w:cs="Simplified Arabic"/>
          <w:b/>
          <w:bCs/>
        </w:rPr>
      </w:pPr>
    </w:p>
    <w:p w:rsidR="00234068" w:rsidRPr="0087527C" w:rsidRDefault="00234068" w:rsidP="009928B0">
      <w:pPr>
        <w:bidi w:val="0"/>
        <w:ind w:left="360"/>
        <w:jc w:val="center"/>
        <w:rPr>
          <w:rFonts w:asciiTheme="majorBidi" w:hAnsiTheme="majorBidi" w:cstheme="majorBidi"/>
          <w:b/>
          <w:bCs/>
        </w:rPr>
      </w:pPr>
      <w:r w:rsidRPr="0087527C">
        <w:rPr>
          <w:rFonts w:asciiTheme="majorBidi" w:hAnsiTheme="majorBidi" w:cstheme="majorBidi"/>
          <w:b/>
          <w:bCs/>
        </w:rPr>
        <w:t xml:space="preserve">The Performance of the Palestinian </w:t>
      </w:r>
      <w:r w:rsidR="00662A8C" w:rsidRPr="0087527C">
        <w:rPr>
          <w:b/>
          <w:bCs/>
          <w:sz w:val="28"/>
          <w:szCs w:val="28"/>
        </w:rPr>
        <w:t xml:space="preserve">Economic </w:t>
      </w:r>
      <w:r w:rsidRPr="0087527C">
        <w:rPr>
          <w:rFonts w:asciiTheme="majorBidi" w:hAnsiTheme="majorBidi" w:cstheme="majorBidi"/>
          <w:b/>
          <w:bCs/>
        </w:rPr>
        <w:t xml:space="preserve">in </w:t>
      </w:r>
      <w:r w:rsidR="00B87F86" w:rsidRPr="0087527C">
        <w:rPr>
          <w:rFonts w:asciiTheme="majorBidi" w:hAnsiTheme="majorBidi" w:cstheme="majorBidi"/>
          <w:b/>
          <w:bCs/>
        </w:rPr>
        <w:t>2021</w:t>
      </w:r>
    </w:p>
    <w:p w:rsidR="00B87F86" w:rsidRPr="0087527C" w:rsidRDefault="00B87F86" w:rsidP="00902140">
      <w:pPr>
        <w:bidi w:val="0"/>
        <w:jc w:val="center"/>
        <w:rPr>
          <w:rFonts w:asciiTheme="majorBidi" w:hAnsiTheme="majorBidi" w:cstheme="majorBidi"/>
          <w:b/>
          <w:bCs/>
        </w:rPr>
      </w:pPr>
      <w:r w:rsidRPr="0087527C">
        <w:rPr>
          <w:rFonts w:asciiTheme="majorBidi" w:hAnsiTheme="majorBidi" w:cstheme="majorBidi"/>
          <w:b/>
          <w:bCs/>
        </w:rPr>
        <w:t xml:space="preserve">The </w:t>
      </w:r>
      <w:r w:rsidR="00355299" w:rsidRPr="0087527C">
        <w:rPr>
          <w:rFonts w:asciiTheme="majorBidi" w:hAnsiTheme="majorBidi" w:cstheme="majorBidi"/>
          <w:b/>
          <w:bCs/>
        </w:rPr>
        <w:t xml:space="preserve">Palestinian economy </w:t>
      </w:r>
      <w:r w:rsidRPr="0087527C">
        <w:rPr>
          <w:rFonts w:asciiTheme="majorBidi" w:hAnsiTheme="majorBidi" w:cstheme="majorBidi"/>
          <w:b/>
          <w:bCs/>
        </w:rPr>
        <w:t>start</w:t>
      </w:r>
      <w:r w:rsidR="00355299">
        <w:rPr>
          <w:rFonts w:asciiTheme="majorBidi" w:hAnsiTheme="majorBidi" w:cstheme="majorBidi"/>
          <w:b/>
          <w:bCs/>
        </w:rPr>
        <w:t>ed</w:t>
      </w:r>
      <w:r w:rsidRPr="0087527C">
        <w:rPr>
          <w:rFonts w:asciiTheme="majorBidi" w:hAnsiTheme="majorBidi" w:cstheme="majorBidi"/>
          <w:b/>
          <w:bCs/>
        </w:rPr>
        <w:t xml:space="preserve"> </w:t>
      </w:r>
      <w:r w:rsidR="00355299">
        <w:rPr>
          <w:rFonts w:asciiTheme="majorBidi" w:hAnsiTheme="majorBidi" w:cstheme="majorBidi"/>
          <w:b/>
          <w:bCs/>
        </w:rPr>
        <w:t>to</w:t>
      </w:r>
      <w:r w:rsidR="00355299" w:rsidRPr="0087527C">
        <w:rPr>
          <w:rFonts w:asciiTheme="majorBidi" w:hAnsiTheme="majorBidi" w:cstheme="majorBidi"/>
          <w:b/>
          <w:bCs/>
        </w:rPr>
        <w:t xml:space="preserve"> </w:t>
      </w:r>
      <w:r w:rsidRPr="0087527C">
        <w:rPr>
          <w:rFonts w:asciiTheme="majorBidi" w:hAnsiTheme="majorBidi" w:cstheme="majorBidi"/>
          <w:b/>
          <w:bCs/>
        </w:rPr>
        <w:t>gradual</w:t>
      </w:r>
      <w:r w:rsidR="00355299">
        <w:rPr>
          <w:rFonts w:asciiTheme="majorBidi" w:hAnsiTheme="majorBidi" w:cstheme="majorBidi"/>
          <w:b/>
          <w:bCs/>
        </w:rPr>
        <w:t>ly</w:t>
      </w:r>
      <w:r w:rsidRPr="0087527C">
        <w:rPr>
          <w:rFonts w:asciiTheme="majorBidi" w:hAnsiTheme="majorBidi" w:cstheme="majorBidi"/>
          <w:b/>
          <w:bCs/>
        </w:rPr>
        <w:t xml:space="preserve"> recover in light of the breaking of the epidemic curve of the </w:t>
      </w:r>
      <w:r w:rsidR="00355299">
        <w:rPr>
          <w:rFonts w:asciiTheme="majorBidi" w:hAnsiTheme="majorBidi" w:cstheme="majorBidi"/>
          <w:b/>
          <w:bCs/>
        </w:rPr>
        <w:t>COVID</w:t>
      </w:r>
      <w:r w:rsidR="00B21C51">
        <w:rPr>
          <w:rFonts w:asciiTheme="majorBidi" w:hAnsiTheme="majorBidi" w:cstheme="majorBidi" w:hint="cs"/>
          <w:b/>
          <w:bCs/>
          <w:rtl/>
        </w:rPr>
        <w:t>-</w:t>
      </w:r>
      <w:r w:rsidR="00355299">
        <w:rPr>
          <w:rFonts w:asciiTheme="majorBidi" w:hAnsiTheme="majorBidi" w:cstheme="majorBidi"/>
          <w:b/>
          <w:bCs/>
        </w:rPr>
        <w:t>19</w:t>
      </w:r>
      <w:r w:rsidR="00355299" w:rsidRPr="0087527C">
        <w:rPr>
          <w:rFonts w:asciiTheme="majorBidi" w:hAnsiTheme="majorBidi" w:cstheme="majorBidi"/>
          <w:b/>
          <w:bCs/>
        </w:rPr>
        <w:t xml:space="preserve"> </w:t>
      </w:r>
      <w:r w:rsidRPr="0087527C">
        <w:rPr>
          <w:rFonts w:asciiTheme="majorBidi" w:hAnsiTheme="majorBidi" w:cstheme="majorBidi"/>
          <w:b/>
          <w:bCs/>
        </w:rPr>
        <w:t>pandemic, while remaining below its pre-pandemic level despite the almost complete cessation of external support.</w:t>
      </w:r>
    </w:p>
    <w:p w:rsidR="00662A8C" w:rsidRPr="0087527C" w:rsidRDefault="00F85A2C" w:rsidP="00662A8C">
      <w:pPr>
        <w:pStyle w:val="Title"/>
        <w:bidi w:val="0"/>
        <w:spacing w:line="276" w:lineRule="auto"/>
        <w:jc w:val="left"/>
        <w:rPr>
          <w:rFonts w:ascii="Simplified Arabic" w:hAnsi="Simplified Arabic"/>
          <w:sz w:val="18"/>
          <w:szCs w:val="18"/>
          <w:rtl/>
        </w:rPr>
      </w:pPr>
      <w:r w:rsidRPr="0087527C">
        <w:rPr>
          <w:rFonts w:ascii="Simplified Arabic" w:hAnsi="Simplified Arabic"/>
        </w:rPr>
        <w:tab/>
      </w:r>
    </w:p>
    <w:p w:rsidR="00B87F86" w:rsidRPr="0087527C" w:rsidRDefault="00B87F86" w:rsidP="00B21C51">
      <w:pPr>
        <w:pStyle w:val="Title"/>
        <w:bidi w:val="0"/>
        <w:spacing w:line="276" w:lineRule="auto"/>
        <w:jc w:val="both"/>
        <w:rPr>
          <w:rFonts w:asciiTheme="majorBidi" w:hAnsiTheme="majorBidi" w:cstheme="majorBidi"/>
        </w:rPr>
      </w:pPr>
      <w:r w:rsidRPr="0087527C">
        <w:rPr>
          <w:rFonts w:asciiTheme="majorBidi" w:hAnsiTheme="majorBidi" w:cstheme="majorBidi"/>
        </w:rPr>
        <w:t xml:space="preserve">The Palestinian economy began to recover gradually in light of the breaking of the epidemiological curve of the </w:t>
      </w:r>
      <w:r w:rsidR="00355299">
        <w:rPr>
          <w:rFonts w:asciiTheme="majorBidi" w:hAnsiTheme="majorBidi" w:cstheme="majorBidi"/>
        </w:rPr>
        <w:t>COVID</w:t>
      </w:r>
      <w:r w:rsidR="00B21C51">
        <w:rPr>
          <w:rFonts w:asciiTheme="majorBidi" w:hAnsiTheme="majorBidi" w:cstheme="majorBidi" w:hint="cs"/>
          <w:rtl/>
        </w:rPr>
        <w:t>-</w:t>
      </w:r>
      <w:r w:rsidR="00355299">
        <w:rPr>
          <w:rFonts w:asciiTheme="majorBidi" w:hAnsiTheme="majorBidi" w:cstheme="majorBidi"/>
        </w:rPr>
        <w:t>19</w:t>
      </w:r>
      <w:r w:rsidR="00355299" w:rsidRPr="0087527C">
        <w:rPr>
          <w:rFonts w:asciiTheme="majorBidi" w:hAnsiTheme="majorBidi" w:cstheme="majorBidi"/>
        </w:rPr>
        <w:t xml:space="preserve"> </w:t>
      </w:r>
      <w:r w:rsidRPr="0087527C">
        <w:rPr>
          <w:rFonts w:asciiTheme="majorBidi" w:hAnsiTheme="majorBidi" w:cstheme="majorBidi"/>
        </w:rPr>
        <w:t>pandemic and despite the almost complete cessation of external support</w:t>
      </w:r>
      <w:r w:rsidR="00355299">
        <w:rPr>
          <w:rFonts w:asciiTheme="majorBidi" w:hAnsiTheme="majorBidi" w:cstheme="majorBidi"/>
        </w:rPr>
        <w:t>.</w:t>
      </w:r>
      <w:r w:rsidR="00355299" w:rsidRPr="0087527C">
        <w:rPr>
          <w:rFonts w:asciiTheme="majorBidi" w:hAnsiTheme="majorBidi" w:cstheme="majorBidi"/>
        </w:rPr>
        <w:t xml:space="preserve"> </w:t>
      </w:r>
      <w:r w:rsidR="00355299">
        <w:rPr>
          <w:rFonts w:asciiTheme="majorBidi" w:hAnsiTheme="majorBidi" w:cstheme="majorBidi"/>
        </w:rPr>
        <w:t>T</w:t>
      </w:r>
      <w:r w:rsidR="00355299" w:rsidRPr="0087527C">
        <w:rPr>
          <w:rFonts w:asciiTheme="majorBidi" w:hAnsiTheme="majorBidi" w:cstheme="majorBidi"/>
        </w:rPr>
        <w:t xml:space="preserve">he </w:t>
      </w:r>
      <w:r w:rsidRPr="0087527C">
        <w:rPr>
          <w:rFonts w:asciiTheme="majorBidi" w:hAnsiTheme="majorBidi" w:cstheme="majorBidi"/>
        </w:rPr>
        <w:t>Palestinian economy recorded an increase of 6% during the year 2021</w:t>
      </w:r>
      <w:r w:rsidR="0007485F">
        <w:rPr>
          <w:rFonts w:asciiTheme="majorBidi" w:hAnsiTheme="majorBidi" w:cstheme="majorBidi"/>
        </w:rPr>
        <w:t xml:space="preserve"> d</w:t>
      </w:r>
      <w:r w:rsidR="0007485F" w:rsidRPr="003968F6">
        <w:rPr>
          <w:rFonts w:asciiTheme="majorBidi" w:hAnsiTheme="majorBidi" w:cstheme="majorBidi"/>
        </w:rPr>
        <w:t>riven by the improvement in the level of aggregate demand, consumption and investment</w:t>
      </w:r>
      <w:proofErr w:type="gramStart"/>
      <w:r w:rsidR="0007485F">
        <w:rPr>
          <w:rFonts w:asciiTheme="majorBidi" w:hAnsiTheme="majorBidi" w:cstheme="majorBidi"/>
        </w:rPr>
        <w:t>,</w:t>
      </w:r>
      <w:r w:rsidR="0007485F" w:rsidRPr="0087527C">
        <w:rPr>
          <w:rFonts w:asciiTheme="majorBidi" w:hAnsiTheme="majorBidi" w:cstheme="majorBidi"/>
        </w:rPr>
        <w:t xml:space="preserve"> </w:t>
      </w:r>
      <w:r w:rsidRPr="0087527C">
        <w:rPr>
          <w:rFonts w:asciiTheme="majorBidi" w:hAnsiTheme="majorBidi" w:cstheme="majorBidi"/>
        </w:rPr>
        <w:t xml:space="preserve"> while</w:t>
      </w:r>
      <w:proofErr w:type="gramEnd"/>
      <w:r w:rsidRPr="0087527C">
        <w:rPr>
          <w:rFonts w:asciiTheme="majorBidi" w:hAnsiTheme="majorBidi" w:cstheme="majorBidi"/>
        </w:rPr>
        <w:t xml:space="preserve"> remaining below its pre-pandemic level, </w:t>
      </w:r>
      <w:r w:rsidR="0044531E">
        <w:rPr>
          <w:rFonts w:asciiTheme="majorBidi" w:hAnsiTheme="majorBidi" w:cstheme="majorBidi"/>
        </w:rPr>
        <w:t>which</w:t>
      </w:r>
      <w:r w:rsidR="0044531E" w:rsidRPr="0087527C">
        <w:rPr>
          <w:rFonts w:asciiTheme="majorBidi" w:hAnsiTheme="majorBidi" w:cstheme="majorBidi"/>
        </w:rPr>
        <w:t xml:space="preserve"> </w:t>
      </w:r>
      <w:r w:rsidRPr="0087527C">
        <w:rPr>
          <w:rFonts w:asciiTheme="majorBidi" w:hAnsiTheme="majorBidi" w:cstheme="majorBidi"/>
        </w:rPr>
        <w:t>led to an increase in the GDP per capita by 3.5</w:t>
      </w:r>
      <w:r w:rsidR="008E6DB5" w:rsidRPr="0087527C">
        <w:rPr>
          <w:rFonts w:asciiTheme="majorBidi" w:hAnsiTheme="majorBidi" w:cstheme="majorBidi"/>
        </w:rPr>
        <w:t>%</w:t>
      </w:r>
      <w:r w:rsidR="008E6DB5">
        <w:rPr>
          <w:rFonts w:asciiTheme="majorBidi" w:hAnsiTheme="majorBidi" w:cstheme="majorBidi"/>
        </w:rPr>
        <w:t>.</w:t>
      </w:r>
      <w:r w:rsidR="008E6DB5" w:rsidRPr="0087527C">
        <w:rPr>
          <w:rFonts w:asciiTheme="majorBidi" w:hAnsiTheme="majorBidi" w:cstheme="majorBidi"/>
        </w:rPr>
        <w:t xml:space="preserve"> </w:t>
      </w:r>
    </w:p>
    <w:p w:rsidR="00B87F86" w:rsidRPr="0087527C" w:rsidRDefault="00B87F86" w:rsidP="00B87F86">
      <w:pPr>
        <w:pStyle w:val="Title"/>
        <w:bidi w:val="0"/>
        <w:spacing w:line="276" w:lineRule="auto"/>
        <w:jc w:val="both"/>
        <w:rPr>
          <w:rFonts w:asciiTheme="majorBidi" w:hAnsiTheme="majorBidi" w:cstheme="majorBidi"/>
        </w:rPr>
      </w:pPr>
    </w:p>
    <w:p w:rsidR="00B87F86" w:rsidRPr="0087527C" w:rsidRDefault="008E6DB5" w:rsidP="00913BFF">
      <w:pPr>
        <w:pStyle w:val="HTMLPreformatted"/>
        <w:shd w:val="clear" w:color="auto" w:fill="FFFFFF" w:themeFill="background1"/>
        <w:spacing w:line="276" w:lineRule="auto"/>
        <w:jc w:val="lowKashida"/>
        <w:rPr>
          <w:rFonts w:asciiTheme="majorBidi" w:hAnsiTheme="majorBidi" w:cstheme="majorBidi"/>
          <w:sz w:val="24"/>
          <w:szCs w:val="24"/>
          <w:shd w:val="clear" w:color="auto" w:fill="FFFFFF" w:themeFill="background1"/>
        </w:rPr>
      </w:pPr>
      <w:r w:rsidRPr="009A50BB">
        <w:rPr>
          <w:rFonts w:asciiTheme="majorBidi" w:hAnsiTheme="majorBidi" w:cstheme="majorBidi"/>
          <w:sz w:val="24"/>
          <w:szCs w:val="24"/>
        </w:rPr>
        <w:t>As for the quarterly level</w:t>
      </w:r>
      <w:r>
        <w:rPr>
          <w:rFonts w:asciiTheme="majorBidi" w:hAnsiTheme="majorBidi" w:cstheme="majorBidi"/>
          <w:sz w:val="24"/>
          <w:szCs w:val="24"/>
        </w:rPr>
        <w:t xml:space="preserve">, </w:t>
      </w:r>
      <w:r w:rsidRPr="0087527C">
        <w:rPr>
          <w:rFonts w:asciiTheme="majorBidi" w:hAnsiTheme="majorBidi" w:cstheme="majorBidi"/>
          <w:sz w:val="24"/>
          <w:szCs w:val="24"/>
          <w:shd w:val="clear" w:color="auto" w:fill="FFFFFF" w:themeFill="background1"/>
        </w:rPr>
        <w:t>where the first quarter of 2021 witnessed a decline in GDP by 6% compared to the same period of 2020</w:t>
      </w:r>
      <w:r w:rsidR="00913BFF">
        <w:rPr>
          <w:rFonts w:asciiTheme="majorBidi" w:hAnsiTheme="majorBidi" w:cstheme="majorBidi"/>
          <w:sz w:val="24"/>
          <w:szCs w:val="24"/>
          <w:shd w:val="clear" w:color="auto" w:fill="FFFFFF" w:themeFill="background1"/>
        </w:rPr>
        <w:t>, and</w:t>
      </w:r>
      <w:r w:rsidR="006C03FA" w:rsidRPr="0087527C">
        <w:rPr>
          <w:rFonts w:asciiTheme="majorBidi" w:hAnsiTheme="majorBidi" w:cstheme="majorBidi"/>
          <w:sz w:val="24"/>
          <w:szCs w:val="24"/>
          <w:shd w:val="clear" w:color="auto" w:fill="FFFFFF" w:themeFill="background1"/>
        </w:rPr>
        <w:t xml:space="preserve"> </w:t>
      </w:r>
      <w:r w:rsidR="009928B0">
        <w:rPr>
          <w:rFonts w:asciiTheme="majorBidi" w:hAnsiTheme="majorBidi" w:cstheme="majorBidi"/>
          <w:sz w:val="24"/>
          <w:szCs w:val="24"/>
          <w:shd w:val="clear" w:color="auto" w:fill="FFFFFF" w:themeFill="background1"/>
        </w:rPr>
        <w:t xml:space="preserve">as </w:t>
      </w:r>
      <w:r w:rsidR="00B87F86" w:rsidRPr="0087527C">
        <w:rPr>
          <w:rFonts w:asciiTheme="majorBidi" w:hAnsiTheme="majorBidi" w:cstheme="majorBidi"/>
          <w:sz w:val="24"/>
          <w:szCs w:val="24"/>
          <w:shd w:val="clear" w:color="auto" w:fill="FFFFFF" w:themeFill="background1"/>
        </w:rPr>
        <w:t>a result of easing the severity of the measures resulting from the pandemic, the second quarter recorded a remarkable increase of 19%</w:t>
      </w:r>
      <w:r w:rsidR="00913BFF">
        <w:rPr>
          <w:rFonts w:asciiTheme="majorBidi" w:hAnsiTheme="majorBidi" w:cstheme="majorBidi"/>
          <w:sz w:val="24"/>
          <w:szCs w:val="24"/>
          <w:shd w:val="clear" w:color="auto" w:fill="FFFFFF" w:themeFill="background1"/>
        </w:rPr>
        <w:t>.</w:t>
      </w:r>
      <w:r w:rsidR="00B87F86" w:rsidRPr="0087527C">
        <w:rPr>
          <w:rFonts w:asciiTheme="majorBidi" w:hAnsiTheme="majorBidi" w:cstheme="majorBidi"/>
          <w:sz w:val="24"/>
          <w:szCs w:val="24"/>
          <w:shd w:val="clear" w:color="auto" w:fill="FFFFFF" w:themeFill="background1"/>
        </w:rPr>
        <w:t xml:space="preserve"> </w:t>
      </w:r>
      <w:r w:rsidR="006C03FA">
        <w:rPr>
          <w:rFonts w:asciiTheme="majorBidi" w:hAnsiTheme="majorBidi" w:cstheme="majorBidi"/>
          <w:sz w:val="24"/>
          <w:szCs w:val="24"/>
          <w:shd w:val="clear" w:color="auto" w:fill="FFFFFF" w:themeFill="background1"/>
        </w:rPr>
        <w:t>Such</w:t>
      </w:r>
      <w:r w:rsidR="006C03FA" w:rsidRPr="0087527C">
        <w:rPr>
          <w:rFonts w:asciiTheme="majorBidi" w:hAnsiTheme="majorBidi" w:cstheme="majorBidi"/>
          <w:sz w:val="24"/>
          <w:szCs w:val="24"/>
          <w:shd w:val="clear" w:color="auto" w:fill="FFFFFF" w:themeFill="background1"/>
        </w:rPr>
        <w:t xml:space="preserve"> </w:t>
      </w:r>
      <w:r w:rsidR="00B87F86" w:rsidRPr="0087527C">
        <w:rPr>
          <w:rFonts w:asciiTheme="majorBidi" w:hAnsiTheme="majorBidi" w:cstheme="majorBidi"/>
          <w:sz w:val="24"/>
          <w:szCs w:val="24"/>
          <w:shd w:val="clear" w:color="auto" w:fill="FFFFFF" w:themeFill="background1"/>
        </w:rPr>
        <w:t>increase will continue during the third quarter of 7%</w:t>
      </w:r>
      <w:r w:rsidR="00913BFF">
        <w:rPr>
          <w:rFonts w:asciiTheme="majorBidi" w:hAnsiTheme="majorBidi" w:cstheme="majorBidi"/>
          <w:sz w:val="24"/>
          <w:szCs w:val="24"/>
          <w:shd w:val="clear" w:color="auto" w:fill="FFFFFF" w:themeFill="background1"/>
        </w:rPr>
        <w:t xml:space="preserve">. </w:t>
      </w:r>
      <w:r w:rsidR="00913BFF" w:rsidRPr="009A50BB">
        <w:rPr>
          <w:rFonts w:asciiTheme="majorBidi" w:hAnsiTheme="majorBidi" w:cstheme="majorBidi"/>
          <w:sz w:val="24"/>
          <w:szCs w:val="24"/>
          <w:shd w:val="clear" w:color="auto" w:fill="FFFFFF" w:themeFill="background1"/>
        </w:rPr>
        <w:t xml:space="preserve">It is also estimated that this recovery will continue </w:t>
      </w:r>
      <w:r w:rsidR="00913BFF">
        <w:rPr>
          <w:rFonts w:asciiTheme="majorBidi" w:hAnsiTheme="majorBidi" w:cstheme="majorBidi"/>
          <w:sz w:val="24"/>
          <w:szCs w:val="24"/>
          <w:shd w:val="clear" w:color="auto" w:fill="FFFFFF" w:themeFill="background1"/>
        </w:rPr>
        <w:t>through</w:t>
      </w:r>
      <w:r w:rsidR="00913BFF" w:rsidRPr="009A50BB">
        <w:rPr>
          <w:rFonts w:asciiTheme="majorBidi" w:hAnsiTheme="majorBidi" w:cstheme="majorBidi"/>
          <w:sz w:val="24"/>
          <w:szCs w:val="24"/>
          <w:shd w:val="clear" w:color="auto" w:fill="FFFFFF" w:themeFill="background1"/>
        </w:rPr>
        <w:t xml:space="preserve"> the fourth quarter of the same year</w:t>
      </w:r>
      <w:r w:rsidR="00913BFF">
        <w:rPr>
          <w:rFonts w:asciiTheme="majorBidi" w:hAnsiTheme="majorBidi" w:cstheme="majorBidi"/>
          <w:sz w:val="24"/>
          <w:szCs w:val="24"/>
          <w:shd w:val="clear" w:color="auto" w:fill="FFFFFF" w:themeFill="background1"/>
        </w:rPr>
        <w:t>.</w:t>
      </w:r>
      <w:r w:rsidR="00B87F86" w:rsidRPr="0087527C">
        <w:rPr>
          <w:rFonts w:asciiTheme="majorBidi" w:hAnsiTheme="majorBidi" w:cstheme="majorBidi"/>
          <w:sz w:val="24"/>
          <w:szCs w:val="24"/>
          <w:shd w:val="clear" w:color="auto" w:fill="FFFFFF" w:themeFill="background1"/>
        </w:rPr>
        <w:t xml:space="preserve"> </w:t>
      </w:r>
    </w:p>
    <w:p w:rsidR="0041119C" w:rsidRPr="0087527C" w:rsidRDefault="0041119C" w:rsidP="0041119C">
      <w:pPr>
        <w:pStyle w:val="Title"/>
        <w:bidi w:val="0"/>
        <w:spacing w:line="276" w:lineRule="auto"/>
        <w:jc w:val="both"/>
        <w:rPr>
          <w:rFonts w:asciiTheme="majorBidi" w:hAnsiTheme="majorBidi" w:cstheme="majorBidi"/>
          <w:b w:val="0"/>
          <w:bCs w:val="0"/>
          <w:sz w:val="14"/>
          <w:szCs w:val="14"/>
          <w:rtl/>
        </w:rPr>
      </w:pPr>
    </w:p>
    <w:p w:rsidR="00B87F86" w:rsidRPr="0087527C" w:rsidRDefault="0068712C" w:rsidP="00913BFF">
      <w:pPr>
        <w:pStyle w:val="HTMLPreformatted"/>
        <w:shd w:val="clear" w:color="auto" w:fill="FFFFFF" w:themeFill="background1"/>
        <w:spacing w:line="276" w:lineRule="auto"/>
        <w:jc w:val="lowKashida"/>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An</w:t>
      </w:r>
      <w:r w:rsidRPr="0087527C">
        <w:rPr>
          <w:rFonts w:asciiTheme="majorBidi" w:eastAsiaTheme="minorHAnsi" w:hAnsiTheme="majorBidi" w:cstheme="majorBidi"/>
          <w:b/>
          <w:bCs/>
          <w:sz w:val="24"/>
          <w:szCs w:val="24"/>
        </w:rPr>
        <w:t xml:space="preserve"> </w:t>
      </w:r>
      <w:r w:rsidR="00B87F86" w:rsidRPr="0087527C">
        <w:rPr>
          <w:rFonts w:asciiTheme="majorBidi" w:eastAsiaTheme="minorHAnsi" w:hAnsiTheme="majorBidi" w:cstheme="majorBidi"/>
          <w:b/>
          <w:bCs/>
          <w:sz w:val="24"/>
          <w:szCs w:val="24"/>
        </w:rPr>
        <w:t>increase in the value added of most economic activities</w:t>
      </w:r>
    </w:p>
    <w:p w:rsidR="00902140" w:rsidRDefault="00B87F86" w:rsidP="00213356">
      <w:pPr>
        <w:pStyle w:val="HTMLPreformatted"/>
        <w:shd w:val="clear" w:color="auto" w:fill="FFFFFF" w:themeFill="background1"/>
        <w:spacing w:line="276" w:lineRule="auto"/>
        <w:jc w:val="lowKashida"/>
        <w:rPr>
          <w:rFonts w:asciiTheme="majorBidi" w:eastAsiaTheme="minorHAnsi" w:hAnsiTheme="majorBidi" w:cstheme="majorBidi"/>
          <w:sz w:val="24"/>
          <w:szCs w:val="24"/>
        </w:rPr>
      </w:pPr>
      <w:r w:rsidRPr="0087527C">
        <w:rPr>
          <w:rFonts w:asciiTheme="majorBidi" w:eastAsiaTheme="minorHAnsi" w:hAnsiTheme="majorBidi" w:cstheme="majorBidi"/>
          <w:sz w:val="24"/>
          <w:szCs w:val="24"/>
        </w:rPr>
        <w:t>Most economic activities witnessed an increase in the</w:t>
      </w:r>
      <w:r w:rsidRPr="0087527C">
        <w:rPr>
          <w:rFonts w:asciiTheme="majorBidi" w:hAnsiTheme="majorBidi" w:cstheme="majorBidi"/>
          <w:sz w:val="24"/>
          <w:szCs w:val="24"/>
        </w:rPr>
        <w:t xml:space="preserve"> </w:t>
      </w:r>
      <w:r w:rsidRPr="0087527C">
        <w:rPr>
          <w:rFonts w:asciiTheme="majorBidi" w:eastAsiaTheme="minorHAnsi" w:hAnsiTheme="majorBidi" w:cstheme="majorBidi"/>
          <w:sz w:val="24"/>
          <w:szCs w:val="24"/>
        </w:rPr>
        <w:t xml:space="preserve">value added during the year 2021 compared to the year 2020. </w:t>
      </w:r>
      <w:r w:rsidR="00213356">
        <w:rPr>
          <w:rFonts w:asciiTheme="majorBidi" w:eastAsiaTheme="minorHAnsi" w:hAnsiTheme="majorBidi" w:cstheme="majorBidi"/>
          <w:sz w:val="24"/>
          <w:szCs w:val="24"/>
        </w:rPr>
        <w:t>Accordingly, the</w:t>
      </w:r>
      <w:r w:rsidR="0050585B" w:rsidRPr="0087527C">
        <w:rPr>
          <w:rFonts w:asciiTheme="majorBidi" w:eastAsiaTheme="minorHAnsi" w:hAnsiTheme="majorBidi" w:cstheme="majorBidi"/>
          <w:sz w:val="24"/>
          <w:szCs w:val="24"/>
        </w:rPr>
        <w:t xml:space="preserve"> </w:t>
      </w:r>
      <w:r w:rsidRPr="0087527C">
        <w:rPr>
          <w:rFonts w:asciiTheme="majorBidi" w:eastAsiaTheme="minorHAnsi" w:hAnsiTheme="majorBidi" w:cstheme="majorBidi"/>
          <w:sz w:val="24"/>
          <w:szCs w:val="24"/>
        </w:rPr>
        <w:t>construction activity recorded the highest growth value</w:t>
      </w:r>
      <w:r w:rsidRPr="0087527C">
        <w:rPr>
          <w:rFonts w:asciiTheme="majorBidi" w:hAnsiTheme="majorBidi" w:cstheme="majorBidi" w:hint="cs"/>
          <w:sz w:val="24"/>
          <w:szCs w:val="24"/>
          <w:rtl/>
        </w:rPr>
        <w:t xml:space="preserve"> </w:t>
      </w:r>
      <w:r w:rsidRPr="0087527C">
        <w:rPr>
          <w:rFonts w:asciiTheme="majorBidi" w:hAnsiTheme="majorBidi" w:cstheme="majorBidi"/>
          <w:sz w:val="24"/>
          <w:szCs w:val="24"/>
        </w:rPr>
        <w:t>add</w:t>
      </w:r>
      <w:r w:rsidR="0050585B">
        <w:rPr>
          <w:rFonts w:asciiTheme="majorBidi" w:eastAsiaTheme="minorHAnsi" w:hAnsiTheme="majorBidi" w:cstheme="majorBidi"/>
          <w:sz w:val="24"/>
          <w:szCs w:val="24"/>
        </w:rPr>
        <w:t>ed</w:t>
      </w:r>
      <w:r w:rsidRPr="0087527C">
        <w:rPr>
          <w:rFonts w:asciiTheme="majorBidi" w:eastAsiaTheme="minorHAnsi" w:hAnsiTheme="majorBidi" w:cstheme="majorBidi"/>
          <w:sz w:val="24"/>
          <w:szCs w:val="24"/>
        </w:rPr>
        <w:t xml:space="preserve"> by 8%, and the industry activity grew by 5.5%, </w:t>
      </w:r>
      <w:r w:rsidRPr="0087527C">
        <w:rPr>
          <w:rFonts w:asciiTheme="majorBidi" w:hAnsiTheme="majorBidi" w:cstheme="majorBidi"/>
          <w:sz w:val="24"/>
          <w:szCs w:val="24"/>
        </w:rPr>
        <w:t xml:space="preserve">followed </w:t>
      </w:r>
      <w:r w:rsidRPr="0087527C">
        <w:rPr>
          <w:rFonts w:asciiTheme="majorBidi" w:eastAsiaTheme="minorHAnsi" w:hAnsiTheme="majorBidi" w:cstheme="majorBidi"/>
          <w:sz w:val="24"/>
          <w:szCs w:val="24"/>
        </w:rPr>
        <w:t>the services</w:t>
      </w:r>
      <w:r w:rsidRPr="0087527C">
        <w:rPr>
          <w:rFonts w:asciiTheme="majorBidi" w:hAnsiTheme="majorBidi" w:cstheme="majorBidi"/>
          <w:sz w:val="24"/>
          <w:szCs w:val="24"/>
        </w:rPr>
        <w:t xml:space="preserve"> activity, which increased by 5</w:t>
      </w:r>
      <w:r w:rsidRPr="0087527C">
        <w:rPr>
          <w:rFonts w:asciiTheme="majorBidi" w:eastAsiaTheme="minorHAnsi" w:hAnsiTheme="majorBidi" w:cstheme="majorBidi"/>
          <w:sz w:val="24"/>
          <w:szCs w:val="24"/>
        </w:rPr>
        <w:t>% during 2021, while the agricultural activity witnessed a decrease of 3%.</w:t>
      </w:r>
    </w:p>
    <w:p w:rsidR="00797A25" w:rsidRDefault="00797A25" w:rsidP="00213356">
      <w:pPr>
        <w:pStyle w:val="HTMLPreformatted"/>
        <w:shd w:val="clear" w:color="auto" w:fill="FFFFFF" w:themeFill="background1"/>
        <w:spacing w:line="276" w:lineRule="auto"/>
        <w:jc w:val="lowKashida"/>
        <w:rPr>
          <w:rFonts w:asciiTheme="majorBidi" w:eastAsiaTheme="minorHAnsi" w:hAnsiTheme="majorBidi" w:cstheme="majorBidi"/>
          <w:sz w:val="24"/>
          <w:szCs w:val="24"/>
        </w:rPr>
      </w:pPr>
      <w:bookmarkStart w:id="0" w:name="_GoBack"/>
      <w:bookmarkEnd w:id="0"/>
    </w:p>
    <w:p w:rsidR="00902140" w:rsidRDefault="00902140" w:rsidP="00213356">
      <w:pPr>
        <w:pStyle w:val="HTMLPreformatted"/>
        <w:shd w:val="clear" w:color="auto" w:fill="FFFFFF" w:themeFill="background1"/>
        <w:spacing w:line="276" w:lineRule="auto"/>
        <w:jc w:val="lowKashida"/>
        <w:rPr>
          <w:rFonts w:asciiTheme="majorBidi" w:eastAsiaTheme="minorHAnsi" w:hAnsiTheme="majorBidi" w:cstheme="majorBidi"/>
          <w:b/>
          <w:bCs/>
          <w:sz w:val="24"/>
          <w:szCs w:val="24"/>
        </w:rPr>
      </w:pPr>
    </w:p>
    <w:p w:rsidR="00213356" w:rsidRPr="004A27F8" w:rsidRDefault="00213356" w:rsidP="00213356">
      <w:pPr>
        <w:pStyle w:val="HTMLPreformatted"/>
        <w:shd w:val="clear" w:color="auto" w:fill="FFFFFF" w:themeFill="background1"/>
        <w:spacing w:line="276" w:lineRule="auto"/>
        <w:jc w:val="lowKashida"/>
        <w:rPr>
          <w:rFonts w:asciiTheme="majorBidi" w:eastAsiaTheme="minorHAnsi" w:hAnsiTheme="majorBidi" w:cstheme="majorBidi"/>
          <w:b/>
          <w:bCs/>
          <w:sz w:val="24"/>
          <w:szCs w:val="24"/>
        </w:rPr>
      </w:pPr>
      <w:r w:rsidRPr="004A27F8">
        <w:rPr>
          <w:rFonts w:asciiTheme="majorBidi" w:eastAsiaTheme="minorHAnsi" w:hAnsiTheme="majorBidi" w:cstheme="majorBidi"/>
          <w:b/>
          <w:bCs/>
          <w:sz w:val="24"/>
          <w:szCs w:val="24"/>
        </w:rPr>
        <w:lastRenderedPageBreak/>
        <w:t xml:space="preserve">Increasing </w:t>
      </w:r>
      <w:proofErr w:type="gramStart"/>
      <w:r w:rsidRPr="004A27F8">
        <w:rPr>
          <w:rFonts w:asciiTheme="majorBidi" w:eastAsiaTheme="minorHAnsi" w:hAnsiTheme="majorBidi" w:cstheme="majorBidi"/>
          <w:b/>
          <w:bCs/>
          <w:sz w:val="24"/>
          <w:szCs w:val="24"/>
        </w:rPr>
        <w:t>the  levels</w:t>
      </w:r>
      <w:proofErr w:type="gramEnd"/>
      <w:r w:rsidRPr="004A27F8">
        <w:rPr>
          <w:rFonts w:asciiTheme="majorBidi" w:eastAsiaTheme="minorHAnsi" w:hAnsiTheme="majorBidi" w:cstheme="majorBidi"/>
          <w:b/>
          <w:bCs/>
          <w:sz w:val="24"/>
          <w:szCs w:val="24"/>
        </w:rPr>
        <w:t xml:space="preserve"> of domestic demand</w:t>
      </w:r>
    </w:p>
    <w:p w:rsidR="00213356" w:rsidRPr="0087527C" w:rsidRDefault="00213356" w:rsidP="00213356">
      <w:pPr>
        <w:pStyle w:val="HTMLPreformatted"/>
        <w:shd w:val="clear" w:color="auto" w:fill="FFFFFF" w:themeFill="background1"/>
        <w:spacing w:line="276" w:lineRule="auto"/>
        <w:jc w:val="lowKashida"/>
        <w:rPr>
          <w:rFonts w:asciiTheme="majorBidi" w:eastAsiaTheme="minorHAnsi" w:hAnsiTheme="majorBidi" w:cstheme="majorBidi"/>
          <w:sz w:val="24"/>
          <w:szCs w:val="24"/>
        </w:rPr>
      </w:pPr>
      <w:r w:rsidRPr="004A27F8">
        <w:rPr>
          <w:rFonts w:asciiTheme="majorBidi" w:eastAsiaTheme="minorHAnsi" w:hAnsiTheme="majorBidi" w:cstheme="majorBidi"/>
          <w:sz w:val="24"/>
          <w:szCs w:val="24"/>
        </w:rPr>
        <w:t>The levels of domestic aggregate demand during 2021 witnessed a remarkable improvement, as</w:t>
      </w:r>
      <w:r>
        <w:rPr>
          <w:rFonts w:asciiTheme="majorBidi" w:eastAsiaTheme="minorHAnsi" w:hAnsiTheme="majorBidi" w:cstheme="majorBidi"/>
          <w:sz w:val="24"/>
          <w:szCs w:val="24"/>
        </w:rPr>
        <w:t xml:space="preserve"> the</w:t>
      </w:r>
      <w:r w:rsidRPr="004A27F8">
        <w:rPr>
          <w:rFonts w:asciiTheme="majorBidi" w:eastAsiaTheme="minorHAnsi" w:hAnsiTheme="majorBidi" w:cstheme="majorBidi"/>
          <w:sz w:val="24"/>
          <w:szCs w:val="24"/>
        </w:rPr>
        <w:t xml:space="preserve"> aggregate consumption in Palestine, in both public and private </w:t>
      </w:r>
      <w:r>
        <w:rPr>
          <w:rFonts w:asciiTheme="majorBidi" w:eastAsiaTheme="minorHAnsi" w:hAnsiTheme="majorBidi" w:cstheme="majorBidi"/>
          <w:sz w:val="24"/>
          <w:szCs w:val="24"/>
        </w:rPr>
        <w:t>sectors</w:t>
      </w:r>
      <w:r w:rsidRPr="004A27F8">
        <w:rPr>
          <w:rFonts w:asciiTheme="majorBidi" w:eastAsiaTheme="minorHAnsi" w:hAnsiTheme="majorBidi" w:cstheme="majorBidi"/>
          <w:sz w:val="24"/>
          <w:szCs w:val="24"/>
        </w:rPr>
        <w:t>, increased by 5.5%, and aggregate investment by 12.5% compared to the previous year.</w:t>
      </w:r>
    </w:p>
    <w:p w:rsidR="00213356" w:rsidRPr="0087527C" w:rsidRDefault="00213356" w:rsidP="00213356">
      <w:pPr>
        <w:pStyle w:val="HTMLPreformatted"/>
        <w:shd w:val="clear" w:color="auto" w:fill="FFFFFF" w:themeFill="background1"/>
        <w:spacing w:line="276" w:lineRule="auto"/>
        <w:jc w:val="lowKashida"/>
        <w:rPr>
          <w:rFonts w:asciiTheme="majorBidi" w:eastAsiaTheme="minorHAnsi" w:hAnsiTheme="majorBidi" w:cstheme="majorBidi"/>
          <w:sz w:val="24"/>
          <w:szCs w:val="24"/>
        </w:rPr>
      </w:pPr>
    </w:p>
    <w:p w:rsidR="00213356" w:rsidRPr="0087527C" w:rsidRDefault="00213356" w:rsidP="00213356">
      <w:pPr>
        <w:pStyle w:val="HTMLPreformatted"/>
        <w:shd w:val="clear" w:color="auto" w:fill="FFFFFF" w:themeFill="background1"/>
        <w:spacing w:line="276" w:lineRule="auto"/>
        <w:jc w:val="lowKashida"/>
        <w:rPr>
          <w:rFonts w:asciiTheme="majorBidi" w:eastAsiaTheme="minorHAnsi" w:hAnsiTheme="majorBidi" w:cstheme="majorBidi"/>
          <w:sz w:val="24"/>
          <w:szCs w:val="24"/>
        </w:rPr>
      </w:pPr>
    </w:p>
    <w:p w:rsidR="00600283" w:rsidRPr="0087527C" w:rsidRDefault="00600283" w:rsidP="00600283">
      <w:pPr>
        <w:pStyle w:val="HTMLPreformatted"/>
        <w:shd w:val="clear" w:color="auto" w:fill="FFFFFF" w:themeFill="background1"/>
        <w:spacing w:line="276" w:lineRule="auto"/>
        <w:jc w:val="lowKashida"/>
        <w:rPr>
          <w:rFonts w:asciiTheme="majorBidi" w:eastAsiaTheme="minorHAnsi" w:hAnsiTheme="majorBidi" w:cstheme="majorBidi"/>
          <w:sz w:val="24"/>
          <w:szCs w:val="24"/>
        </w:rPr>
      </w:pPr>
    </w:p>
    <w:p w:rsidR="00600283" w:rsidRPr="0087527C" w:rsidRDefault="00600283" w:rsidP="006002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owKashida"/>
        <w:rPr>
          <w:rFonts w:asciiTheme="majorBidi" w:hAnsiTheme="majorBidi" w:cstheme="majorBidi"/>
          <w:b/>
          <w:bCs/>
        </w:rPr>
      </w:pPr>
      <w:r w:rsidRPr="0087527C">
        <w:rPr>
          <w:rFonts w:asciiTheme="majorBidi" w:hAnsiTheme="majorBidi" w:cstheme="majorBidi"/>
          <w:b/>
          <w:bCs/>
        </w:rPr>
        <w:t>A rise in the trade balance deficit, an increase in the volume of trade exchange with the outside world, and a rise in imports and exports to and from Palestine.</w:t>
      </w:r>
    </w:p>
    <w:p w:rsidR="00600283" w:rsidRPr="0087527C" w:rsidRDefault="00600283" w:rsidP="00E5534D">
      <w:pPr>
        <w:pStyle w:val="HTMLPreformatted"/>
        <w:shd w:val="clear" w:color="auto" w:fill="FFFFFF" w:themeFill="background1"/>
        <w:spacing w:line="276" w:lineRule="auto"/>
        <w:jc w:val="lowKashida"/>
        <w:rPr>
          <w:rFonts w:asciiTheme="majorBidi" w:eastAsiaTheme="minorHAnsi" w:hAnsiTheme="majorBidi" w:cstheme="majorBidi"/>
          <w:sz w:val="24"/>
          <w:szCs w:val="24"/>
        </w:rPr>
      </w:pPr>
      <w:r w:rsidRPr="0087527C">
        <w:rPr>
          <w:rFonts w:asciiTheme="majorBidi" w:eastAsiaTheme="minorHAnsi" w:hAnsiTheme="majorBidi" w:cstheme="majorBidi"/>
          <w:sz w:val="24"/>
          <w:szCs w:val="24"/>
        </w:rPr>
        <w:t>In terms of the foreign trade movement in Palestine, which is represented in total exports and imports</w:t>
      </w:r>
      <w:r w:rsidR="0050585B">
        <w:rPr>
          <w:rFonts w:asciiTheme="majorBidi" w:eastAsiaTheme="minorHAnsi" w:hAnsiTheme="majorBidi" w:cstheme="majorBidi"/>
          <w:sz w:val="24"/>
          <w:szCs w:val="24"/>
        </w:rPr>
        <w:t>,</w:t>
      </w:r>
      <w:r w:rsidR="0050585B" w:rsidRPr="0087527C">
        <w:rPr>
          <w:rFonts w:asciiTheme="majorBidi" w:eastAsiaTheme="minorHAnsi" w:hAnsiTheme="majorBidi" w:cstheme="majorBidi"/>
          <w:sz w:val="24"/>
          <w:szCs w:val="24"/>
        </w:rPr>
        <w:t xml:space="preserve"> </w:t>
      </w:r>
      <w:r w:rsidR="00655BCB">
        <w:rPr>
          <w:rFonts w:asciiTheme="majorBidi" w:eastAsiaTheme="minorHAnsi" w:hAnsiTheme="majorBidi" w:cstheme="majorBidi"/>
          <w:sz w:val="24"/>
          <w:szCs w:val="24"/>
        </w:rPr>
        <w:t xml:space="preserve">the </w:t>
      </w:r>
      <w:r w:rsidR="0050585B">
        <w:rPr>
          <w:rFonts w:asciiTheme="majorBidi" w:eastAsiaTheme="minorHAnsi" w:hAnsiTheme="majorBidi" w:cstheme="majorBidi"/>
          <w:sz w:val="24"/>
          <w:szCs w:val="24"/>
        </w:rPr>
        <w:t>i</w:t>
      </w:r>
      <w:r w:rsidR="0050585B" w:rsidRPr="0087527C">
        <w:rPr>
          <w:rFonts w:asciiTheme="majorBidi" w:eastAsiaTheme="minorHAnsi" w:hAnsiTheme="majorBidi" w:cstheme="majorBidi"/>
          <w:sz w:val="24"/>
          <w:szCs w:val="24"/>
        </w:rPr>
        <w:t xml:space="preserve">nitial </w:t>
      </w:r>
      <w:r w:rsidRPr="0087527C">
        <w:rPr>
          <w:rFonts w:asciiTheme="majorBidi" w:eastAsiaTheme="minorHAnsi" w:hAnsiTheme="majorBidi" w:cstheme="majorBidi"/>
          <w:sz w:val="24"/>
          <w:szCs w:val="24"/>
        </w:rPr>
        <w:t>estimates indicated an increase in the value of exports by 13% compared to 2020. The value of imports increased by 11% during the same period, which led to a rise in the trade balance deficit by 10% compared to the previous year.</w:t>
      </w:r>
    </w:p>
    <w:p w:rsidR="00600283" w:rsidRPr="0087527C" w:rsidRDefault="00600283" w:rsidP="00600283">
      <w:pPr>
        <w:pStyle w:val="HTMLPreformatted"/>
        <w:shd w:val="clear" w:color="auto" w:fill="FFFFFF" w:themeFill="background1"/>
        <w:spacing w:line="276" w:lineRule="auto"/>
        <w:jc w:val="lowKashida"/>
        <w:rPr>
          <w:rFonts w:asciiTheme="majorBidi" w:eastAsiaTheme="minorHAnsi" w:hAnsiTheme="majorBidi" w:cstheme="majorBidi"/>
          <w:b/>
          <w:bCs/>
          <w:sz w:val="24"/>
          <w:szCs w:val="24"/>
        </w:rPr>
      </w:pPr>
    </w:p>
    <w:p w:rsidR="00600283" w:rsidRPr="0087527C" w:rsidRDefault="00600283" w:rsidP="00E5534D">
      <w:pPr>
        <w:bidi w:val="0"/>
        <w:jc w:val="both"/>
        <w:rPr>
          <w:rFonts w:asciiTheme="majorBidi" w:hAnsiTheme="majorBidi" w:cstheme="majorBidi"/>
          <w:b/>
          <w:bCs/>
        </w:rPr>
      </w:pPr>
      <w:r w:rsidRPr="0087527C">
        <w:rPr>
          <w:rFonts w:asciiTheme="majorBidi" w:hAnsiTheme="majorBidi" w:cstheme="majorBidi"/>
          <w:b/>
          <w:bCs/>
        </w:rPr>
        <w:t xml:space="preserve">An increase of consumer </w:t>
      </w:r>
      <w:r w:rsidR="00E5534D">
        <w:rPr>
          <w:rFonts w:asciiTheme="majorBidi" w:hAnsiTheme="majorBidi" w:cstheme="majorBidi"/>
          <w:b/>
          <w:bCs/>
        </w:rPr>
        <w:t>p</w:t>
      </w:r>
      <w:r w:rsidR="00E5534D" w:rsidRPr="0087527C">
        <w:rPr>
          <w:rFonts w:asciiTheme="majorBidi" w:hAnsiTheme="majorBidi" w:cstheme="majorBidi"/>
          <w:b/>
          <w:bCs/>
        </w:rPr>
        <w:t xml:space="preserve">rices </w:t>
      </w:r>
      <w:r w:rsidRPr="0087527C">
        <w:rPr>
          <w:rFonts w:asciiTheme="majorBidi" w:hAnsiTheme="majorBidi" w:cstheme="majorBidi"/>
          <w:b/>
          <w:bCs/>
        </w:rPr>
        <w:t>during the year 2021</w:t>
      </w:r>
    </w:p>
    <w:p w:rsidR="00600283" w:rsidRPr="0087527C" w:rsidRDefault="00E5534D" w:rsidP="001838A7">
      <w:pPr>
        <w:pStyle w:val="Title"/>
        <w:bidi w:val="0"/>
        <w:spacing w:line="276" w:lineRule="auto"/>
        <w:jc w:val="both"/>
        <w:rPr>
          <w:rFonts w:asciiTheme="majorBidi" w:hAnsiTheme="majorBidi" w:cstheme="majorBidi"/>
          <w:b w:val="0"/>
          <w:bCs w:val="0"/>
        </w:rPr>
      </w:pPr>
      <w:r>
        <w:rPr>
          <w:rFonts w:asciiTheme="majorBidi" w:hAnsiTheme="majorBidi" w:cstheme="majorBidi"/>
          <w:b w:val="0"/>
          <w:bCs w:val="0"/>
        </w:rPr>
        <w:t>According to</w:t>
      </w:r>
      <w:r w:rsidRPr="0087527C">
        <w:rPr>
          <w:rFonts w:asciiTheme="majorBidi" w:hAnsiTheme="majorBidi" w:cstheme="majorBidi"/>
          <w:b w:val="0"/>
          <w:bCs w:val="0"/>
        </w:rPr>
        <w:t xml:space="preserve"> </w:t>
      </w:r>
      <w:r w:rsidR="00600283" w:rsidRPr="0087527C">
        <w:rPr>
          <w:rFonts w:asciiTheme="majorBidi" w:hAnsiTheme="majorBidi" w:cstheme="majorBidi"/>
          <w:b w:val="0"/>
          <w:bCs w:val="0"/>
        </w:rPr>
        <w:t>preliminary estimates, and as a result of the increase</w:t>
      </w:r>
      <w:r>
        <w:rPr>
          <w:rFonts w:asciiTheme="majorBidi" w:hAnsiTheme="majorBidi" w:cstheme="majorBidi"/>
          <w:b w:val="0"/>
          <w:bCs w:val="0"/>
        </w:rPr>
        <w:t xml:space="preserve"> of</w:t>
      </w:r>
      <w:r w:rsidR="00600283" w:rsidRPr="0087527C">
        <w:rPr>
          <w:rFonts w:asciiTheme="majorBidi" w:hAnsiTheme="majorBidi" w:cstheme="majorBidi"/>
          <w:b w:val="0"/>
          <w:bCs w:val="0"/>
        </w:rPr>
        <w:t xml:space="preserve"> the prices of raw materials and shipping, the average of overall consumer prices index in Palestine recorded an increase of 1.2% during 2021 compared with 2020.</w:t>
      </w:r>
    </w:p>
    <w:p w:rsidR="00600283" w:rsidRPr="0087527C" w:rsidRDefault="00600283" w:rsidP="00600283">
      <w:pPr>
        <w:pStyle w:val="Title"/>
        <w:bidi w:val="0"/>
        <w:spacing w:line="276" w:lineRule="auto"/>
        <w:jc w:val="both"/>
        <w:rPr>
          <w:rFonts w:asciiTheme="majorBidi" w:hAnsiTheme="majorBidi" w:cstheme="majorBidi"/>
          <w:b w:val="0"/>
          <w:bCs w:val="0"/>
        </w:rPr>
      </w:pPr>
    </w:p>
    <w:p w:rsidR="00600283" w:rsidRPr="0087527C" w:rsidRDefault="00600283" w:rsidP="001838A7">
      <w:pPr>
        <w:pStyle w:val="Normal1"/>
        <w:bidi/>
        <w:spacing w:before="120" w:line="240" w:lineRule="atLeast"/>
        <w:jc w:val="center"/>
        <w:rPr>
          <w:rFonts w:asciiTheme="majorBidi" w:eastAsiaTheme="minorHAnsi" w:hAnsiTheme="majorBidi" w:cstheme="majorBidi"/>
          <w:b/>
          <w:bCs/>
          <w:color w:val="auto"/>
          <w:sz w:val="24"/>
          <w:szCs w:val="24"/>
          <w:rtl/>
        </w:rPr>
      </w:pPr>
      <w:r w:rsidRPr="0087527C">
        <w:rPr>
          <w:rFonts w:asciiTheme="majorBidi" w:eastAsiaTheme="minorHAnsi" w:hAnsiTheme="majorBidi" w:cstheme="majorBidi"/>
          <w:b/>
          <w:bCs/>
          <w:color w:val="auto"/>
          <w:sz w:val="24"/>
          <w:szCs w:val="24"/>
        </w:rPr>
        <w:t>Expectations of a slowdown in the growth of the Palestinian economy during 2022</w:t>
      </w:r>
    </w:p>
    <w:p w:rsidR="00C114F5" w:rsidRPr="0087527C" w:rsidRDefault="00C114F5" w:rsidP="00C114F5">
      <w:pPr>
        <w:pStyle w:val="Normal1"/>
        <w:spacing w:before="120" w:after="120" w:line="240" w:lineRule="auto"/>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t>Palestine Monetary Authority (PMA) and the Palestinian Central Bureau of Statistics (PCBS) also issued two reports on the economic forecasts for 2022 that are now available on PCBS and PMA websites. Accordingly, those reports forecasted the main indicators of the Palestinian economy for 2022</w:t>
      </w:r>
      <w:r>
        <w:rPr>
          <w:rFonts w:asciiTheme="majorBidi" w:eastAsiaTheme="minorHAnsi" w:hAnsiTheme="majorBidi" w:cstheme="majorBidi"/>
          <w:color w:val="auto"/>
          <w:sz w:val="24"/>
          <w:szCs w:val="24"/>
        </w:rPr>
        <w:t>. T</w:t>
      </w:r>
      <w:r w:rsidRPr="0087527C">
        <w:rPr>
          <w:rFonts w:asciiTheme="majorBidi" w:eastAsiaTheme="minorHAnsi" w:hAnsiTheme="majorBidi" w:cstheme="majorBidi"/>
          <w:color w:val="auto"/>
          <w:sz w:val="24"/>
          <w:szCs w:val="24"/>
        </w:rPr>
        <w:t xml:space="preserve">he results of this scenario were reached </w:t>
      </w:r>
      <w:r>
        <w:rPr>
          <w:rFonts w:asciiTheme="majorBidi" w:eastAsiaTheme="minorHAnsi" w:hAnsiTheme="majorBidi" w:cstheme="majorBidi"/>
          <w:color w:val="auto"/>
          <w:sz w:val="24"/>
          <w:szCs w:val="24"/>
        </w:rPr>
        <w:t xml:space="preserve">by </w:t>
      </w:r>
      <w:r w:rsidRPr="0087527C">
        <w:rPr>
          <w:rFonts w:asciiTheme="majorBidi" w:eastAsiaTheme="minorHAnsi" w:hAnsiTheme="majorBidi" w:cstheme="majorBidi"/>
          <w:color w:val="auto"/>
          <w:sz w:val="24"/>
          <w:szCs w:val="24"/>
        </w:rPr>
        <w:t xml:space="preserve">assuming the continuation of the gradual return of </w:t>
      </w:r>
      <w:r>
        <w:rPr>
          <w:rFonts w:asciiTheme="majorBidi" w:eastAsiaTheme="minorHAnsi" w:hAnsiTheme="majorBidi" w:cstheme="majorBidi"/>
          <w:color w:val="auto"/>
          <w:sz w:val="24"/>
          <w:szCs w:val="24"/>
        </w:rPr>
        <w:t xml:space="preserve">the </w:t>
      </w:r>
      <w:r w:rsidRPr="0087527C">
        <w:rPr>
          <w:rFonts w:asciiTheme="majorBidi" w:eastAsiaTheme="minorHAnsi" w:hAnsiTheme="majorBidi" w:cstheme="majorBidi"/>
          <w:color w:val="auto"/>
          <w:sz w:val="24"/>
          <w:szCs w:val="24"/>
        </w:rPr>
        <w:t xml:space="preserve">Palestinian economic activity to its level prior the health crisis of COVID- 19 pandemic, </w:t>
      </w:r>
      <w:r>
        <w:rPr>
          <w:rFonts w:asciiTheme="majorBidi" w:eastAsiaTheme="minorHAnsi" w:hAnsiTheme="majorBidi" w:cstheme="majorBidi"/>
          <w:color w:val="auto"/>
          <w:sz w:val="24"/>
          <w:szCs w:val="24"/>
        </w:rPr>
        <w:t>in light of</w:t>
      </w:r>
      <w:r w:rsidRPr="0087527C">
        <w:rPr>
          <w:rFonts w:asciiTheme="majorBidi" w:eastAsiaTheme="minorHAnsi" w:hAnsiTheme="majorBidi" w:cstheme="majorBidi"/>
          <w:color w:val="auto"/>
          <w:sz w:val="24"/>
          <w:szCs w:val="24"/>
        </w:rPr>
        <w:t xml:space="preserve"> the expectation that the</w:t>
      </w:r>
      <w:r>
        <w:rPr>
          <w:rFonts w:asciiTheme="majorBidi" w:eastAsiaTheme="minorHAnsi" w:hAnsiTheme="majorBidi" w:cstheme="majorBidi"/>
          <w:color w:val="auto"/>
          <w:sz w:val="24"/>
          <w:szCs w:val="24"/>
        </w:rPr>
        <w:t xml:space="preserve"> health</w:t>
      </w:r>
      <w:r w:rsidRPr="0087527C">
        <w:rPr>
          <w:rFonts w:asciiTheme="majorBidi" w:eastAsiaTheme="minorHAnsi" w:hAnsiTheme="majorBidi" w:cstheme="majorBidi"/>
          <w:color w:val="auto"/>
          <w:sz w:val="24"/>
          <w:szCs w:val="24"/>
        </w:rPr>
        <w:t xml:space="preserve"> situation will continue to stabilize. </w:t>
      </w:r>
      <w:r>
        <w:rPr>
          <w:rFonts w:asciiTheme="majorBidi" w:eastAsiaTheme="minorHAnsi" w:hAnsiTheme="majorBidi" w:cstheme="majorBidi"/>
          <w:color w:val="auto"/>
          <w:sz w:val="24"/>
          <w:szCs w:val="24"/>
        </w:rPr>
        <w:t xml:space="preserve">In addition, </w:t>
      </w:r>
      <w:r w:rsidRPr="0087527C">
        <w:rPr>
          <w:rFonts w:asciiTheme="majorBidi" w:eastAsiaTheme="minorHAnsi" w:hAnsiTheme="majorBidi" w:cstheme="majorBidi"/>
          <w:color w:val="auto"/>
          <w:sz w:val="24"/>
          <w:szCs w:val="24"/>
        </w:rPr>
        <w:t>there would be no serious change</w:t>
      </w:r>
      <w:r>
        <w:rPr>
          <w:rFonts w:asciiTheme="majorBidi" w:eastAsiaTheme="minorHAnsi" w:hAnsiTheme="majorBidi" w:cstheme="majorBidi"/>
          <w:color w:val="auto"/>
          <w:sz w:val="24"/>
          <w:szCs w:val="24"/>
        </w:rPr>
        <w:t>s</w:t>
      </w:r>
      <w:r w:rsidRPr="0087527C">
        <w:rPr>
          <w:rFonts w:asciiTheme="majorBidi" w:eastAsiaTheme="minorHAnsi" w:hAnsiTheme="majorBidi" w:cstheme="majorBidi"/>
          <w:color w:val="auto"/>
          <w:sz w:val="24"/>
          <w:szCs w:val="24"/>
        </w:rPr>
        <w:t xml:space="preserve"> </w:t>
      </w:r>
      <w:r>
        <w:rPr>
          <w:rFonts w:asciiTheme="majorBidi" w:eastAsiaTheme="minorHAnsi" w:hAnsiTheme="majorBidi" w:cstheme="majorBidi"/>
          <w:color w:val="auto"/>
          <w:sz w:val="24"/>
          <w:szCs w:val="24"/>
        </w:rPr>
        <w:t>on</w:t>
      </w:r>
      <w:r w:rsidRPr="0087527C">
        <w:rPr>
          <w:rFonts w:asciiTheme="majorBidi" w:eastAsiaTheme="minorHAnsi" w:hAnsiTheme="majorBidi" w:cstheme="majorBidi"/>
          <w:color w:val="auto"/>
          <w:sz w:val="24"/>
          <w:szCs w:val="24"/>
        </w:rPr>
        <w:t xml:space="preserve"> the existing political situation with the Israeli side, and the assumption that the financial situation of the Palestinian government would continue to be difficult </w:t>
      </w:r>
      <w:r>
        <w:rPr>
          <w:rFonts w:asciiTheme="majorBidi" w:eastAsiaTheme="minorHAnsi" w:hAnsiTheme="majorBidi" w:cstheme="majorBidi"/>
          <w:color w:val="auto"/>
          <w:sz w:val="24"/>
          <w:szCs w:val="24"/>
        </w:rPr>
        <w:t>in light</w:t>
      </w:r>
      <w:r w:rsidRPr="0087527C">
        <w:rPr>
          <w:rFonts w:asciiTheme="majorBidi" w:eastAsiaTheme="minorHAnsi" w:hAnsiTheme="majorBidi" w:cstheme="majorBidi"/>
          <w:color w:val="auto"/>
          <w:sz w:val="24"/>
          <w:szCs w:val="24"/>
        </w:rPr>
        <w:t xml:space="preserve"> of the continued deduction o</w:t>
      </w:r>
      <w:r>
        <w:rPr>
          <w:rFonts w:asciiTheme="majorBidi" w:eastAsiaTheme="minorHAnsi" w:hAnsiTheme="majorBidi" w:cstheme="majorBidi"/>
          <w:color w:val="auto"/>
          <w:sz w:val="24"/>
          <w:szCs w:val="24"/>
        </w:rPr>
        <w:t xml:space="preserve">f additional </w:t>
      </w:r>
      <w:r w:rsidRPr="0087527C">
        <w:rPr>
          <w:rFonts w:asciiTheme="majorBidi" w:eastAsiaTheme="minorHAnsi" w:hAnsiTheme="majorBidi" w:cstheme="majorBidi"/>
          <w:color w:val="auto"/>
          <w:sz w:val="24"/>
          <w:szCs w:val="24"/>
        </w:rPr>
        <w:t>part of the clearance revenues by the Israeli side, as well as the continued abstention of some donor countries from providing aid and grants. This situation has been reflected in the main assumptions used in constructing the forecasts.</w:t>
      </w:r>
    </w:p>
    <w:p w:rsidR="00C23A0F" w:rsidRPr="0087527C" w:rsidRDefault="00524EF5" w:rsidP="00B21C51">
      <w:pPr>
        <w:pStyle w:val="Normal1"/>
        <w:numPr>
          <w:ilvl w:val="0"/>
          <w:numId w:val="44"/>
        </w:numPr>
        <w:spacing w:before="120" w:after="120"/>
        <w:jc w:val="both"/>
        <w:rPr>
          <w:rFonts w:asciiTheme="majorBidi" w:eastAsiaTheme="minorHAnsi" w:hAnsiTheme="majorBidi" w:cstheme="majorBidi"/>
          <w:color w:val="auto"/>
          <w:sz w:val="24"/>
          <w:szCs w:val="24"/>
        </w:rPr>
      </w:pPr>
      <w:r>
        <w:rPr>
          <w:rFonts w:asciiTheme="majorBidi" w:eastAsiaTheme="minorHAnsi" w:hAnsiTheme="majorBidi" w:cstheme="majorBidi"/>
          <w:color w:val="auto"/>
          <w:sz w:val="24"/>
          <w:szCs w:val="24"/>
        </w:rPr>
        <w:t xml:space="preserve">At the </w:t>
      </w:r>
      <w:r w:rsidR="00C23A0F" w:rsidRPr="0087527C">
        <w:rPr>
          <w:rFonts w:asciiTheme="majorBidi" w:eastAsiaTheme="minorHAnsi" w:hAnsiTheme="majorBidi" w:cstheme="majorBidi"/>
          <w:color w:val="auto"/>
          <w:sz w:val="24"/>
          <w:szCs w:val="24"/>
        </w:rPr>
        <w:t xml:space="preserve">Real Sector, it was assumed that some indicators that affect the levels of aggregate consumption and investment will continue to improve, in light of the </w:t>
      </w:r>
      <w:r>
        <w:rPr>
          <w:rFonts w:asciiTheme="majorBidi" w:eastAsiaTheme="minorHAnsi" w:hAnsiTheme="majorBidi" w:cstheme="majorBidi"/>
          <w:color w:val="auto"/>
          <w:sz w:val="24"/>
          <w:szCs w:val="24"/>
        </w:rPr>
        <w:t>cession</w:t>
      </w:r>
      <w:r w:rsidRPr="0087527C">
        <w:rPr>
          <w:rFonts w:asciiTheme="majorBidi" w:eastAsiaTheme="minorHAnsi" w:hAnsiTheme="majorBidi" w:cstheme="majorBidi"/>
          <w:color w:val="auto"/>
          <w:sz w:val="24"/>
          <w:szCs w:val="24"/>
        </w:rPr>
        <w:t xml:space="preserve"> </w:t>
      </w:r>
      <w:r w:rsidR="00C23A0F" w:rsidRPr="0087527C">
        <w:rPr>
          <w:rFonts w:asciiTheme="majorBidi" w:eastAsiaTheme="minorHAnsi" w:hAnsiTheme="majorBidi" w:cstheme="majorBidi"/>
          <w:color w:val="auto"/>
          <w:sz w:val="24"/>
          <w:szCs w:val="24"/>
        </w:rPr>
        <w:t xml:space="preserve">of the uncertainty associated with the </w:t>
      </w:r>
      <w:r>
        <w:rPr>
          <w:rFonts w:asciiTheme="majorBidi" w:eastAsiaTheme="minorHAnsi" w:hAnsiTheme="majorBidi" w:cstheme="majorBidi"/>
          <w:color w:val="auto"/>
          <w:sz w:val="24"/>
          <w:szCs w:val="24"/>
        </w:rPr>
        <w:t>COVID</w:t>
      </w:r>
      <w:r w:rsidR="00B21C51">
        <w:rPr>
          <w:rFonts w:asciiTheme="majorBidi" w:eastAsiaTheme="minorHAnsi" w:hAnsiTheme="majorBidi" w:cstheme="majorBidi" w:hint="cs"/>
          <w:color w:val="auto"/>
          <w:sz w:val="24"/>
          <w:szCs w:val="24"/>
          <w:rtl/>
        </w:rPr>
        <w:t>-</w:t>
      </w:r>
      <w:r>
        <w:rPr>
          <w:rFonts w:asciiTheme="majorBidi" w:eastAsiaTheme="minorHAnsi" w:hAnsiTheme="majorBidi" w:cstheme="majorBidi"/>
          <w:color w:val="auto"/>
          <w:sz w:val="24"/>
          <w:szCs w:val="24"/>
        </w:rPr>
        <w:t>19</w:t>
      </w:r>
      <w:r w:rsidRPr="0087527C">
        <w:rPr>
          <w:rFonts w:asciiTheme="majorBidi" w:eastAsiaTheme="minorHAnsi" w:hAnsiTheme="majorBidi" w:cstheme="majorBidi"/>
          <w:color w:val="auto"/>
          <w:sz w:val="24"/>
          <w:szCs w:val="24"/>
        </w:rPr>
        <w:t xml:space="preserve"> </w:t>
      </w:r>
      <w:r w:rsidR="00C23A0F" w:rsidRPr="0087527C">
        <w:rPr>
          <w:rFonts w:asciiTheme="majorBidi" w:eastAsiaTheme="minorHAnsi" w:hAnsiTheme="majorBidi" w:cstheme="majorBidi"/>
          <w:color w:val="auto"/>
          <w:sz w:val="24"/>
          <w:szCs w:val="24"/>
        </w:rPr>
        <w:t>pandemic.</w:t>
      </w:r>
    </w:p>
    <w:p w:rsidR="00EC6647" w:rsidRPr="0087527C" w:rsidRDefault="00EC6647" w:rsidP="00C114F5">
      <w:pPr>
        <w:pStyle w:val="Normal1"/>
        <w:numPr>
          <w:ilvl w:val="0"/>
          <w:numId w:val="44"/>
        </w:numPr>
        <w:spacing w:before="120" w:after="120"/>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t xml:space="preserve">Regarding the fiscal sector, it was assumed that the financial situation of the Palestinian government will continue to be difficult </w:t>
      </w:r>
      <w:r w:rsidR="00F25A0C">
        <w:rPr>
          <w:rFonts w:asciiTheme="majorBidi" w:eastAsiaTheme="minorHAnsi" w:hAnsiTheme="majorBidi" w:cstheme="majorBidi"/>
          <w:color w:val="auto"/>
          <w:sz w:val="24"/>
          <w:szCs w:val="24"/>
        </w:rPr>
        <w:t>in light</w:t>
      </w:r>
      <w:r w:rsidRPr="0087527C">
        <w:rPr>
          <w:rFonts w:asciiTheme="majorBidi" w:eastAsiaTheme="minorHAnsi" w:hAnsiTheme="majorBidi" w:cstheme="majorBidi"/>
          <w:color w:val="auto"/>
          <w:sz w:val="24"/>
          <w:szCs w:val="24"/>
        </w:rPr>
        <w:t xml:space="preserve"> of the continued deduction of a</w:t>
      </w:r>
      <w:r w:rsidR="00C114F5">
        <w:rPr>
          <w:rFonts w:asciiTheme="majorBidi" w:eastAsiaTheme="minorHAnsi" w:hAnsiTheme="majorBidi" w:cstheme="majorBidi"/>
          <w:color w:val="auto"/>
          <w:sz w:val="24"/>
          <w:szCs w:val="24"/>
        </w:rPr>
        <w:t>n additional</w:t>
      </w:r>
      <w:r w:rsidRPr="0087527C">
        <w:rPr>
          <w:rFonts w:asciiTheme="majorBidi" w:eastAsiaTheme="minorHAnsi" w:hAnsiTheme="majorBidi" w:cstheme="majorBidi"/>
          <w:color w:val="auto"/>
          <w:sz w:val="24"/>
          <w:szCs w:val="24"/>
        </w:rPr>
        <w:t xml:space="preserve"> part of the clearance </w:t>
      </w:r>
      <w:r w:rsidR="00025CF2" w:rsidRPr="0087527C">
        <w:rPr>
          <w:rFonts w:asciiTheme="majorBidi" w:eastAsiaTheme="minorHAnsi" w:hAnsiTheme="majorBidi" w:cstheme="majorBidi"/>
          <w:color w:val="auto"/>
          <w:sz w:val="24"/>
          <w:szCs w:val="24"/>
        </w:rPr>
        <w:t>revenues</w:t>
      </w:r>
      <w:r w:rsidRPr="0087527C">
        <w:rPr>
          <w:rFonts w:asciiTheme="majorBidi" w:eastAsiaTheme="minorHAnsi" w:hAnsiTheme="majorBidi" w:cstheme="majorBidi"/>
          <w:color w:val="auto"/>
          <w:sz w:val="24"/>
          <w:szCs w:val="24"/>
        </w:rPr>
        <w:t xml:space="preserve"> by the Israeli side and the continued abstention of some donor countries from providing aid and grants.</w:t>
      </w:r>
    </w:p>
    <w:p w:rsidR="00025CF2" w:rsidRPr="0087527C" w:rsidRDefault="00025CF2" w:rsidP="00F25A0C">
      <w:pPr>
        <w:pStyle w:val="Normal1"/>
        <w:numPr>
          <w:ilvl w:val="0"/>
          <w:numId w:val="44"/>
        </w:numPr>
        <w:spacing w:before="120" w:after="120"/>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t>As for the external sector, the Israeli side continues to impose restrictions on the movement of individuals and internal trade, and the persistence of obstacles to import and export movement in the West Bank and Gaza Strip.</w:t>
      </w:r>
    </w:p>
    <w:p w:rsidR="00025CF2" w:rsidRPr="0087527C" w:rsidRDefault="00025CF2" w:rsidP="006311C3">
      <w:pPr>
        <w:pStyle w:val="Normal1"/>
        <w:numPr>
          <w:ilvl w:val="0"/>
          <w:numId w:val="44"/>
        </w:numPr>
        <w:spacing w:before="120" w:after="120"/>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lastRenderedPageBreak/>
        <w:t xml:space="preserve">In the </w:t>
      </w:r>
      <w:proofErr w:type="spellStart"/>
      <w:r w:rsidRPr="0087527C">
        <w:rPr>
          <w:rFonts w:asciiTheme="majorBidi" w:eastAsiaTheme="minorHAnsi" w:hAnsiTheme="majorBidi" w:cstheme="majorBidi"/>
          <w:color w:val="auto"/>
          <w:sz w:val="24"/>
          <w:szCs w:val="24"/>
        </w:rPr>
        <w:t>labo</w:t>
      </w:r>
      <w:r w:rsidR="00F25A0C">
        <w:rPr>
          <w:rFonts w:asciiTheme="majorBidi" w:eastAsiaTheme="minorHAnsi" w:hAnsiTheme="majorBidi" w:cstheme="majorBidi"/>
          <w:color w:val="auto"/>
          <w:sz w:val="24"/>
          <w:szCs w:val="24"/>
        </w:rPr>
        <w:t>u</w:t>
      </w:r>
      <w:r w:rsidRPr="0087527C">
        <w:rPr>
          <w:rFonts w:asciiTheme="majorBidi" w:eastAsiaTheme="minorHAnsi" w:hAnsiTheme="majorBidi" w:cstheme="majorBidi"/>
          <w:color w:val="auto"/>
          <w:sz w:val="24"/>
          <w:szCs w:val="24"/>
        </w:rPr>
        <w:t>r</w:t>
      </w:r>
      <w:proofErr w:type="spellEnd"/>
      <w:r w:rsidRPr="0087527C">
        <w:rPr>
          <w:rFonts w:asciiTheme="majorBidi" w:eastAsiaTheme="minorHAnsi" w:hAnsiTheme="majorBidi" w:cstheme="majorBidi"/>
          <w:color w:val="auto"/>
          <w:sz w:val="24"/>
          <w:szCs w:val="24"/>
        </w:rPr>
        <w:t xml:space="preserve"> sector, assumptions indicate </w:t>
      </w:r>
      <w:r w:rsidR="00F25A0C">
        <w:rPr>
          <w:rFonts w:asciiTheme="majorBidi" w:eastAsiaTheme="minorHAnsi" w:hAnsiTheme="majorBidi" w:cstheme="majorBidi"/>
          <w:color w:val="auto"/>
          <w:sz w:val="24"/>
          <w:szCs w:val="24"/>
        </w:rPr>
        <w:t>a</w:t>
      </w:r>
      <w:r w:rsidR="00F25A0C" w:rsidRPr="0087527C">
        <w:rPr>
          <w:rFonts w:asciiTheme="majorBidi" w:eastAsiaTheme="minorHAnsi" w:hAnsiTheme="majorBidi" w:cstheme="majorBidi"/>
          <w:color w:val="auto"/>
          <w:sz w:val="24"/>
          <w:szCs w:val="24"/>
        </w:rPr>
        <w:t xml:space="preserve"> </w:t>
      </w:r>
      <w:r w:rsidRPr="0087527C">
        <w:rPr>
          <w:rFonts w:asciiTheme="majorBidi" w:eastAsiaTheme="minorHAnsi" w:hAnsiTheme="majorBidi" w:cstheme="majorBidi"/>
          <w:color w:val="auto"/>
          <w:sz w:val="24"/>
          <w:szCs w:val="24"/>
        </w:rPr>
        <w:t xml:space="preserve">growth in the levels of employment and local employment, </w:t>
      </w:r>
      <w:r w:rsidR="006311C3">
        <w:rPr>
          <w:rFonts w:asciiTheme="majorBidi" w:eastAsiaTheme="minorHAnsi" w:hAnsiTheme="majorBidi" w:cstheme="majorBidi"/>
          <w:color w:val="auto"/>
          <w:sz w:val="24"/>
          <w:szCs w:val="24"/>
        </w:rPr>
        <w:t>where</w:t>
      </w:r>
      <w:r w:rsidR="006311C3" w:rsidRPr="0087527C">
        <w:rPr>
          <w:rFonts w:asciiTheme="majorBidi" w:eastAsiaTheme="minorHAnsi" w:hAnsiTheme="majorBidi" w:cstheme="majorBidi"/>
          <w:color w:val="auto"/>
          <w:sz w:val="24"/>
          <w:szCs w:val="24"/>
        </w:rPr>
        <w:t xml:space="preserve"> </w:t>
      </w:r>
      <w:r w:rsidRPr="0087527C">
        <w:rPr>
          <w:rFonts w:asciiTheme="majorBidi" w:eastAsiaTheme="minorHAnsi" w:hAnsiTheme="majorBidi" w:cstheme="majorBidi"/>
          <w:color w:val="auto"/>
          <w:sz w:val="24"/>
          <w:szCs w:val="24"/>
        </w:rPr>
        <w:t xml:space="preserve">the number of Palestinian employees in Israel at a rate close to its growth rate during previous years. </w:t>
      </w:r>
      <w:r w:rsidR="006311C3">
        <w:rPr>
          <w:rFonts w:asciiTheme="majorBidi" w:eastAsiaTheme="minorHAnsi" w:hAnsiTheme="majorBidi" w:cstheme="majorBidi"/>
          <w:color w:val="auto"/>
          <w:sz w:val="24"/>
          <w:szCs w:val="24"/>
        </w:rPr>
        <w:t xml:space="preserve">Thus, </w:t>
      </w:r>
      <w:r w:rsidRPr="0087527C">
        <w:rPr>
          <w:rFonts w:asciiTheme="majorBidi" w:eastAsiaTheme="minorHAnsi" w:hAnsiTheme="majorBidi" w:cstheme="majorBidi"/>
          <w:color w:val="auto"/>
          <w:sz w:val="24"/>
          <w:szCs w:val="24"/>
        </w:rPr>
        <w:t>the stability of the growth rate of financial compensation of employees in Israel.</w:t>
      </w:r>
    </w:p>
    <w:p w:rsidR="00025CF2" w:rsidRPr="0087527C" w:rsidRDefault="00025CF2" w:rsidP="00025CF2">
      <w:pPr>
        <w:pStyle w:val="Normal1"/>
        <w:numPr>
          <w:ilvl w:val="0"/>
          <w:numId w:val="44"/>
        </w:numPr>
        <w:spacing w:before="120" w:after="120"/>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t>The continued flow of current transfers to the private sector, based on estimates of their growth in 2021.</w:t>
      </w:r>
    </w:p>
    <w:p w:rsidR="009A69C4" w:rsidRPr="0087527C" w:rsidRDefault="002A0C7A" w:rsidP="009A69C4">
      <w:pPr>
        <w:pStyle w:val="Normal1"/>
        <w:numPr>
          <w:ilvl w:val="0"/>
          <w:numId w:val="44"/>
        </w:numPr>
        <w:spacing w:before="120" w:after="120"/>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t xml:space="preserve">As for the </w:t>
      </w:r>
      <w:r w:rsidR="00025CF2" w:rsidRPr="0087527C">
        <w:rPr>
          <w:rFonts w:asciiTheme="majorBidi" w:eastAsiaTheme="minorHAnsi" w:hAnsiTheme="majorBidi" w:cstheme="majorBidi"/>
          <w:color w:val="auto"/>
          <w:sz w:val="24"/>
          <w:szCs w:val="24"/>
        </w:rPr>
        <w:t>monetary sector</w:t>
      </w:r>
      <w:r w:rsidRPr="0087527C">
        <w:rPr>
          <w:rFonts w:asciiTheme="majorBidi" w:eastAsiaTheme="minorHAnsi" w:hAnsiTheme="majorBidi" w:cstheme="majorBidi"/>
          <w:color w:val="auto"/>
          <w:sz w:val="24"/>
          <w:szCs w:val="24"/>
        </w:rPr>
        <w:t xml:space="preserve">, it was assumed that the </w:t>
      </w:r>
      <w:r w:rsidR="004F3D22" w:rsidRPr="0087527C">
        <w:rPr>
          <w:rFonts w:asciiTheme="majorBidi" w:eastAsiaTheme="minorHAnsi" w:hAnsiTheme="majorBidi" w:cstheme="majorBidi"/>
          <w:color w:val="auto"/>
          <w:sz w:val="24"/>
          <w:szCs w:val="24"/>
        </w:rPr>
        <w:t xml:space="preserve">growth </w:t>
      </w:r>
      <w:r w:rsidRPr="0087527C">
        <w:rPr>
          <w:rFonts w:asciiTheme="majorBidi" w:eastAsiaTheme="minorHAnsi" w:hAnsiTheme="majorBidi" w:cstheme="majorBidi"/>
          <w:color w:val="auto"/>
          <w:sz w:val="24"/>
          <w:szCs w:val="24"/>
        </w:rPr>
        <w:t xml:space="preserve">of credit facilities provided to the private sector </w:t>
      </w:r>
      <w:r w:rsidR="009A69C4" w:rsidRPr="0087527C">
        <w:rPr>
          <w:rFonts w:asciiTheme="majorBidi" w:eastAsiaTheme="minorHAnsi" w:hAnsiTheme="majorBidi" w:cstheme="majorBidi"/>
          <w:color w:val="auto"/>
          <w:sz w:val="24"/>
          <w:szCs w:val="24"/>
        </w:rPr>
        <w:t xml:space="preserve">has been the same level in the previous year. With the increasing amount of funding provided to productive, service and pioneering economic projects through the </w:t>
      </w:r>
      <w:proofErr w:type="spellStart"/>
      <w:r w:rsidR="009A69C4" w:rsidRPr="0087527C">
        <w:rPr>
          <w:rFonts w:asciiTheme="majorBidi" w:eastAsiaTheme="minorHAnsi" w:hAnsiTheme="majorBidi" w:cstheme="majorBidi"/>
          <w:color w:val="auto"/>
          <w:sz w:val="24"/>
          <w:szCs w:val="24"/>
        </w:rPr>
        <w:t>Estidama</w:t>
      </w:r>
      <w:proofErr w:type="spellEnd"/>
      <w:r w:rsidR="009A69C4" w:rsidRPr="0087527C">
        <w:rPr>
          <w:rFonts w:asciiTheme="majorBidi" w:eastAsiaTheme="minorHAnsi" w:hAnsiTheme="majorBidi" w:cstheme="majorBidi"/>
          <w:color w:val="auto"/>
          <w:sz w:val="24"/>
          <w:szCs w:val="24"/>
        </w:rPr>
        <w:t xml:space="preserve"> Fund.</w:t>
      </w:r>
    </w:p>
    <w:p w:rsidR="00D26CC2" w:rsidRPr="0087527C" w:rsidRDefault="002A0C7A" w:rsidP="00E72614">
      <w:pPr>
        <w:pStyle w:val="Normal1"/>
        <w:spacing w:before="120" w:after="120"/>
        <w:jc w:val="both"/>
        <w:rPr>
          <w:rFonts w:asciiTheme="majorBidi" w:eastAsiaTheme="minorHAnsi" w:hAnsiTheme="majorBidi" w:cstheme="majorBidi"/>
          <w:color w:val="auto"/>
          <w:sz w:val="24"/>
          <w:szCs w:val="24"/>
        </w:rPr>
      </w:pPr>
      <w:r w:rsidRPr="0087527C">
        <w:rPr>
          <w:rFonts w:asciiTheme="majorBidi" w:eastAsiaTheme="minorHAnsi" w:hAnsiTheme="majorBidi" w:cstheme="majorBidi"/>
          <w:color w:val="auto"/>
          <w:sz w:val="24"/>
          <w:szCs w:val="24"/>
        </w:rPr>
        <w:t>According to these assumptions, economic forecasts indicate that</w:t>
      </w:r>
      <w:r w:rsidR="00D26CC2" w:rsidRPr="0087527C">
        <w:rPr>
          <w:rFonts w:asciiTheme="majorBidi" w:eastAsiaTheme="minorHAnsi" w:hAnsiTheme="majorBidi" w:cstheme="majorBidi"/>
          <w:color w:val="auto"/>
          <w:sz w:val="24"/>
          <w:szCs w:val="24"/>
        </w:rPr>
        <w:t xml:space="preserve"> the Palestinian economy</w:t>
      </w:r>
      <w:r w:rsidRPr="0087527C">
        <w:rPr>
          <w:rFonts w:asciiTheme="majorBidi" w:eastAsiaTheme="minorHAnsi" w:hAnsiTheme="majorBidi" w:cstheme="majorBidi"/>
          <w:color w:val="auto"/>
          <w:sz w:val="24"/>
          <w:szCs w:val="24"/>
        </w:rPr>
        <w:t xml:space="preserve"> will a possibility for achieving a real growth during </w:t>
      </w:r>
      <w:r w:rsidR="00D26CC2" w:rsidRPr="0087527C">
        <w:rPr>
          <w:rFonts w:asciiTheme="majorBidi" w:eastAsiaTheme="minorHAnsi" w:hAnsiTheme="majorBidi" w:cstheme="majorBidi"/>
          <w:color w:val="auto"/>
          <w:sz w:val="24"/>
          <w:szCs w:val="24"/>
        </w:rPr>
        <w:t>2022</w:t>
      </w:r>
      <w:r w:rsidRPr="0087527C">
        <w:rPr>
          <w:rFonts w:asciiTheme="majorBidi" w:eastAsiaTheme="minorHAnsi" w:hAnsiTheme="majorBidi" w:cstheme="majorBidi"/>
          <w:color w:val="auto"/>
          <w:sz w:val="24"/>
          <w:szCs w:val="24"/>
        </w:rPr>
        <w:t xml:space="preserve"> </w:t>
      </w:r>
      <w:r w:rsidR="00D26CC2" w:rsidRPr="0087527C">
        <w:rPr>
          <w:rFonts w:asciiTheme="majorBidi" w:eastAsiaTheme="minorHAnsi" w:hAnsiTheme="majorBidi" w:cstheme="majorBidi"/>
          <w:color w:val="auto"/>
          <w:sz w:val="24"/>
          <w:szCs w:val="24"/>
        </w:rPr>
        <w:t xml:space="preserve">approximately by 3%, compared to estimate growth of 6% in 2021, </w:t>
      </w:r>
      <w:r w:rsidR="00E72614">
        <w:rPr>
          <w:rFonts w:asciiTheme="majorBidi" w:eastAsiaTheme="minorHAnsi" w:hAnsiTheme="majorBidi" w:cstheme="majorBidi"/>
          <w:color w:val="auto"/>
          <w:sz w:val="24"/>
          <w:szCs w:val="24"/>
        </w:rPr>
        <w:t>with</w:t>
      </w:r>
      <w:r w:rsidR="00E72614" w:rsidRPr="0087527C">
        <w:rPr>
          <w:rFonts w:asciiTheme="majorBidi" w:eastAsiaTheme="minorHAnsi" w:hAnsiTheme="majorBidi" w:cstheme="majorBidi"/>
          <w:color w:val="auto"/>
          <w:sz w:val="24"/>
          <w:szCs w:val="24"/>
        </w:rPr>
        <w:t xml:space="preserve"> </w:t>
      </w:r>
      <w:r w:rsidR="00D26CC2" w:rsidRPr="0087527C">
        <w:rPr>
          <w:rFonts w:asciiTheme="majorBidi" w:eastAsiaTheme="minorHAnsi" w:hAnsiTheme="majorBidi" w:cstheme="majorBidi"/>
          <w:color w:val="auto"/>
          <w:sz w:val="24"/>
          <w:szCs w:val="24"/>
        </w:rPr>
        <w:t xml:space="preserve">a slight increase in GDP per capita during 2022 compared to 2021, provided that this performance will be </w:t>
      </w:r>
      <w:r w:rsidR="007B0498">
        <w:rPr>
          <w:rFonts w:asciiTheme="majorBidi" w:eastAsiaTheme="minorHAnsi" w:hAnsiTheme="majorBidi" w:cstheme="majorBidi"/>
          <w:color w:val="auto"/>
          <w:sz w:val="24"/>
          <w:szCs w:val="24"/>
        </w:rPr>
        <w:t>d</w:t>
      </w:r>
      <w:r w:rsidR="00D26CC2" w:rsidRPr="0087527C">
        <w:rPr>
          <w:rFonts w:asciiTheme="majorBidi" w:eastAsiaTheme="minorHAnsi" w:hAnsiTheme="majorBidi" w:cstheme="majorBidi"/>
          <w:color w:val="auto"/>
          <w:sz w:val="24"/>
          <w:szCs w:val="24"/>
        </w:rPr>
        <w:t>riven by the continued recovery of components on both the demand and supply sides. On the demand side, it is expected that overall consumption levels will continue to improve, to contribute by 2.2% to the expected growth, and investment by 2.3%. As for the external sector, it is expected that exports will contribute by 0.8%, and it is expected that the levels of demand for imports will rise in light of the improvement in consumption levels. Therefore, imports are likely to contribute to dampening the growth rate by about 2.1%.</w:t>
      </w:r>
    </w:p>
    <w:p w:rsidR="00D26CC2" w:rsidRPr="0087527C" w:rsidRDefault="00D26CC2" w:rsidP="009464BB">
      <w:pPr>
        <w:pStyle w:val="BodyText"/>
        <w:bidi w:val="0"/>
        <w:jc w:val="left"/>
        <w:rPr>
          <w:rFonts w:asciiTheme="majorBidi" w:hAnsiTheme="majorBidi" w:cstheme="majorBidi"/>
          <w:b/>
          <w:bCs/>
        </w:rPr>
      </w:pPr>
    </w:p>
    <w:p w:rsidR="009464BB" w:rsidRPr="0087527C" w:rsidRDefault="009464BB" w:rsidP="00D26CC2">
      <w:pPr>
        <w:pStyle w:val="BodyText"/>
        <w:bidi w:val="0"/>
        <w:jc w:val="left"/>
        <w:rPr>
          <w:rFonts w:asciiTheme="majorBidi" w:hAnsiTheme="majorBidi" w:cstheme="majorBidi"/>
          <w:b/>
          <w:bCs/>
          <w:rtl/>
        </w:rPr>
      </w:pPr>
      <w:r w:rsidRPr="0087527C">
        <w:rPr>
          <w:rFonts w:asciiTheme="majorBidi" w:hAnsiTheme="majorBidi" w:cstheme="majorBidi"/>
          <w:b/>
          <w:bCs/>
        </w:rPr>
        <w:t>For further details, please contact:</w:t>
      </w:r>
    </w:p>
    <w:tbl>
      <w:tblPr>
        <w:tblStyle w:val="TableGrid"/>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986"/>
        <w:gridCol w:w="4046"/>
      </w:tblGrid>
      <w:tr w:rsidR="0087527C" w:rsidRPr="0087527C" w:rsidTr="006C0E26">
        <w:tc>
          <w:tcPr>
            <w:tcW w:w="2351"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 xml:space="preserve">Palestinian Central Bureau of Statistics           </w:t>
            </w:r>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Or</w:t>
            </w: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Palestine Monetary Authority</w:t>
            </w:r>
          </w:p>
        </w:tc>
      </w:tr>
      <w:tr w:rsidR="0087527C" w:rsidRPr="0087527C" w:rsidTr="006C0E26">
        <w:tc>
          <w:tcPr>
            <w:tcW w:w="2351" w:type="pct"/>
            <w:vAlign w:val="center"/>
          </w:tcPr>
          <w:p w:rsidR="009464BB" w:rsidRPr="0087527C" w:rsidRDefault="009464BB" w:rsidP="00E72614">
            <w:pPr>
              <w:pStyle w:val="BodyText"/>
              <w:bidi w:val="0"/>
              <w:jc w:val="left"/>
              <w:rPr>
                <w:rFonts w:asciiTheme="majorBidi" w:hAnsiTheme="majorBidi" w:cstheme="majorBidi"/>
                <w:sz w:val="20"/>
                <w:szCs w:val="20"/>
              </w:rPr>
            </w:pPr>
            <w:r w:rsidRPr="0087527C">
              <w:rPr>
                <w:rFonts w:asciiTheme="majorBidi" w:hAnsiTheme="majorBidi" w:cstheme="majorBidi"/>
                <w:b/>
                <w:bCs/>
                <w:sz w:val="20"/>
                <w:szCs w:val="20"/>
              </w:rPr>
              <w:t>P.O. Box 1647</w:t>
            </w:r>
            <w:r w:rsidR="00E72614">
              <w:rPr>
                <w:rFonts w:asciiTheme="majorBidi" w:hAnsiTheme="majorBidi" w:cstheme="majorBidi"/>
                <w:b/>
                <w:bCs/>
                <w:sz w:val="20"/>
                <w:szCs w:val="20"/>
              </w:rPr>
              <w:t xml:space="preserve">, </w:t>
            </w:r>
            <w:r w:rsidR="00E72614" w:rsidRPr="00765E04">
              <w:rPr>
                <w:rFonts w:ascii="Times New Roman" w:hAnsi="Times New Roman" w:cs="Times New Roman"/>
                <w:b/>
                <w:bCs/>
                <w:sz w:val="20"/>
                <w:szCs w:val="20"/>
              </w:rPr>
              <w:t>Ramallah</w:t>
            </w:r>
            <w:r w:rsidR="00E72614">
              <w:rPr>
                <w:rFonts w:ascii="Times New Roman" w:hAnsi="Times New Roman" w:cs="Times New Roman"/>
                <w:b/>
                <w:bCs/>
                <w:sz w:val="20"/>
                <w:szCs w:val="20"/>
              </w:rPr>
              <w:t xml:space="preserve"> P6028179</w:t>
            </w:r>
            <w:r w:rsidR="00E72614" w:rsidRPr="00765E04">
              <w:rPr>
                <w:rFonts w:ascii="Times New Roman" w:hAnsi="Times New Roman" w:cs="Times New Roman"/>
                <w:b/>
                <w:bCs/>
                <w:sz w:val="20"/>
                <w:szCs w:val="20"/>
              </w:rPr>
              <w:t xml:space="preserve"> – Palestine</w:t>
            </w:r>
            <w:r w:rsidRPr="0087527C">
              <w:rPr>
                <w:rFonts w:asciiTheme="majorBidi" w:hAnsiTheme="majorBidi" w:cstheme="majorBidi"/>
                <w:b/>
                <w:bCs/>
                <w:sz w:val="20"/>
                <w:szCs w:val="20"/>
              </w:rPr>
              <w:t>.</w:t>
            </w:r>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rPr>
            </w:pP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b/>
                <w:bCs/>
                <w:sz w:val="20"/>
                <w:szCs w:val="20"/>
              </w:rPr>
              <w:t xml:space="preserve">P.O. Box 452, Ramallah and Al </w:t>
            </w:r>
            <w:proofErr w:type="spellStart"/>
            <w:r w:rsidRPr="0087527C">
              <w:rPr>
                <w:rFonts w:asciiTheme="majorBidi" w:hAnsiTheme="majorBidi" w:cstheme="majorBidi"/>
                <w:b/>
                <w:bCs/>
                <w:sz w:val="20"/>
                <w:szCs w:val="20"/>
              </w:rPr>
              <w:t>Bireh</w:t>
            </w:r>
            <w:proofErr w:type="spellEnd"/>
            <w:r w:rsidRPr="0087527C">
              <w:rPr>
                <w:rFonts w:asciiTheme="majorBidi" w:hAnsiTheme="majorBidi" w:cstheme="majorBidi"/>
                <w:b/>
                <w:bCs/>
                <w:sz w:val="20"/>
                <w:szCs w:val="20"/>
              </w:rPr>
              <w:t>- Palestine.</w:t>
            </w:r>
          </w:p>
        </w:tc>
      </w:tr>
      <w:tr w:rsidR="0087527C" w:rsidRPr="0087527C" w:rsidTr="006C0E26">
        <w:tc>
          <w:tcPr>
            <w:tcW w:w="2351" w:type="pct"/>
            <w:vAlign w:val="center"/>
          </w:tcPr>
          <w:p w:rsidR="009464BB" w:rsidRPr="0087527C" w:rsidRDefault="009464BB" w:rsidP="009464BB">
            <w:pPr>
              <w:tabs>
                <w:tab w:val="right" w:pos="367"/>
                <w:tab w:val="right" w:pos="543"/>
              </w:tabs>
              <w:bidi w:val="0"/>
              <w:rPr>
                <w:rFonts w:asciiTheme="majorBidi" w:hAnsiTheme="majorBidi" w:cstheme="majorBidi"/>
                <w:b/>
                <w:bCs/>
                <w:i/>
                <w:iCs/>
                <w:sz w:val="20"/>
                <w:szCs w:val="20"/>
              </w:rPr>
            </w:pPr>
            <w:r w:rsidRPr="0087527C">
              <w:rPr>
                <w:rFonts w:asciiTheme="majorBidi" w:hAnsiTheme="majorBidi" w:cstheme="majorBidi"/>
                <w:bCs/>
                <w:iCs/>
                <w:sz w:val="20"/>
                <w:szCs w:val="20"/>
              </w:rPr>
              <w:t>Tel</w:t>
            </w:r>
            <w:r w:rsidR="00B21C51">
              <w:rPr>
                <w:rFonts w:asciiTheme="majorBidi" w:hAnsiTheme="majorBidi" w:cstheme="majorBidi"/>
                <w:bCs/>
                <w:iCs/>
                <w:sz w:val="20"/>
                <w:szCs w:val="20"/>
              </w:rPr>
              <w:t>.</w:t>
            </w:r>
            <w:r w:rsidRPr="0087527C">
              <w:rPr>
                <w:rFonts w:asciiTheme="majorBidi" w:hAnsiTheme="majorBidi" w:cstheme="majorBidi"/>
                <w:bCs/>
                <w:iCs/>
                <w:sz w:val="20"/>
                <w:szCs w:val="20"/>
              </w:rPr>
              <w:t>: (972/970) 2 2982700</w:t>
            </w:r>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rPr>
            </w:pP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Tel</w:t>
            </w:r>
            <w:r w:rsidR="0098686D">
              <w:rPr>
                <w:rFonts w:asciiTheme="majorBidi" w:hAnsiTheme="majorBidi" w:cstheme="majorBidi"/>
                <w:sz w:val="20"/>
                <w:szCs w:val="20"/>
              </w:rPr>
              <w:t>.</w:t>
            </w:r>
            <w:r w:rsidRPr="0087527C">
              <w:rPr>
                <w:rFonts w:asciiTheme="majorBidi" w:hAnsiTheme="majorBidi" w:cstheme="majorBidi"/>
                <w:sz w:val="20"/>
                <w:szCs w:val="20"/>
              </w:rPr>
              <w:t>:   (972/970) 2 2415250</w:t>
            </w:r>
          </w:p>
        </w:tc>
      </w:tr>
      <w:tr w:rsidR="0087527C" w:rsidRPr="0087527C" w:rsidTr="006C0E26">
        <w:tc>
          <w:tcPr>
            <w:tcW w:w="2351" w:type="pct"/>
            <w:vAlign w:val="center"/>
          </w:tcPr>
          <w:p w:rsidR="009464BB" w:rsidRPr="0087527C" w:rsidRDefault="009464BB" w:rsidP="0006245F">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Fax: (972/970) 2 2982710</w:t>
            </w:r>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rPr>
            </w:pP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lang w:val="fr-FR" w:eastAsia="fr-FR"/>
              </w:rPr>
              <w:t>Fax:  (972/970) 2 2409922</w:t>
            </w:r>
          </w:p>
        </w:tc>
      </w:tr>
      <w:tr w:rsidR="0087527C" w:rsidRPr="0087527C" w:rsidTr="006C0E26">
        <w:tc>
          <w:tcPr>
            <w:tcW w:w="2351"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 xml:space="preserve">Toll free: </w:t>
            </w:r>
            <w:r w:rsidRPr="0087527C">
              <w:rPr>
                <w:rFonts w:asciiTheme="majorBidi" w:hAnsiTheme="majorBidi" w:cstheme="majorBidi"/>
                <w:sz w:val="20"/>
                <w:szCs w:val="20"/>
                <w:rtl/>
                <w:lang w:val="en-GB"/>
              </w:rPr>
              <w:t>1800300300</w:t>
            </w:r>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rPr>
            </w:pP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rPr>
            </w:pPr>
          </w:p>
        </w:tc>
      </w:tr>
      <w:tr w:rsidR="0087527C" w:rsidRPr="0087527C" w:rsidTr="006C0E26">
        <w:tc>
          <w:tcPr>
            <w:tcW w:w="2351" w:type="pct"/>
            <w:vAlign w:val="center"/>
          </w:tcPr>
          <w:p w:rsidR="009464BB" w:rsidRPr="0087527C" w:rsidRDefault="009464BB" w:rsidP="009464BB">
            <w:pPr>
              <w:pStyle w:val="BodyText"/>
              <w:bidi w:val="0"/>
              <w:jc w:val="left"/>
              <w:rPr>
                <w:rFonts w:asciiTheme="majorBidi" w:hAnsiTheme="majorBidi" w:cstheme="majorBidi"/>
                <w:sz w:val="20"/>
                <w:szCs w:val="20"/>
                <w:lang w:val="fr-CA"/>
              </w:rPr>
            </w:pPr>
            <w:r w:rsidRPr="0087527C">
              <w:rPr>
                <w:rFonts w:asciiTheme="majorBidi" w:hAnsiTheme="majorBidi" w:cstheme="majorBidi"/>
                <w:sz w:val="20"/>
                <w:szCs w:val="20"/>
                <w:lang w:val="fr-FR" w:eastAsia="fr-FR"/>
              </w:rPr>
              <w:t xml:space="preserve">Email: </w:t>
            </w:r>
            <w:hyperlink r:id="rId10" w:history="1">
              <w:r w:rsidRPr="0087527C">
                <w:rPr>
                  <w:rStyle w:val="Hyperlink"/>
                  <w:rFonts w:asciiTheme="majorBidi" w:hAnsiTheme="majorBidi"/>
                  <w:color w:val="auto"/>
                  <w:sz w:val="20"/>
                  <w:szCs w:val="20"/>
                  <w:lang w:val="fr-FR" w:eastAsia="fr-FR"/>
                </w:rPr>
                <w:t>diwan@pcbs.gov.ps</w:t>
              </w:r>
            </w:hyperlink>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lang w:val="fr-CA"/>
              </w:rPr>
            </w:pP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lang w:val="fr-CA"/>
              </w:rPr>
            </w:pPr>
            <w:r w:rsidRPr="0087527C">
              <w:rPr>
                <w:rFonts w:asciiTheme="majorBidi" w:hAnsiTheme="majorBidi" w:cstheme="majorBidi"/>
                <w:sz w:val="20"/>
                <w:szCs w:val="20"/>
                <w:lang w:val="fr-FR" w:eastAsia="fr-FR"/>
              </w:rPr>
              <w:t xml:space="preserve">Email: </w:t>
            </w:r>
            <w:hyperlink r:id="rId11" w:history="1">
              <w:r w:rsidRPr="0087527C">
                <w:rPr>
                  <w:rStyle w:val="Hyperlink"/>
                  <w:rFonts w:asciiTheme="majorBidi" w:hAnsiTheme="majorBidi"/>
                  <w:color w:val="auto"/>
                  <w:sz w:val="20"/>
                  <w:szCs w:val="20"/>
                  <w:lang w:val="fr-FR" w:eastAsia="fr-FR"/>
                </w:rPr>
                <w:t>Info@pma.ps</w:t>
              </w:r>
            </w:hyperlink>
          </w:p>
        </w:tc>
      </w:tr>
      <w:tr w:rsidR="0087527C" w:rsidRPr="0087527C" w:rsidTr="006C0E26">
        <w:tc>
          <w:tcPr>
            <w:tcW w:w="2351" w:type="pct"/>
            <w:vAlign w:val="center"/>
          </w:tcPr>
          <w:p w:rsidR="009464BB" w:rsidRPr="0087527C" w:rsidRDefault="009464BB" w:rsidP="009464BB">
            <w:pPr>
              <w:pStyle w:val="BodyText"/>
              <w:bidi w:val="0"/>
              <w:jc w:val="left"/>
              <w:rPr>
                <w:rFonts w:asciiTheme="majorBidi" w:hAnsiTheme="majorBidi" w:cstheme="majorBidi"/>
                <w:sz w:val="20"/>
                <w:szCs w:val="20"/>
              </w:rPr>
            </w:pPr>
            <w:r w:rsidRPr="0087527C">
              <w:rPr>
                <w:rFonts w:asciiTheme="majorBidi" w:hAnsiTheme="majorBidi" w:cstheme="majorBidi"/>
                <w:sz w:val="20"/>
                <w:szCs w:val="20"/>
              </w:rPr>
              <w:t xml:space="preserve">Website:  </w:t>
            </w:r>
            <w:hyperlink r:id="rId12" w:history="1">
              <w:r w:rsidRPr="0087527C">
                <w:rPr>
                  <w:rStyle w:val="Hyperlink"/>
                  <w:rFonts w:asciiTheme="majorBidi" w:hAnsiTheme="majorBidi"/>
                  <w:color w:val="auto"/>
                  <w:sz w:val="20"/>
                  <w:szCs w:val="20"/>
                </w:rPr>
                <w:t>http://www.pcbs.gov.ps</w:t>
              </w:r>
            </w:hyperlink>
          </w:p>
        </w:tc>
        <w:tc>
          <w:tcPr>
            <w:tcW w:w="519" w:type="pct"/>
            <w:vAlign w:val="center"/>
          </w:tcPr>
          <w:p w:rsidR="009464BB" w:rsidRPr="0087527C" w:rsidRDefault="009464BB" w:rsidP="009464BB">
            <w:pPr>
              <w:pStyle w:val="BodyText"/>
              <w:bidi w:val="0"/>
              <w:jc w:val="left"/>
              <w:rPr>
                <w:rFonts w:asciiTheme="majorBidi" w:hAnsiTheme="majorBidi" w:cstheme="majorBidi"/>
                <w:sz w:val="20"/>
                <w:szCs w:val="20"/>
              </w:rPr>
            </w:pPr>
          </w:p>
        </w:tc>
        <w:tc>
          <w:tcPr>
            <w:tcW w:w="2130" w:type="pct"/>
            <w:vAlign w:val="center"/>
          </w:tcPr>
          <w:p w:rsidR="009464BB" w:rsidRPr="0087527C" w:rsidRDefault="009464BB" w:rsidP="009464BB">
            <w:pPr>
              <w:pStyle w:val="BodyText"/>
              <w:bidi w:val="0"/>
              <w:jc w:val="left"/>
              <w:rPr>
                <w:rFonts w:asciiTheme="majorBidi" w:hAnsiTheme="majorBidi" w:cstheme="majorBidi"/>
                <w:sz w:val="20"/>
                <w:szCs w:val="20"/>
                <w:lang w:eastAsia="fr-FR"/>
              </w:rPr>
            </w:pPr>
            <w:r w:rsidRPr="0087527C">
              <w:rPr>
                <w:rFonts w:asciiTheme="majorBidi" w:hAnsiTheme="majorBidi" w:cstheme="majorBidi"/>
                <w:sz w:val="20"/>
                <w:szCs w:val="20"/>
              </w:rPr>
              <w:t xml:space="preserve">Website:  </w:t>
            </w:r>
            <w:r w:rsidRPr="0087527C">
              <w:rPr>
                <w:rStyle w:val="Hyperlink"/>
                <w:rFonts w:asciiTheme="majorBidi" w:hAnsiTheme="majorBidi"/>
                <w:color w:val="auto"/>
                <w:sz w:val="20"/>
                <w:szCs w:val="20"/>
                <w:lang w:val="fr-FR" w:eastAsia="fr-FR"/>
              </w:rPr>
              <w:t>http://www.</w:t>
            </w:r>
            <w:r w:rsidRPr="0087527C">
              <w:rPr>
                <w:rStyle w:val="Hyperlink"/>
                <w:rFonts w:asciiTheme="majorBidi" w:hAnsiTheme="majorBidi"/>
                <w:color w:val="auto"/>
                <w:sz w:val="20"/>
                <w:szCs w:val="20"/>
                <w:lang w:val="fr-FR"/>
              </w:rPr>
              <w:t xml:space="preserve"> pma.ps</w:t>
            </w:r>
          </w:p>
        </w:tc>
      </w:tr>
      <w:tr w:rsidR="0087527C" w:rsidRPr="0087527C" w:rsidTr="006C0E26">
        <w:tc>
          <w:tcPr>
            <w:tcW w:w="2351" w:type="pct"/>
          </w:tcPr>
          <w:p w:rsidR="009464BB" w:rsidRPr="0087527C" w:rsidRDefault="0087527C" w:rsidP="0087527C">
            <w:pPr>
              <w:pStyle w:val="BodyText"/>
              <w:jc w:val="right"/>
              <w:rPr>
                <w:rFonts w:asciiTheme="majorBidi" w:hAnsiTheme="majorBidi" w:cstheme="majorBidi"/>
              </w:rPr>
            </w:pPr>
            <w:r w:rsidRPr="00656166">
              <w:rPr>
                <w:noProof/>
                <w:lang w:eastAsia="en-US"/>
              </w:rPr>
              <w:drawing>
                <wp:inline distT="0" distB="0" distL="0" distR="0" wp14:anchorId="4A9F7AF7" wp14:editId="633D4586">
                  <wp:extent cx="851508" cy="1037864"/>
                  <wp:effectExtent l="0" t="0" r="6350" b="0"/>
                  <wp:docPr id="11" name="Picture 11" descr="C:\Users\mahmouda\AppData\Local\Microsoft\Windows\INetCache\Content.Word\Agriculture-Census-202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ouda\AppData\Local\Microsoft\Windows\INetCache\Content.Word\Agriculture-Census-2021-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8619" cy="1046531"/>
                          </a:xfrm>
                          <a:prstGeom prst="rect">
                            <a:avLst/>
                          </a:prstGeom>
                          <a:noFill/>
                          <a:ln>
                            <a:noFill/>
                          </a:ln>
                        </pic:spPr>
                      </pic:pic>
                    </a:graphicData>
                  </a:graphic>
                </wp:inline>
              </w:drawing>
            </w:r>
          </w:p>
          <w:p w:rsidR="009464BB" w:rsidRPr="0087527C" w:rsidRDefault="009464BB" w:rsidP="00383FC5"/>
          <w:p w:rsidR="009464BB" w:rsidRPr="0087527C" w:rsidRDefault="009464BB" w:rsidP="00383FC5">
            <w:pPr>
              <w:jc w:val="center"/>
            </w:pPr>
          </w:p>
        </w:tc>
        <w:tc>
          <w:tcPr>
            <w:tcW w:w="519" w:type="pct"/>
          </w:tcPr>
          <w:p w:rsidR="009464BB" w:rsidRPr="0087527C" w:rsidRDefault="009464BB" w:rsidP="00383FC5">
            <w:pPr>
              <w:pStyle w:val="BodyText"/>
              <w:bidi w:val="0"/>
              <w:jc w:val="both"/>
              <w:rPr>
                <w:rFonts w:asciiTheme="majorBidi" w:hAnsiTheme="majorBidi" w:cstheme="majorBidi"/>
              </w:rPr>
            </w:pPr>
          </w:p>
        </w:tc>
        <w:tc>
          <w:tcPr>
            <w:tcW w:w="2130" w:type="pct"/>
          </w:tcPr>
          <w:p w:rsidR="009464BB" w:rsidRPr="0087527C" w:rsidRDefault="009464BB" w:rsidP="00383FC5">
            <w:pPr>
              <w:pStyle w:val="BodyText"/>
              <w:bidi w:val="0"/>
              <w:jc w:val="both"/>
              <w:rPr>
                <w:rFonts w:asciiTheme="majorBidi" w:hAnsiTheme="majorBidi" w:cstheme="majorBidi"/>
              </w:rPr>
            </w:pPr>
          </w:p>
        </w:tc>
      </w:tr>
      <w:tr w:rsidR="0087527C" w:rsidRPr="0087527C" w:rsidTr="006C0E26">
        <w:tc>
          <w:tcPr>
            <w:tcW w:w="2351" w:type="pct"/>
          </w:tcPr>
          <w:p w:rsidR="009464BB" w:rsidRPr="0087527C" w:rsidRDefault="009464BB" w:rsidP="00383FC5">
            <w:pPr>
              <w:pStyle w:val="BodyText"/>
              <w:bidi w:val="0"/>
              <w:jc w:val="both"/>
              <w:rPr>
                <w:rFonts w:asciiTheme="majorBidi" w:hAnsiTheme="majorBidi" w:cstheme="majorBidi"/>
              </w:rPr>
            </w:pPr>
          </w:p>
        </w:tc>
        <w:tc>
          <w:tcPr>
            <w:tcW w:w="519" w:type="pct"/>
          </w:tcPr>
          <w:p w:rsidR="009464BB" w:rsidRPr="0087527C" w:rsidRDefault="009464BB" w:rsidP="00383FC5">
            <w:pPr>
              <w:pStyle w:val="BodyText"/>
              <w:bidi w:val="0"/>
              <w:jc w:val="both"/>
              <w:rPr>
                <w:rFonts w:asciiTheme="majorBidi" w:hAnsiTheme="majorBidi" w:cstheme="majorBidi"/>
              </w:rPr>
            </w:pPr>
          </w:p>
        </w:tc>
        <w:tc>
          <w:tcPr>
            <w:tcW w:w="2130" w:type="pct"/>
          </w:tcPr>
          <w:p w:rsidR="009464BB" w:rsidRPr="0087527C" w:rsidRDefault="009464BB" w:rsidP="00383FC5">
            <w:pPr>
              <w:pStyle w:val="BodyText"/>
              <w:bidi w:val="0"/>
              <w:jc w:val="both"/>
              <w:rPr>
                <w:rFonts w:asciiTheme="majorBidi" w:hAnsiTheme="majorBidi" w:cstheme="majorBidi"/>
              </w:rPr>
            </w:pPr>
          </w:p>
        </w:tc>
      </w:tr>
      <w:tr w:rsidR="009464BB" w:rsidRPr="0087527C" w:rsidTr="006C0E26">
        <w:tc>
          <w:tcPr>
            <w:tcW w:w="2351" w:type="pct"/>
          </w:tcPr>
          <w:p w:rsidR="009464BB" w:rsidRPr="0087527C" w:rsidRDefault="009464BB" w:rsidP="002772A6">
            <w:pPr>
              <w:pStyle w:val="BodyText"/>
              <w:tabs>
                <w:tab w:val="right" w:pos="-249"/>
                <w:tab w:val="right" w:pos="176"/>
                <w:tab w:val="right" w:pos="743"/>
                <w:tab w:val="right" w:pos="1735"/>
                <w:tab w:val="right" w:pos="2940"/>
              </w:tabs>
              <w:bidi w:val="0"/>
              <w:ind w:right="1797"/>
              <w:rPr>
                <w:rFonts w:asciiTheme="majorBidi" w:hAnsiTheme="majorBidi" w:cstheme="majorBidi"/>
                <w:sz w:val="20"/>
                <w:szCs w:val="20"/>
              </w:rPr>
            </w:pPr>
          </w:p>
        </w:tc>
        <w:tc>
          <w:tcPr>
            <w:tcW w:w="519" w:type="pct"/>
          </w:tcPr>
          <w:p w:rsidR="009464BB" w:rsidRPr="0087527C" w:rsidRDefault="009464BB" w:rsidP="00383FC5">
            <w:pPr>
              <w:pStyle w:val="BodyText"/>
              <w:bidi w:val="0"/>
              <w:jc w:val="both"/>
              <w:rPr>
                <w:rFonts w:asciiTheme="majorBidi" w:hAnsiTheme="majorBidi" w:cstheme="majorBidi"/>
                <w:rtl/>
              </w:rPr>
            </w:pPr>
          </w:p>
        </w:tc>
        <w:tc>
          <w:tcPr>
            <w:tcW w:w="2130" w:type="pct"/>
          </w:tcPr>
          <w:p w:rsidR="009464BB" w:rsidRPr="0087527C" w:rsidRDefault="009464BB" w:rsidP="00383FC5">
            <w:pPr>
              <w:pStyle w:val="BodyText"/>
              <w:bidi w:val="0"/>
              <w:jc w:val="both"/>
              <w:rPr>
                <w:rFonts w:asciiTheme="majorBidi" w:hAnsiTheme="majorBidi" w:cstheme="majorBidi"/>
              </w:rPr>
            </w:pPr>
          </w:p>
        </w:tc>
      </w:tr>
    </w:tbl>
    <w:p w:rsidR="00161219" w:rsidRPr="0087527C" w:rsidRDefault="00161219" w:rsidP="0041119C">
      <w:pPr>
        <w:ind w:right="-993"/>
        <w:rPr>
          <w:rFonts w:ascii="Simplified Arabic" w:hAnsi="Simplified Arabic" w:cs="Simplified Arabic"/>
          <w:sz w:val="20"/>
          <w:szCs w:val="20"/>
          <w:rtl/>
        </w:rPr>
      </w:pPr>
    </w:p>
    <w:sectPr w:rsidR="00161219" w:rsidRPr="0087527C" w:rsidSect="00DF5E7B">
      <w:headerReference w:type="default" r:id="rId14"/>
      <w:footerReference w:type="even" r:id="rId15"/>
      <w:footerReference w:type="default" r:id="rId16"/>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E7" w:rsidRDefault="007368E7">
      <w:r>
        <w:separator/>
      </w:r>
    </w:p>
  </w:endnote>
  <w:endnote w:type="continuationSeparator" w:id="0">
    <w:p w:rsidR="007368E7" w:rsidRDefault="0073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18656E">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18656E">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797A25">
      <w:rPr>
        <w:rStyle w:val="PageNumber"/>
        <w:noProof/>
        <w:rtl/>
      </w:rPr>
      <w:t>3</w:t>
    </w:r>
    <w:r>
      <w:rPr>
        <w:rStyle w:val="PageNumber"/>
        <w:rtl/>
      </w:rPr>
      <w:fldChar w:fldCharType="end"/>
    </w:r>
  </w:p>
  <w:p w:rsidR="00EF779D" w:rsidRDefault="00EF779D">
    <w:pPr>
      <w:pStyle w:val="Footer"/>
      <w:framePr w:wrap="around" w:vAnchor="text" w:hAnchor="margin" w:xAlign="center" w:y="1"/>
      <w:rPr>
        <w:rStyle w:val="PageNumber"/>
        <w:rtl/>
      </w:rPr>
    </w:pPr>
  </w:p>
  <w:p w:rsidR="00EF779D" w:rsidRDefault="00EF779D" w:rsidP="002772A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E7" w:rsidRDefault="007368E7">
      <w:r>
        <w:separator/>
      </w:r>
    </w:p>
  </w:footnote>
  <w:footnote w:type="continuationSeparator" w:id="0">
    <w:p w:rsidR="007368E7" w:rsidRDefault="0073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3" w:rsidRPr="002168F8" w:rsidRDefault="00335553" w:rsidP="00B87F86">
    <w:pPr>
      <w:pStyle w:val="Footer"/>
      <w:bidi w:val="0"/>
      <w:rPr>
        <w:b/>
        <w:bCs/>
        <w:i/>
        <w:iCs/>
      </w:rPr>
    </w:pPr>
    <w:r w:rsidRPr="00AF5933">
      <w:rPr>
        <w:rFonts w:asciiTheme="majorBidi" w:hAnsiTheme="majorBidi" w:cstheme="majorBidi"/>
        <w:iCs/>
        <w:sz w:val="20"/>
        <w:szCs w:val="20"/>
      </w:rPr>
      <w:t>Issued on</w:t>
    </w:r>
    <w:r w:rsidRPr="002D34BE">
      <w:rPr>
        <w:rFonts w:asciiTheme="majorBidi" w:hAnsiTheme="majorBidi" w:cstheme="majorBidi"/>
        <w:bCs/>
        <w:iCs/>
        <w:sz w:val="20"/>
        <w:szCs w:val="20"/>
      </w:rPr>
      <w:t xml:space="preserve">: </w:t>
    </w:r>
    <w:r w:rsidR="00B87F86" w:rsidRPr="00B87F86">
      <w:rPr>
        <w:rFonts w:asciiTheme="majorBidi" w:hAnsiTheme="majorBidi" w:cstheme="majorBidi"/>
        <w:b/>
        <w:i/>
        <w:sz w:val="20"/>
        <w:szCs w:val="20"/>
      </w:rPr>
      <w:t>29</w:t>
    </w:r>
    <w:r w:rsidRPr="00B87F86">
      <w:rPr>
        <w:rFonts w:asciiTheme="majorBidi" w:hAnsiTheme="majorBidi" w:cstheme="majorBidi"/>
        <w:b/>
        <w:i/>
        <w:sz w:val="20"/>
        <w:szCs w:val="20"/>
      </w:rPr>
      <w:t>/</w:t>
    </w:r>
    <w:r w:rsidRPr="00B87F86">
      <w:rPr>
        <w:rFonts w:asciiTheme="majorBidi" w:hAnsiTheme="majorBidi" w:cstheme="majorBidi" w:hint="cs"/>
        <w:b/>
        <w:i/>
        <w:sz w:val="20"/>
        <w:szCs w:val="20"/>
        <w:rtl/>
      </w:rPr>
      <w:t>12</w:t>
    </w:r>
    <w:r w:rsidRPr="00B87F86">
      <w:rPr>
        <w:rFonts w:asciiTheme="majorBidi" w:hAnsiTheme="majorBidi" w:cstheme="majorBidi"/>
        <w:b/>
        <w:i/>
        <w:sz w:val="20"/>
        <w:szCs w:val="20"/>
      </w:rPr>
      <w:t>/</w:t>
    </w:r>
    <w:r w:rsidR="00B87F86" w:rsidRPr="00B87F86">
      <w:rPr>
        <w:rFonts w:asciiTheme="majorBidi" w:hAnsiTheme="majorBidi" w:cstheme="majorBidi"/>
        <w:b/>
        <w:i/>
        <w:sz w:val="20"/>
        <w:szCs w:val="20"/>
      </w:rPr>
      <w:t>2021</w:t>
    </w:r>
  </w:p>
  <w:p w:rsidR="00EF779D" w:rsidRPr="003B34D5" w:rsidRDefault="00EF779D" w:rsidP="003B34D5">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8"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1"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2"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6"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7"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8"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1"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2"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6"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0"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4C3B6A"/>
    <w:multiLevelType w:val="hybridMultilevel"/>
    <w:tmpl w:val="0AE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3"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9"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7"/>
  </w:num>
  <w:num w:numId="2">
    <w:abstractNumId w:val="21"/>
  </w:num>
  <w:num w:numId="3">
    <w:abstractNumId w:val="8"/>
  </w:num>
  <w:num w:numId="4">
    <w:abstractNumId w:val="43"/>
  </w:num>
  <w:num w:numId="5">
    <w:abstractNumId w:val="16"/>
  </w:num>
  <w:num w:numId="6">
    <w:abstractNumId w:val="29"/>
  </w:num>
  <w:num w:numId="7">
    <w:abstractNumId w:val="38"/>
  </w:num>
  <w:num w:numId="8">
    <w:abstractNumId w:val="25"/>
  </w:num>
  <w:num w:numId="9">
    <w:abstractNumId w:val="5"/>
  </w:num>
  <w:num w:numId="10">
    <w:abstractNumId w:val="15"/>
  </w:num>
  <w:num w:numId="11">
    <w:abstractNumId w:val="40"/>
  </w:num>
  <w:num w:numId="12">
    <w:abstractNumId w:val="28"/>
  </w:num>
  <w:num w:numId="13">
    <w:abstractNumId w:val="7"/>
  </w:num>
  <w:num w:numId="14">
    <w:abstractNumId w:val="18"/>
  </w:num>
  <w:num w:numId="15">
    <w:abstractNumId w:val="36"/>
  </w:num>
  <w:num w:numId="16">
    <w:abstractNumId w:val="22"/>
  </w:num>
  <w:num w:numId="17">
    <w:abstractNumId w:val="19"/>
  </w:num>
  <w:num w:numId="18">
    <w:abstractNumId w:val="1"/>
  </w:num>
  <w:num w:numId="19">
    <w:abstractNumId w:val="17"/>
  </w:num>
  <w:num w:numId="20">
    <w:abstractNumId w:val="20"/>
  </w:num>
  <w:num w:numId="21">
    <w:abstractNumId w:val="32"/>
  </w:num>
  <w:num w:numId="22">
    <w:abstractNumId w:val="26"/>
  </w:num>
  <w:num w:numId="23">
    <w:abstractNumId w:val="13"/>
  </w:num>
  <w:num w:numId="24">
    <w:abstractNumId w:val="42"/>
  </w:num>
  <w:num w:numId="25">
    <w:abstractNumId w:val="34"/>
  </w:num>
  <w:num w:numId="26">
    <w:abstractNumId w:val="9"/>
  </w:num>
  <w:num w:numId="27">
    <w:abstractNumId w:val="4"/>
  </w:num>
  <w:num w:numId="28">
    <w:abstractNumId w:val="2"/>
  </w:num>
  <w:num w:numId="29">
    <w:abstractNumId w:val="10"/>
  </w:num>
  <w:num w:numId="30">
    <w:abstractNumId w:val="33"/>
  </w:num>
  <w:num w:numId="31">
    <w:abstractNumId w:val="41"/>
  </w:num>
  <w:num w:numId="32">
    <w:abstractNumId w:val="0"/>
  </w:num>
  <w:num w:numId="33">
    <w:abstractNumId w:val="23"/>
  </w:num>
  <w:num w:numId="34">
    <w:abstractNumId w:val="14"/>
  </w:num>
  <w:num w:numId="35">
    <w:abstractNumId w:val="12"/>
  </w:num>
  <w:num w:numId="36">
    <w:abstractNumId w:val="37"/>
  </w:num>
  <w:num w:numId="37">
    <w:abstractNumId w:val="30"/>
  </w:num>
  <w:num w:numId="38">
    <w:abstractNumId w:val="24"/>
  </w:num>
  <w:num w:numId="39">
    <w:abstractNumId w:val="3"/>
  </w:num>
  <w:num w:numId="40">
    <w:abstractNumId w:val="6"/>
  </w:num>
  <w:num w:numId="41">
    <w:abstractNumId w:val="11"/>
  </w:num>
  <w:num w:numId="42">
    <w:abstractNumId w:val="39"/>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fr-FR" w:vendorID="64" w:dllVersion="131078" w:nlCheck="1" w:checkStyle="0"/>
  <w:activeWritingStyle w:appName="MSWord" w:lang="en-US"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wNzAxNjezNLI0MrZU0lEKTi0uzszPAykwqgUAySSH0CwAAAA="/>
  </w:docVars>
  <w:rsids>
    <w:rsidRoot w:val="00265E1A"/>
    <w:rsid w:val="000010EE"/>
    <w:rsid w:val="000016C3"/>
    <w:rsid w:val="000025F6"/>
    <w:rsid w:val="000029E0"/>
    <w:rsid w:val="000032C2"/>
    <w:rsid w:val="00003758"/>
    <w:rsid w:val="00003C5A"/>
    <w:rsid w:val="00004EBE"/>
    <w:rsid w:val="000062CB"/>
    <w:rsid w:val="00006393"/>
    <w:rsid w:val="0000683C"/>
    <w:rsid w:val="00006B0D"/>
    <w:rsid w:val="00006D99"/>
    <w:rsid w:val="00010EE8"/>
    <w:rsid w:val="000111FB"/>
    <w:rsid w:val="00011403"/>
    <w:rsid w:val="000116DE"/>
    <w:rsid w:val="00011BF2"/>
    <w:rsid w:val="0001220E"/>
    <w:rsid w:val="00012A8E"/>
    <w:rsid w:val="00013731"/>
    <w:rsid w:val="00013B07"/>
    <w:rsid w:val="00014CBC"/>
    <w:rsid w:val="000152D0"/>
    <w:rsid w:val="00015497"/>
    <w:rsid w:val="00017BBE"/>
    <w:rsid w:val="00020672"/>
    <w:rsid w:val="00020CB1"/>
    <w:rsid w:val="000214B1"/>
    <w:rsid w:val="00021CA9"/>
    <w:rsid w:val="0002232F"/>
    <w:rsid w:val="000235FD"/>
    <w:rsid w:val="00023956"/>
    <w:rsid w:val="000242DA"/>
    <w:rsid w:val="00024EDB"/>
    <w:rsid w:val="00025413"/>
    <w:rsid w:val="00025539"/>
    <w:rsid w:val="00025CF2"/>
    <w:rsid w:val="0002679D"/>
    <w:rsid w:val="0002780D"/>
    <w:rsid w:val="0002786C"/>
    <w:rsid w:val="000308D2"/>
    <w:rsid w:val="00031635"/>
    <w:rsid w:val="000323F3"/>
    <w:rsid w:val="000325DE"/>
    <w:rsid w:val="00032AA1"/>
    <w:rsid w:val="00032B43"/>
    <w:rsid w:val="00032F7C"/>
    <w:rsid w:val="00033848"/>
    <w:rsid w:val="00034331"/>
    <w:rsid w:val="00034450"/>
    <w:rsid w:val="00035610"/>
    <w:rsid w:val="00035D60"/>
    <w:rsid w:val="00035D77"/>
    <w:rsid w:val="000367E1"/>
    <w:rsid w:val="00040C4C"/>
    <w:rsid w:val="00040D25"/>
    <w:rsid w:val="000427C4"/>
    <w:rsid w:val="00042B02"/>
    <w:rsid w:val="00043A12"/>
    <w:rsid w:val="00043C12"/>
    <w:rsid w:val="0004417D"/>
    <w:rsid w:val="00044A39"/>
    <w:rsid w:val="00044CAB"/>
    <w:rsid w:val="000452C8"/>
    <w:rsid w:val="00045833"/>
    <w:rsid w:val="00045AE3"/>
    <w:rsid w:val="000468B6"/>
    <w:rsid w:val="00046A9D"/>
    <w:rsid w:val="00046B78"/>
    <w:rsid w:val="00046DAC"/>
    <w:rsid w:val="000472B8"/>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245F"/>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39"/>
    <w:rsid w:val="00072C8F"/>
    <w:rsid w:val="00072DF9"/>
    <w:rsid w:val="00072FDA"/>
    <w:rsid w:val="00073903"/>
    <w:rsid w:val="000742CE"/>
    <w:rsid w:val="00074708"/>
    <w:rsid w:val="000747FE"/>
    <w:rsid w:val="0007485F"/>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338"/>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FA7"/>
    <w:rsid w:val="000B4B3C"/>
    <w:rsid w:val="000B52BE"/>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082"/>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5E5D"/>
    <w:rsid w:val="000F739C"/>
    <w:rsid w:val="000F7998"/>
    <w:rsid w:val="000F79E7"/>
    <w:rsid w:val="000F7D78"/>
    <w:rsid w:val="000F7F22"/>
    <w:rsid w:val="00101EF1"/>
    <w:rsid w:val="001021B8"/>
    <w:rsid w:val="00103148"/>
    <w:rsid w:val="0010320B"/>
    <w:rsid w:val="0010461A"/>
    <w:rsid w:val="00104A74"/>
    <w:rsid w:val="00106D72"/>
    <w:rsid w:val="001101C4"/>
    <w:rsid w:val="00110BAB"/>
    <w:rsid w:val="00112BF2"/>
    <w:rsid w:val="001131CE"/>
    <w:rsid w:val="00113259"/>
    <w:rsid w:val="00113560"/>
    <w:rsid w:val="00114017"/>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829"/>
    <w:rsid w:val="00182C7B"/>
    <w:rsid w:val="00182D68"/>
    <w:rsid w:val="00182F72"/>
    <w:rsid w:val="00183262"/>
    <w:rsid w:val="001836F2"/>
    <w:rsid w:val="001838A7"/>
    <w:rsid w:val="0018452B"/>
    <w:rsid w:val="001849DE"/>
    <w:rsid w:val="00184B0A"/>
    <w:rsid w:val="00184F4B"/>
    <w:rsid w:val="0018656E"/>
    <w:rsid w:val="00187B01"/>
    <w:rsid w:val="001909B4"/>
    <w:rsid w:val="00190DA4"/>
    <w:rsid w:val="00192CEC"/>
    <w:rsid w:val="00193B3E"/>
    <w:rsid w:val="00193E5F"/>
    <w:rsid w:val="00193EDA"/>
    <w:rsid w:val="00193F57"/>
    <w:rsid w:val="001944EC"/>
    <w:rsid w:val="0019453A"/>
    <w:rsid w:val="00195968"/>
    <w:rsid w:val="00197187"/>
    <w:rsid w:val="001979A2"/>
    <w:rsid w:val="001A010E"/>
    <w:rsid w:val="001A0B2F"/>
    <w:rsid w:val="001A201A"/>
    <w:rsid w:val="001A2F70"/>
    <w:rsid w:val="001A40E5"/>
    <w:rsid w:val="001A4786"/>
    <w:rsid w:val="001A4B9B"/>
    <w:rsid w:val="001A4D0F"/>
    <w:rsid w:val="001A6232"/>
    <w:rsid w:val="001A7050"/>
    <w:rsid w:val="001A7593"/>
    <w:rsid w:val="001A765B"/>
    <w:rsid w:val="001A788D"/>
    <w:rsid w:val="001A7C00"/>
    <w:rsid w:val="001B0219"/>
    <w:rsid w:val="001B2339"/>
    <w:rsid w:val="001B2CEA"/>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70E8"/>
    <w:rsid w:val="001D731D"/>
    <w:rsid w:val="001D7CEB"/>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356"/>
    <w:rsid w:val="00213D08"/>
    <w:rsid w:val="0021415E"/>
    <w:rsid w:val="00214828"/>
    <w:rsid w:val="00214B0B"/>
    <w:rsid w:val="00214E29"/>
    <w:rsid w:val="002154FB"/>
    <w:rsid w:val="00215670"/>
    <w:rsid w:val="00216751"/>
    <w:rsid w:val="00216BEE"/>
    <w:rsid w:val="00216FCB"/>
    <w:rsid w:val="002170F6"/>
    <w:rsid w:val="00217DC2"/>
    <w:rsid w:val="002217A1"/>
    <w:rsid w:val="00221EB0"/>
    <w:rsid w:val="00223F9C"/>
    <w:rsid w:val="00224BBF"/>
    <w:rsid w:val="00226961"/>
    <w:rsid w:val="00227340"/>
    <w:rsid w:val="00227474"/>
    <w:rsid w:val="0023125B"/>
    <w:rsid w:val="002316DA"/>
    <w:rsid w:val="0023292A"/>
    <w:rsid w:val="00232B58"/>
    <w:rsid w:val="00232DB7"/>
    <w:rsid w:val="00233080"/>
    <w:rsid w:val="00233610"/>
    <w:rsid w:val="00234068"/>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488"/>
    <w:rsid w:val="002722B2"/>
    <w:rsid w:val="002732FE"/>
    <w:rsid w:val="002738E2"/>
    <w:rsid w:val="00273BAE"/>
    <w:rsid w:val="0027433C"/>
    <w:rsid w:val="002752AE"/>
    <w:rsid w:val="0027579D"/>
    <w:rsid w:val="0027587A"/>
    <w:rsid w:val="00276162"/>
    <w:rsid w:val="00276F9B"/>
    <w:rsid w:val="00277215"/>
    <w:rsid w:val="002772A6"/>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3CD"/>
    <w:rsid w:val="00291F13"/>
    <w:rsid w:val="00291F97"/>
    <w:rsid w:val="002927B1"/>
    <w:rsid w:val="002928FC"/>
    <w:rsid w:val="00293A0E"/>
    <w:rsid w:val="00293E5C"/>
    <w:rsid w:val="00294A9E"/>
    <w:rsid w:val="00294E07"/>
    <w:rsid w:val="002953EA"/>
    <w:rsid w:val="002953F7"/>
    <w:rsid w:val="00296797"/>
    <w:rsid w:val="00296961"/>
    <w:rsid w:val="002971DD"/>
    <w:rsid w:val="00297B43"/>
    <w:rsid w:val="00297EFA"/>
    <w:rsid w:val="002A0A15"/>
    <w:rsid w:val="002A0C7A"/>
    <w:rsid w:val="002A29B5"/>
    <w:rsid w:val="002A3A6F"/>
    <w:rsid w:val="002A3D77"/>
    <w:rsid w:val="002A3DA2"/>
    <w:rsid w:val="002A4CD9"/>
    <w:rsid w:val="002A545B"/>
    <w:rsid w:val="002A61C0"/>
    <w:rsid w:val="002A6B04"/>
    <w:rsid w:val="002A6DDC"/>
    <w:rsid w:val="002A6E6B"/>
    <w:rsid w:val="002A6E82"/>
    <w:rsid w:val="002A709D"/>
    <w:rsid w:val="002A7410"/>
    <w:rsid w:val="002B05B0"/>
    <w:rsid w:val="002B109E"/>
    <w:rsid w:val="002B1856"/>
    <w:rsid w:val="002B364A"/>
    <w:rsid w:val="002B3864"/>
    <w:rsid w:val="002B3D62"/>
    <w:rsid w:val="002B5115"/>
    <w:rsid w:val="002B5568"/>
    <w:rsid w:val="002B57F2"/>
    <w:rsid w:val="002B6585"/>
    <w:rsid w:val="002B6822"/>
    <w:rsid w:val="002B7AB5"/>
    <w:rsid w:val="002B7F29"/>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1D12"/>
    <w:rsid w:val="002F376B"/>
    <w:rsid w:val="002F3BDB"/>
    <w:rsid w:val="002F3DD5"/>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C8E"/>
    <w:rsid w:val="0031411C"/>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709"/>
    <w:rsid w:val="00326D5A"/>
    <w:rsid w:val="003276F9"/>
    <w:rsid w:val="003315B6"/>
    <w:rsid w:val="00331C5C"/>
    <w:rsid w:val="00332756"/>
    <w:rsid w:val="00332995"/>
    <w:rsid w:val="00332BE0"/>
    <w:rsid w:val="00332F5B"/>
    <w:rsid w:val="00333373"/>
    <w:rsid w:val="00334737"/>
    <w:rsid w:val="00334B1F"/>
    <w:rsid w:val="00335254"/>
    <w:rsid w:val="00335553"/>
    <w:rsid w:val="00335971"/>
    <w:rsid w:val="00336A99"/>
    <w:rsid w:val="00337D04"/>
    <w:rsid w:val="00337DB3"/>
    <w:rsid w:val="00341182"/>
    <w:rsid w:val="003424B1"/>
    <w:rsid w:val="00342780"/>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99"/>
    <w:rsid w:val="003552CB"/>
    <w:rsid w:val="003554E5"/>
    <w:rsid w:val="00355B09"/>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31F3"/>
    <w:rsid w:val="00385105"/>
    <w:rsid w:val="0038531E"/>
    <w:rsid w:val="00385CDA"/>
    <w:rsid w:val="00385EB3"/>
    <w:rsid w:val="00385ED9"/>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96B5C"/>
    <w:rsid w:val="003A03BE"/>
    <w:rsid w:val="003A0463"/>
    <w:rsid w:val="003A0B28"/>
    <w:rsid w:val="003A1274"/>
    <w:rsid w:val="003A2463"/>
    <w:rsid w:val="003A2BAA"/>
    <w:rsid w:val="003A4997"/>
    <w:rsid w:val="003A49FD"/>
    <w:rsid w:val="003A4D3C"/>
    <w:rsid w:val="003A5C55"/>
    <w:rsid w:val="003A6D0C"/>
    <w:rsid w:val="003A6E72"/>
    <w:rsid w:val="003A7017"/>
    <w:rsid w:val="003A736C"/>
    <w:rsid w:val="003A745B"/>
    <w:rsid w:val="003A7BCA"/>
    <w:rsid w:val="003A7BEB"/>
    <w:rsid w:val="003A7C9A"/>
    <w:rsid w:val="003B15AD"/>
    <w:rsid w:val="003B22BA"/>
    <w:rsid w:val="003B2782"/>
    <w:rsid w:val="003B2B7A"/>
    <w:rsid w:val="003B34D5"/>
    <w:rsid w:val="003B4539"/>
    <w:rsid w:val="003B4658"/>
    <w:rsid w:val="003B6119"/>
    <w:rsid w:val="003B7217"/>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72F3"/>
    <w:rsid w:val="003F7485"/>
    <w:rsid w:val="004000DA"/>
    <w:rsid w:val="004000E6"/>
    <w:rsid w:val="0040138A"/>
    <w:rsid w:val="004014A0"/>
    <w:rsid w:val="00401843"/>
    <w:rsid w:val="0040306A"/>
    <w:rsid w:val="004047FE"/>
    <w:rsid w:val="00404AA1"/>
    <w:rsid w:val="004066E9"/>
    <w:rsid w:val="00407003"/>
    <w:rsid w:val="004071F7"/>
    <w:rsid w:val="00407822"/>
    <w:rsid w:val="00410C05"/>
    <w:rsid w:val="0041119C"/>
    <w:rsid w:val="0041127B"/>
    <w:rsid w:val="00411B70"/>
    <w:rsid w:val="00411FE0"/>
    <w:rsid w:val="0041207E"/>
    <w:rsid w:val="004126B7"/>
    <w:rsid w:val="00414762"/>
    <w:rsid w:val="00414A9B"/>
    <w:rsid w:val="004158B0"/>
    <w:rsid w:val="00415AE3"/>
    <w:rsid w:val="00415CF8"/>
    <w:rsid w:val="00416655"/>
    <w:rsid w:val="00416774"/>
    <w:rsid w:val="00420EFD"/>
    <w:rsid w:val="0042169C"/>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B01"/>
    <w:rsid w:val="0044051C"/>
    <w:rsid w:val="004412E3"/>
    <w:rsid w:val="00442693"/>
    <w:rsid w:val="00442AB3"/>
    <w:rsid w:val="00442D10"/>
    <w:rsid w:val="00442DBB"/>
    <w:rsid w:val="00442EE4"/>
    <w:rsid w:val="00443A70"/>
    <w:rsid w:val="004448E4"/>
    <w:rsid w:val="0044531E"/>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883"/>
    <w:rsid w:val="004B5C1E"/>
    <w:rsid w:val="004B5D05"/>
    <w:rsid w:val="004B64B4"/>
    <w:rsid w:val="004B74C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47C"/>
    <w:rsid w:val="004D0D84"/>
    <w:rsid w:val="004D1054"/>
    <w:rsid w:val="004D16AD"/>
    <w:rsid w:val="004D1841"/>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3D22"/>
    <w:rsid w:val="004F428C"/>
    <w:rsid w:val="004F439F"/>
    <w:rsid w:val="004F532B"/>
    <w:rsid w:val="004F578E"/>
    <w:rsid w:val="004F69DE"/>
    <w:rsid w:val="004F6AE8"/>
    <w:rsid w:val="004F7132"/>
    <w:rsid w:val="004F7541"/>
    <w:rsid w:val="004F7B3A"/>
    <w:rsid w:val="00500131"/>
    <w:rsid w:val="005009BC"/>
    <w:rsid w:val="00501561"/>
    <w:rsid w:val="00502335"/>
    <w:rsid w:val="00502362"/>
    <w:rsid w:val="005030D2"/>
    <w:rsid w:val="00504B9F"/>
    <w:rsid w:val="0050524E"/>
    <w:rsid w:val="00505489"/>
    <w:rsid w:val="0050585B"/>
    <w:rsid w:val="005069DB"/>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E08"/>
    <w:rsid w:val="00523E38"/>
    <w:rsid w:val="00524284"/>
    <w:rsid w:val="00524E0C"/>
    <w:rsid w:val="00524EF5"/>
    <w:rsid w:val="005261BF"/>
    <w:rsid w:val="005269FC"/>
    <w:rsid w:val="00526A7B"/>
    <w:rsid w:val="00526C1F"/>
    <w:rsid w:val="00527056"/>
    <w:rsid w:val="00527515"/>
    <w:rsid w:val="00530D11"/>
    <w:rsid w:val="005322A0"/>
    <w:rsid w:val="0053270D"/>
    <w:rsid w:val="00533739"/>
    <w:rsid w:val="0053388C"/>
    <w:rsid w:val="00533C4F"/>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4638"/>
    <w:rsid w:val="0056475A"/>
    <w:rsid w:val="00564907"/>
    <w:rsid w:val="00564D56"/>
    <w:rsid w:val="00565F3F"/>
    <w:rsid w:val="00566949"/>
    <w:rsid w:val="00566CAF"/>
    <w:rsid w:val="005672CD"/>
    <w:rsid w:val="00571DD7"/>
    <w:rsid w:val="00575AC5"/>
    <w:rsid w:val="00576186"/>
    <w:rsid w:val="00576B8A"/>
    <w:rsid w:val="00576E8A"/>
    <w:rsid w:val="00577379"/>
    <w:rsid w:val="005774A7"/>
    <w:rsid w:val="005778CB"/>
    <w:rsid w:val="005801C3"/>
    <w:rsid w:val="005828E1"/>
    <w:rsid w:val="00583BB3"/>
    <w:rsid w:val="00584EB9"/>
    <w:rsid w:val="005850C2"/>
    <w:rsid w:val="0058539E"/>
    <w:rsid w:val="0058577E"/>
    <w:rsid w:val="00585F98"/>
    <w:rsid w:val="00586032"/>
    <w:rsid w:val="00590669"/>
    <w:rsid w:val="00591D43"/>
    <w:rsid w:val="00592414"/>
    <w:rsid w:val="005929D3"/>
    <w:rsid w:val="005935BA"/>
    <w:rsid w:val="005936CA"/>
    <w:rsid w:val="0059458B"/>
    <w:rsid w:val="00594977"/>
    <w:rsid w:val="00594FE2"/>
    <w:rsid w:val="00596EDD"/>
    <w:rsid w:val="005A01CB"/>
    <w:rsid w:val="005A054C"/>
    <w:rsid w:val="005A0CE4"/>
    <w:rsid w:val="005A181E"/>
    <w:rsid w:val="005A1D36"/>
    <w:rsid w:val="005A1EA6"/>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0F66"/>
    <w:rsid w:val="005B1870"/>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5E0C"/>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521A"/>
    <w:rsid w:val="005D55BC"/>
    <w:rsid w:val="005D5911"/>
    <w:rsid w:val="005D630D"/>
    <w:rsid w:val="005D6CC8"/>
    <w:rsid w:val="005D78D8"/>
    <w:rsid w:val="005D7AC3"/>
    <w:rsid w:val="005E0134"/>
    <w:rsid w:val="005E1859"/>
    <w:rsid w:val="005E1D72"/>
    <w:rsid w:val="005E28E6"/>
    <w:rsid w:val="005E2CDC"/>
    <w:rsid w:val="005E3782"/>
    <w:rsid w:val="005E39D4"/>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283"/>
    <w:rsid w:val="006008D6"/>
    <w:rsid w:val="006009C6"/>
    <w:rsid w:val="006024C4"/>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114A"/>
    <w:rsid w:val="00612033"/>
    <w:rsid w:val="00612318"/>
    <w:rsid w:val="00612929"/>
    <w:rsid w:val="00613914"/>
    <w:rsid w:val="00613D39"/>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1C3"/>
    <w:rsid w:val="00631F79"/>
    <w:rsid w:val="006324AD"/>
    <w:rsid w:val="00633072"/>
    <w:rsid w:val="00633182"/>
    <w:rsid w:val="00633584"/>
    <w:rsid w:val="00633F2E"/>
    <w:rsid w:val="006341F7"/>
    <w:rsid w:val="00634360"/>
    <w:rsid w:val="00636246"/>
    <w:rsid w:val="00637241"/>
    <w:rsid w:val="006375AB"/>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AA"/>
    <w:rsid w:val="006541C8"/>
    <w:rsid w:val="00655BCB"/>
    <w:rsid w:val="00655EF8"/>
    <w:rsid w:val="00655F0E"/>
    <w:rsid w:val="0065645C"/>
    <w:rsid w:val="006571B5"/>
    <w:rsid w:val="00657302"/>
    <w:rsid w:val="006603AD"/>
    <w:rsid w:val="00660A97"/>
    <w:rsid w:val="00661970"/>
    <w:rsid w:val="00661A8D"/>
    <w:rsid w:val="0066224A"/>
    <w:rsid w:val="00662A35"/>
    <w:rsid w:val="00662A8C"/>
    <w:rsid w:val="00664A40"/>
    <w:rsid w:val="00664D4F"/>
    <w:rsid w:val="00664DC7"/>
    <w:rsid w:val="00666344"/>
    <w:rsid w:val="00666AA0"/>
    <w:rsid w:val="00666DAE"/>
    <w:rsid w:val="00667868"/>
    <w:rsid w:val="00667C90"/>
    <w:rsid w:val="00670111"/>
    <w:rsid w:val="0067020D"/>
    <w:rsid w:val="006703AB"/>
    <w:rsid w:val="0067057E"/>
    <w:rsid w:val="0067099C"/>
    <w:rsid w:val="006714F3"/>
    <w:rsid w:val="00671B21"/>
    <w:rsid w:val="00671CEC"/>
    <w:rsid w:val="00671FCA"/>
    <w:rsid w:val="006721A4"/>
    <w:rsid w:val="0067273B"/>
    <w:rsid w:val="006728AE"/>
    <w:rsid w:val="00672EE4"/>
    <w:rsid w:val="00672EE5"/>
    <w:rsid w:val="006731B7"/>
    <w:rsid w:val="00673A35"/>
    <w:rsid w:val="00674280"/>
    <w:rsid w:val="006748EF"/>
    <w:rsid w:val="00674AF7"/>
    <w:rsid w:val="00674E2C"/>
    <w:rsid w:val="00676B43"/>
    <w:rsid w:val="00677042"/>
    <w:rsid w:val="00680024"/>
    <w:rsid w:val="00680B00"/>
    <w:rsid w:val="00682276"/>
    <w:rsid w:val="0068312E"/>
    <w:rsid w:val="00683ABC"/>
    <w:rsid w:val="00684F40"/>
    <w:rsid w:val="006853F7"/>
    <w:rsid w:val="006859F6"/>
    <w:rsid w:val="00685F42"/>
    <w:rsid w:val="0068684A"/>
    <w:rsid w:val="00686EB4"/>
    <w:rsid w:val="0068712C"/>
    <w:rsid w:val="00687C6E"/>
    <w:rsid w:val="00687C98"/>
    <w:rsid w:val="006907F2"/>
    <w:rsid w:val="00690B6F"/>
    <w:rsid w:val="006916CE"/>
    <w:rsid w:val="00691B3A"/>
    <w:rsid w:val="0069245E"/>
    <w:rsid w:val="00692DA9"/>
    <w:rsid w:val="00693E1B"/>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6B8E"/>
    <w:rsid w:val="006A7320"/>
    <w:rsid w:val="006A7E25"/>
    <w:rsid w:val="006B0B0B"/>
    <w:rsid w:val="006B136B"/>
    <w:rsid w:val="006B18F4"/>
    <w:rsid w:val="006B23FF"/>
    <w:rsid w:val="006B2FDE"/>
    <w:rsid w:val="006B50D1"/>
    <w:rsid w:val="006B5322"/>
    <w:rsid w:val="006B5494"/>
    <w:rsid w:val="006B6161"/>
    <w:rsid w:val="006B6AB9"/>
    <w:rsid w:val="006B6C60"/>
    <w:rsid w:val="006B76F3"/>
    <w:rsid w:val="006B7C56"/>
    <w:rsid w:val="006C03FA"/>
    <w:rsid w:val="006C0E26"/>
    <w:rsid w:val="006C149B"/>
    <w:rsid w:val="006C17C4"/>
    <w:rsid w:val="006C19F4"/>
    <w:rsid w:val="006C20FE"/>
    <w:rsid w:val="006C3124"/>
    <w:rsid w:val="006C3A4B"/>
    <w:rsid w:val="006C4CA3"/>
    <w:rsid w:val="006C5475"/>
    <w:rsid w:val="006C643F"/>
    <w:rsid w:val="006D0B67"/>
    <w:rsid w:val="006D0CA1"/>
    <w:rsid w:val="006D22E9"/>
    <w:rsid w:val="006D308F"/>
    <w:rsid w:val="006D38A0"/>
    <w:rsid w:val="006D4A81"/>
    <w:rsid w:val="006D5A80"/>
    <w:rsid w:val="006D5DE9"/>
    <w:rsid w:val="006D5F8F"/>
    <w:rsid w:val="006D61F8"/>
    <w:rsid w:val="006D746C"/>
    <w:rsid w:val="006D7E89"/>
    <w:rsid w:val="006E0F52"/>
    <w:rsid w:val="006E1897"/>
    <w:rsid w:val="006E1B6D"/>
    <w:rsid w:val="006E1DE1"/>
    <w:rsid w:val="006E337D"/>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78F"/>
    <w:rsid w:val="00714C20"/>
    <w:rsid w:val="00715084"/>
    <w:rsid w:val="00716E1C"/>
    <w:rsid w:val="00720139"/>
    <w:rsid w:val="0072065A"/>
    <w:rsid w:val="00721864"/>
    <w:rsid w:val="00721969"/>
    <w:rsid w:val="00721DCB"/>
    <w:rsid w:val="00721E19"/>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368E7"/>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97A25"/>
    <w:rsid w:val="007A1069"/>
    <w:rsid w:val="007A1E46"/>
    <w:rsid w:val="007A1F36"/>
    <w:rsid w:val="007A312A"/>
    <w:rsid w:val="007A3790"/>
    <w:rsid w:val="007A40DA"/>
    <w:rsid w:val="007A4ACE"/>
    <w:rsid w:val="007A52E7"/>
    <w:rsid w:val="007A57D9"/>
    <w:rsid w:val="007A57FF"/>
    <w:rsid w:val="007A6348"/>
    <w:rsid w:val="007A66C0"/>
    <w:rsid w:val="007A68FD"/>
    <w:rsid w:val="007A719B"/>
    <w:rsid w:val="007A7D7C"/>
    <w:rsid w:val="007B03BD"/>
    <w:rsid w:val="007B0498"/>
    <w:rsid w:val="007B06F5"/>
    <w:rsid w:val="007B0938"/>
    <w:rsid w:val="007B0B6A"/>
    <w:rsid w:val="007B24C1"/>
    <w:rsid w:val="007B39E5"/>
    <w:rsid w:val="007B430C"/>
    <w:rsid w:val="007B450D"/>
    <w:rsid w:val="007B5042"/>
    <w:rsid w:val="007B51AB"/>
    <w:rsid w:val="007B52C4"/>
    <w:rsid w:val="007B7234"/>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58EE"/>
    <w:rsid w:val="007D5A48"/>
    <w:rsid w:val="007D6175"/>
    <w:rsid w:val="007D62DA"/>
    <w:rsid w:val="007D6B68"/>
    <w:rsid w:val="007D73CD"/>
    <w:rsid w:val="007D74E5"/>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5E0"/>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5043C"/>
    <w:rsid w:val="008508A6"/>
    <w:rsid w:val="00851412"/>
    <w:rsid w:val="0085350A"/>
    <w:rsid w:val="00853654"/>
    <w:rsid w:val="00853D79"/>
    <w:rsid w:val="00854969"/>
    <w:rsid w:val="00854AE7"/>
    <w:rsid w:val="0085577F"/>
    <w:rsid w:val="00856049"/>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5078"/>
    <w:rsid w:val="0087527C"/>
    <w:rsid w:val="00875844"/>
    <w:rsid w:val="00875F72"/>
    <w:rsid w:val="00876B8A"/>
    <w:rsid w:val="00877288"/>
    <w:rsid w:val="008805D5"/>
    <w:rsid w:val="00881319"/>
    <w:rsid w:val="0088179F"/>
    <w:rsid w:val="00884786"/>
    <w:rsid w:val="008850A7"/>
    <w:rsid w:val="008859BA"/>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5A1"/>
    <w:rsid w:val="008A4E02"/>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9D4"/>
    <w:rsid w:val="008C2BF8"/>
    <w:rsid w:val="008C2C02"/>
    <w:rsid w:val="008C2EA4"/>
    <w:rsid w:val="008C3F65"/>
    <w:rsid w:val="008C4388"/>
    <w:rsid w:val="008C4D2E"/>
    <w:rsid w:val="008C4D2F"/>
    <w:rsid w:val="008C500D"/>
    <w:rsid w:val="008C5934"/>
    <w:rsid w:val="008C5D94"/>
    <w:rsid w:val="008C6839"/>
    <w:rsid w:val="008C7080"/>
    <w:rsid w:val="008C7451"/>
    <w:rsid w:val="008C74B6"/>
    <w:rsid w:val="008D05CC"/>
    <w:rsid w:val="008D086E"/>
    <w:rsid w:val="008D09CD"/>
    <w:rsid w:val="008D2867"/>
    <w:rsid w:val="008D2C47"/>
    <w:rsid w:val="008D2D93"/>
    <w:rsid w:val="008D4D21"/>
    <w:rsid w:val="008D4F05"/>
    <w:rsid w:val="008D5B34"/>
    <w:rsid w:val="008D5C6D"/>
    <w:rsid w:val="008D696C"/>
    <w:rsid w:val="008D6B1F"/>
    <w:rsid w:val="008D6DD1"/>
    <w:rsid w:val="008D7763"/>
    <w:rsid w:val="008E01B2"/>
    <w:rsid w:val="008E0D92"/>
    <w:rsid w:val="008E2A23"/>
    <w:rsid w:val="008E2B02"/>
    <w:rsid w:val="008E3553"/>
    <w:rsid w:val="008E4651"/>
    <w:rsid w:val="008E4C15"/>
    <w:rsid w:val="008E5035"/>
    <w:rsid w:val="008E59A9"/>
    <w:rsid w:val="008E6125"/>
    <w:rsid w:val="008E6A69"/>
    <w:rsid w:val="008E6DB5"/>
    <w:rsid w:val="008F0FAB"/>
    <w:rsid w:val="008F1167"/>
    <w:rsid w:val="008F1C30"/>
    <w:rsid w:val="008F21D7"/>
    <w:rsid w:val="008F467B"/>
    <w:rsid w:val="008F4BDF"/>
    <w:rsid w:val="008F51DE"/>
    <w:rsid w:val="008F51FA"/>
    <w:rsid w:val="008F5649"/>
    <w:rsid w:val="008F5B99"/>
    <w:rsid w:val="008F5BCA"/>
    <w:rsid w:val="008F6DBD"/>
    <w:rsid w:val="008F701A"/>
    <w:rsid w:val="008F7464"/>
    <w:rsid w:val="008F7D9C"/>
    <w:rsid w:val="009001F2"/>
    <w:rsid w:val="00902140"/>
    <w:rsid w:val="009024EE"/>
    <w:rsid w:val="00902E1E"/>
    <w:rsid w:val="00903F86"/>
    <w:rsid w:val="00903FEA"/>
    <w:rsid w:val="00904100"/>
    <w:rsid w:val="009054EE"/>
    <w:rsid w:val="009061BD"/>
    <w:rsid w:val="00906E13"/>
    <w:rsid w:val="00906E73"/>
    <w:rsid w:val="0090746A"/>
    <w:rsid w:val="00907AC6"/>
    <w:rsid w:val="009109C1"/>
    <w:rsid w:val="00910C18"/>
    <w:rsid w:val="00911254"/>
    <w:rsid w:val="009129B8"/>
    <w:rsid w:val="009130FC"/>
    <w:rsid w:val="0091373B"/>
    <w:rsid w:val="00913BFF"/>
    <w:rsid w:val="0091463F"/>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26F3"/>
    <w:rsid w:val="0093334C"/>
    <w:rsid w:val="0093444B"/>
    <w:rsid w:val="009346A8"/>
    <w:rsid w:val="00934945"/>
    <w:rsid w:val="0093592F"/>
    <w:rsid w:val="00936090"/>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64BB"/>
    <w:rsid w:val="009475E7"/>
    <w:rsid w:val="00947753"/>
    <w:rsid w:val="00947AA0"/>
    <w:rsid w:val="009509A8"/>
    <w:rsid w:val="00950DA5"/>
    <w:rsid w:val="00951062"/>
    <w:rsid w:val="009514DF"/>
    <w:rsid w:val="0095168C"/>
    <w:rsid w:val="009516E9"/>
    <w:rsid w:val="009531A8"/>
    <w:rsid w:val="0095382F"/>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84B"/>
    <w:rsid w:val="00972C8C"/>
    <w:rsid w:val="009736A9"/>
    <w:rsid w:val="00973A1C"/>
    <w:rsid w:val="00973DBA"/>
    <w:rsid w:val="009749F7"/>
    <w:rsid w:val="0097569E"/>
    <w:rsid w:val="00976423"/>
    <w:rsid w:val="0097648C"/>
    <w:rsid w:val="00976A45"/>
    <w:rsid w:val="00976FD5"/>
    <w:rsid w:val="0097746E"/>
    <w:rsid w:val="0098081F"/>
    <w:rsid w:val="00980A97"/>
    <w:rsid w:val="00981705"/>
    <w:rsid w:val="0098378D"/>
    <w:rsid w:val="00983BE8"/>
    <w:rsid w:val="009849A4"/>
    <w:rsid w:val="00985D03"/>
    <w:rsid w:val="00985D28"/>
    <w:rsid w:val="0098614F"/>
    <w:rsid w:val="0098675B"/>
    <w:rsid w:val="0098686D"/>
    <w:rsid w:val="00986E9F"/>
    <w:rsid w:val="009875DF"/>
    <w:rsid w:val="00987612"/>
    <w:rsid w:val="009876B3"/>
    <w:rsid w:val="00991054"/>
    <w:rsid w:val="00991D37"/>
    <w:rsid w:val="00992189"/>
    <w:rsid w:val="00992433"/>
    <w:rsid w:val="009928B0"/>
    <w:rsid w:val="009929D6"/>
    <w:rsid w:val="00993217"/>
    <w:rsid w:val="00993434"/>
    <w:rsid w:val="009934B2"/>
    <w:rsid w:val="00993858"/>
    <w:rsid w:val="009942E7"/>
    <w:rsid w:val="00994959"/>
    <w:rsid w:val="00994E3F"/>
    <w:rsid w:val="00995A5D"/>
    <w:rsid w:val="009969F0"/>
    <w:rsid w:val="009A067E"/>
    <w:rsid w:val="009A0E18"/>
    <w:rsid w:val="009A1185"/>
    <w:rsid w:val="009A11EF"/>
    <w:rsid w:val="009A12E5"/>
    <w:rsid w:val="009A1471"/>
    <w:rsid w:val="009A17F9"/>
    <w:rsid w:val="009A1BB2"/>
    <w:rsid w:val="009A24BA"/>
    <w:rsid w:val="009A26D7"/>
    <w:rsid w:val="009A270D"/>
    <w:rsid w:val="009A392F"/>
    <w:rsid w:val="009A508B"/>
    <w:rsid w:val="009A543A"/>
    <w:rsid w:val="009A5AE9"/>
    <w:rsid w:val="009A6507"/>
    <w:rsid w:val="009A69C4"/>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5B55"/>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436B"/>
    <w:rsid w:val="009E57EC"/>
    <w:rsid w:val="009E59E1"/>
    <w:rsid w:val="009E61F6"/>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1F60"/>
    <w:rsid w:val="00A02D8E"/>
    <w:rsid w:val="00A03299"/>
    <w:rsid w:val="00A03AC9"/>
    <w:rsid w:val="00A0424C"/>
    <w:rsid w:val="00A04981"/>
    <w:rsid w:val="00A05CDF"/>
    <w:rsid w:val="00A06BE9"/>
    <w:rsid w:val="00A06D59"/>
    <w:rsid w:val="00A06E3B"/>
    <w:rsid w:val="00A07432"/>
    <w:rsid w:val="00A07467"/>
    <w:rsid w:val="00A07727"/>
    <w:rsid w:val="00A07B81"/>
    <w:rsid w:val="00A07E36"/>
    <w:rsid w:val="00A1025A"/>
    <w:rsid w:val="00A11CCF"/>
    <w:rsid w:val="00A123BD"/>
    <w:rsid w:val="00A12D3A"/>
    <w:rsid w:val="00A12E5A"/>
    <w:rsid w:val="00A138F6"/>
    <w:rsid w:val="00A14BD9"/>
    <w:rsid w:val="00A1535C"/>
    <w:rsid w:val="00A15AFF"/>
    <w:rsid w:val="00A16F90"/>
    <w:rsid w:val="00A17450"/>
    <w:rsid w:val="00A17FE6"/>
    <w:rsid w:val="00A20118"/>
    <w:rsid w:val="00A20BA5"/>
    <w:rsid w:val="00A21263"/>
    <w:rsid w:val="00A21588"/>
    <w:rsid w:val="00A220DF"/>
    <w:rsid w:val="00A2231A"/>
    <w:rsid w:val="00A22617"/>
    <w:rsid w:val="00A23958"/>
    <w:rsid w:val="00A23D7D"/>
    <w:rsid w:val="00A243FF"/>
    <w:rsid w:val="00A24F8C"/>
    <w:rsid w:val="00A24FD3"/>
    <w:rsid w:val="00A25029"/>
    <w:rsid w:val="00A256EE"/>
    <w:rsid w:val="00A26A6E"/>
    <w:rsid w:val="00A27319"/>
    <w:rsid w:val="00A2736D"/>
    <w:rsid w:val="00A27EAF"/>
    <w:rsid w:val="00A30E17"/>
    <w:rsid w:val="00A3106F"/>
    <w:rsid w:val="00A3172B"/>
    <w:rsid w:val="00A3226E"/>
    <w:rsid w:val="00A32B97"/>
    <w:rsid w:val="00A32D64"/>
    <w:rsid w:val="00A331F9"/>
    <w:rsid w:val="00A34905"/>
    <w:rsid w:val="00A35D44"/>
    <w:rsid w:val="00A365EF"/>
    <w:rsid w:val="00A37704"/>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5EC0"/>
    <w:rsid w:val="00AA6DC6"/>
    <w:rsid w:val="00AA7702"/>
    <w:rsid w:val="00AA7FCF"/>
    <w:rsid w:val="00AB0272"/>
    <w:rsid w:val="00AB0CFD"/>
    <w:rsid w:val="00AB0DAE"/>
    <w:rsid w:val="00AB1B1F"/>
    <w:rsid w:val="00AB320B"/>
    <w:rsid w:val="00AB338C"/>
    <w:rsid w:val="00AB36A2"/>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80"/>
    <w:rsid w:val="00AD3BF0"/>
    <w:rsid w:val="00AD3E79"/>
    <w:rsid w:val="00AD41B0"/>
    <w:rsid w:val="00AD54F4"/>
    <w:rsid w:val="00AD5DDA"/>
    <w:rsid w:val="00AD677C"/>
    <w:rsid w:val="00AD6D77"/>
    <w:rsid w:val="00AD7465"/>
    <w:rsid w:val="00AD7517"/>
    <w:rsid w:val="00AE03EA"/>
    <w:rsid w:val="00AE1EB4"/>
    <w:rsid w:val="00AE22C4"/>
    <w:rsid w:val="00AE2EB8"/>
    <w:rsid w:val="00AE3346"/>
    <w:rsid w:val="00AE383F"/>
    <w:rsid w:val="00AE45BB"/>
    <w:rsid w:val="00AE4996"/>
    <w:rsid w:val="00AE49A2"/>
    <w:rsid w:val="00AE4B71"/>
    <w:rsid w:val="00AE4D3C"/>
    <w:rsid w:val="00AE4F13"/>
    <w:rsid w:val="00AE4FB6"/>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08"/>
    <w:rsid w:val="00AF68D9"/>
    <w:rsid w:val="00AF6B72"/>
    <w:rsid w:val="00AF6FA5"/>
    <w:rsid w:val="00B00417"/>
    <w:rsid w:val="00B0156D"/>
    <w:rsid w:val="00B0159F"/>
    <w:rsid w:val="00B02743"/>
    <w:rsid w:val="00B0436A"/>
    <w:rsid w:val="00B04B39"/>
    <w:rsid w:val="00B05237"/>
    <w:rsid w:val="00B05759"/>
    <w:rsid w:val="00B05FEB"/>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1C5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9BD"/>
    <w:rsid w:val="00B33EAB"/>
    <w:rsid w:val="00B34DE1"/>
    <w:rsid w:val="00B351F3"/>
    <w:rsid w:val="00B35A0F"/>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C87"/>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D2F"/>
    <w:rsid w:val="00B65FCD"/>
    <w:rsid w:val="00B664A8"/>
    <w:rsid w:val="00B66A2C"/>
    <w:rsid w:val="00B66F3A"/>
    <w:rsid w:val="00B67003"/>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87F86"/>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5D33"/>
    <w:rsid w:val="00BB6200"/>
    <w:rsid w:val="00BB67D3"/>
    <w:rsid w:val="00BB68EA"/>
    <w:rsid w:val="00BB7268"/>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7F5"/>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9EF"/>
    <w:rsid w:val="00C07EBC"/>
    <w:rsid w:val="00C101EA"/>
    <w:rsid w:val="00C10876"/>
    <w:rsid w:val="00C10D0D"/>
    <w:rsid w:val="00C114F5"/>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3A0F"/>
    <w:rsid w:val="00C243ED"/>
    <w:rsid w:val="00C2442E"/>
    <w:rsid w:val="00C244D5"/>
    <w:rsid w:val="00C2524E"/>
    <w:rsid w:val="00C261E0"/>
    <w:rsid w:val="00C264B8"/>
    <w:rsid w:val="00C2685F"/>
    <w:rsid w:val="00C26D20"/>
    <w:rsid w:val="00C270EF"/>
    <w:rsid w:val="00C27D24"/>
    <w:rsid w:val="00C30843"/>
    <w:rsid w:val="00C30B79"/>
    <w:rsid w:val="00C3322D"/>
    <w:rsid w:val="00C34879"/>
    <w:rsid w:val="00C34C77"/>
    <w:rsid w:val="00C34D1A"/>
    <w:rsid w:val="00C34F88"/>
    <w:rsid w:val="00C35984"/>
    <w:rsid w:val="00C3610E"/>
    <w:rsid w:val="00C36C05"/>
    <w:rsid w:val="00C36EF4"/>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E00"/>
    <w:rsid w:val="00C60A55"/>
    <w:rsid w:val="00C60C53"/>
    <w:rsid w:val="00C60E9D"/>
    <w:rsid w:val="00C6119C"/>
    <w:rsid w:val="00C61C09"/>
    <w:rsid w:val="00C61D9A"/>
    <w:rsid w:val="00C61DC3"/>
    <w:rsid w:val="00C63C38"/>
    <w:rsid w:val="00C645AD"/>
    <w:rsid w:val="00C66009"/>
    <w:rsid w:val="00C66F17"/>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AC8"/>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9F"/>
    <w:rsid w:val="00CA79B5"/>
    <w:rsid w:val="00CB0A79"/>
    <w:rsid w:val="00CB1317"/>
    <w:rsid w:val="00CB19DE"/>
    <w:rsid w:val="00CB1CFA"/>
    <w:rsid w:val="00CB1DAF"/>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D7692"/>
    <w:rsid w:val="00CE0A4B"/>
    <w:rsid w:val="00CE1222"/>
    <w:rsid w:val="00CE128B"/>
    <w:rsid w:val="00CE1596"/>
    <w:rsid w:val="00CE17CF"/>
    <w:rsid w:val="00CE5131"/>
    <w:rsid w:val="00CE6223"/>
    <w:rsid w:val="00CE62ED"/>
    <w:rsid w:val="00CE66FB"/>
    <w:rsid w:val="00CE6834"/>
    <w:rsid w:val="00CE6866"/>
    <w:rsid w:val="00CE6D31"/>
    <w:rsid w:val="00CE7862"/>
    <w:rsid w:val="00CF02C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CC2"/>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C50"/>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04C"/>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2064"/>
    <w:rsid w:val="00DC279D"/>
    <w:rsid w:val="00DC31EB"/>
    <w:rsid w:val="00DC362E"/>
    <w:rsid w:val="00DC3718"/>
    <w:rsid w:val="00DC3846"/>
    <w:rsid w:val="00DC4367"/>
    <w:rsid w:val="00DC4592"/>
    <w:rsid w:val="00DC5971"/>
    <w:rsid w:val="00DC5C6E"/>
    <w:rsid w:val="00DC5E44"/>
    <w:rsid w:val="00DC5ED3"/>
    <w:rsid w:val="00DC6021"/>
    <w:rsid w:val="00DC63EC"/>
    <w:rsid w:val="00DC78A7"/>
    <w:rsid w:val="00DD0758"/>
    <w:rsid w:val="00DD1729"/>
    <w:rsid w:val="00DD2295"/>
    <w:rsid w:val="00DD292B"/>
    <w:rsid w:val="00DD2CDF"/>
    <w:rsid w:val="00DD3EF6"/>
    <w:rsid w:val="00DD51E9"/>
    <w:rsid w:val="00DD5A7F"/>
    <w:rsid w:val="00DD761D"/>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312C"/>
    <w:rsid w:val="00E1447C"/>
    <w:rsid w:val="00E152A9"/>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75EC"/>
    <w:rsid w:val="00E278F1"/>
    <w:rsid w:val="00E27962"/>
    <w:rsid w:val="00E27EE2"/>
    <w:rsid w:val="00E27F4C"/>
    <w:rsid w:val="00E30D7F"/>
    <w:rsid w:val="00E3145B"/>
    <w:rsid w:val="00E32F5A"/>
    <w:rsid w:val="00E3304A"/>
    <w:rsid w:val="00E3321B"/>
    <w:rsid w:val="00E33248"/>
    <w:rsid w:val="00E336D6"/>
    <w:rsid w:val="00E3424C"/>
    <w:rsid w:val="00E349AB"/>
    <w:rsid w:val="00E34EDD"/>
    <w:rsid w:val="00E3501B"/>
    <w:rsid w:val="00E35208"/>
    <w:rsid w:val="00E35ADA"/>
    <w:rsid w:val="00E35B11"/>
    <w:rsid w:val="00E3702D"/>
    <w:rsid w:val="00E405A2"/>
    <w:rsid w:val="00E411D2"/>
    <w:rsid w:val="00E41246"/>
    <w:rsid w:val="00E42C05"/>
    <w:rsid w:val="00E42F96"/>
    <w:rsid w:val="00E430D0"/>
    <w:rsid w:val="00E43481"/>
    <w:rsid w:val="00E434A4"/>
    <w:rsid w:val="00E435F5"/>
    <w:rsid w:val="00E4393C"/>
    <w:rsid w:val="00E43E74"/>
    <w:rsid w:val="00E45C38"/>
    <w:rsid w:val="00E46053"/>
    <w:rsid w:val="00E4720D"/>
    <w:rsid w:val="00E47998"/>
    <w:rsid w:val="00E523A2"/>
    <w:rsid w:val="00E523BA"/>
    <w:rsid w:val="00E52BBC"/>
    <w:rsid w:val="00E5439A"/>
    <w:rsid w:val="00E5454B"/>
    <w:rsid w:val="00E548EC"/>
    <w:rsid w:val="00E54BE0"/>
    <w:rsid w:val="00E5534D"/>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2614"/>
    <w:rsid w:val="00E74802"/>
    <w:rsid w:val="00E74C9C"/>
    <w:rsid w:val="00E75E83"/>
    <w:rsid w:val="00E76A9C"/>
    <w:rsid w:val="00E803AD"/>
    <w:rsid w:val="00E805BC"/>
    <w:rsid w:val="00E81B2B"/>
    <w:rsid w:val="00E81D87"/>
    <w:rsid w:val="00E82FE8"/>
    <w:rsid w:val="00E831F8"/>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5CB"/>
    <w:rsid w:val="00EB676C"/>
    <w:rsid w:val="00EB69E2"/>
    <w:rsid w:val="00EB6AD7"/>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6647"/>
    <w:rsid w:val="00EC71FA"/>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6247"/>
    <w:rsid w:val="00EE6CEA"/>
    <w:rsid w:val="00EF0032"/>
    <w:rsid w:val="00EF03B1"/>
    <w:rsid w:val="00EF0D2A"/>
    <w:rsid w:val="00EF145D"/>
    <w:rsid w:val="00EF2DBE"/>
    <w:rsid w:val="00EF2FD2"/>
    <w:rsid w:val="00EF3652"/>
    <w:rsid w:val="00EF37B0"/>
    <w:rsid w:val="00EF3878"/>
    <w:rsid w:val="00EF39E6"/>
    <w:rsid w:val="00EF3B4C"/>
    <w:rsid w:val="00EF47DE"/>
    <w:rsid w:val="00EF4FA5"/>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C80"/>
    <w:rsid w:val="00F13EE5"/>
    <w:rsid w:val="00F13F17"/>
    <w:rsid w:val="00F14525"/>
    <w:rsid w:val="00F1479F"/>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0C"/>
    <w:rsid w:val="00F25A77"/>
    <w:rsid w:val="00F26584"/>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AC3"/>
    <w:rsid w:val="00F462F8"/>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875"/>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30D3"/>
    <w:rsid w:val="00FD3427"/>
    <w:rsid w:val="00FD3AB5"/>
    <w:rsid w:val="00FD7B74"/>
    <w:rsid w:val="00FE06E2"/>
    <w:rsid w:val="00FE0EDA"/>
    <w:rsid w:val="00FE152F"/>
    <w:rsid w:val="00FE17EF"/>
    <w:rsid w:val="00FE184E"/>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EBF"/>
    <w:rsid w:val="00FF0F59"/>
    <w:rsid w:val="00FF206E"/>
    <w:rsid w:val="00FF20FB"/>
    <w:rsid w:val="00FF3804"/>
    <w:rsid w:val="00FF3E14"/>
    <w:rsid w:val="00FF4248"/>
    <w:rsid w:val="00FF4BE1"/>
    <w:rsid w:val="00FF5AC9"/>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76827"/>
  <w15:docId w15:val="{D079F243-6D90-4CC3-A7AA-5499DE34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customStyle="1" w:styleId="Normal1">
    <w:name w:val="Normal1"/>
    <w:rsid w:val="001A4786"/>
    <w:pPr>
      <w:spacing w:line="276" w:lineRule="auto"/>
    </w:pPr>
    <w:rPr>
      <w:rFonts w:ascii="Arial" w:eastAsia="Arial" w:hAnsi="Arial" w:cs="Arial"/>
      <w:color w:val="000000"/>
      <w:sz w:val="22"/>
    </w:rPr>
  </w:style>
  <w:style w:type="paragraph" w:styleId="HTMLPreformatted">
    <w:name w:val="HTML Preformatted"/>
    <w:basedOn w:val="Normal"/>
    <w:link w:val="HTMLPreformattedChar"/>
    <w:uiPriority w:val="99"/>
    <w:unhideWhenUsed/>
    <w:rsid w:val="00B8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87F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ma.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wan@pcbs.gov.p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59EC-9902-4CF6-9B3C-D9C64C8A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1119</Words>
  <Characters>6383</Characters>
  <Application>Microsoft Office Word</Application>
  <DocSecurity>0</DocSecurity>
  <Lines>53</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الثاني</vt:lpstr>
      <vt:lpstr>الفصل الثاني</vt:lpstr>
    </vt:vector>
  </TitlesOfParts>
  <Company>Hewlett-Packard</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LOAY SHEHADEH</cp:lastModifiedBy>
  <cp:revision>7</cp:revision>
  <cp:lastPrinted>2020-12-13T09:25:00Z</cp:lastPrinted>
  <dcterms:created xsi:type="dcterms:W3CDTF">2021-12-28T09:11:00Z</dcterms:created>
  <dcterms:modified xsi:type="dcterms:W3CDTF">2021-12-29T09:02:00Z</dcterms:modified>
</cp:coreProperties>
</file>