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1B9" w:rsidRPr="000471B9" w:rsidRDefault="00926F06" w:rsidP="000471B9">
      <w:pPr>
        <w:bidi/>
        <w:rPr>
          <w:b w:val="0"/>
          <w:bCs/>
          <w:i w:val="0"/>
          <w:iCs/>
        </w:rPr>
      </w:pPr>
      <w:r>
        <w:rPr>
          <w:rFonts w:hint="cs"/>
          <w:b w:val="0"/>
          <w:bCs/>
          <w:i w:val="0"/>
          <w:iCs/>
          <w:rtl/>
        </w:rPr>
        <w:t xml:space="preserve">                                                                 </w:t>
      </w:r>
    </w:p>
    <w:p w:rsidR="000471B9" w:rsidRPr="000471B9" w:rsidRDefault="000471B9" w:rsidP="000471B9">
      <w:pPr>
        <w:bidi/>
        <w:jc w:val="center"/>
        <w:rPr>
          <w:rFonts w:ascii="Times New Roman" w:hAnsi="Times New Roman"/>
          <w:i w:val="0"/>
          <w:iCs/>
          <w:sz w:val="32"/>
          <w:szCs w:val="32"/>
        </w:rPr>
      </w:pPr>
      <w:r w:rsidRPr="000471B9">
        <w:rPr>
          <w:rFonts w:ascii="Times New Roman" w:hAnsi="Times New Roman"/>
          <w:i w:val="0"/>
          <w:iCs/>
          <w:sz w:val="32"/>
          <w:szCs w:val="32"/>
        </w:rPr>
        <w:t xml:space="preserve">Palestinian Central Bureau of Statistics (PCBS) and the Palestine </w:t>
      </w:r>
    </w:p>
    <w:p w:rsidR="000471B9" w:rsidRDefault="000471B9" w:rsidP="000471B9">
      <w:pPr>
        <w:jc w:val="center"/>
        <w:rPr>
          <w:rFonts w:asciiTheme="majorBidi" w:hAnsiTheme="majorBidi" w:cstheme="majorBidi"/>
          <w:i w:val="0"/>
          <w:iCs/>
          <w:sz w:val="32"/>
          <w:szCs w:val="32"/>
        </w:rPr>
      </w:pPr>
      <w:r w:rsidRPr="000471B9">
        <w:rPr>
          <w:rFonts w:ascii="Times New Roman" w:hAnsi="Times New Roman"/>
          <w:i w:val="0"/>
          <w:iCs/>
          <w:sz w:val="32"/>
          <w:szCs w:val="32"/>
        </w:rPr>
        <w:t>Monetary Authority (PMA)</w:t>
      </w:r>
    </w:p>
    <w:p w:rsidR="000471B9" w:rsidRPr="000471B9" w:rsidRDefault="000471B9" w:rsidP="000471B9">
      <w:pPr>
        <w:jc w:val="center"/>
        <w:rPr>
          <w:rFonts w:asciiTheme="majorBidi" w:hAnsiTheme="majorBidi" w:cstheme="majorBidi"/>
          <w:i w:val="0"/>
          <w:iCs/>
        </w:rPr>
      </w:pPr>
    </w:p>
    <w:p w:rsidR="00835713" w:rsidRPr="000471B9" w:rsidRDefault="00835713" w:rsidP="000471B9">
      <w:pPr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  <w:r w:rsidRPr="000471B9">
        <w:rPr>
          <w:rFonts w:asciiTheme="majorBidi" w:hAnsiTheme="majorBidi" w:cstheme="majorBidi"/>
          <w:i w:val="0"/>
          <w:iCs/>
          <w:sz w:val="28"/>
          <w:szCs w:val="28"/>
        </w:rPr>
        <w:t xml:space="preserve">Deficit in Current Account is USD </w:t>
      </w:r>
      <w:r w:rsidRPr="000471B9">
        <w:rPr>
          <w:rFonts w:asciiTheme="majorBidi" w:hAnsiTheme="majorBidi" w:cstheme="majorBidi" w:hint="cs"/>
          <w:i w:val="0"/>
          <w:iCs/>
          <w:sz w:val="28"/>
          <w:szCs w:val="28"/>
          <w:rtl/>
        </w:rPr>
        <w:t>399</w:t>
      </w:r>
      <w:r w:rsidRPr="000471B9">
        <w:rPr>
          <w:rFonts w:asciiTheme="majorBidi" w:hAnsiTheme="majorBidi" w:cstheme="majorBidi"/>
          <w:i w:val="0"/>
          <w:iCs/>
          <w:sz w:val="28"/>
          <w:szCs w:val="28"/>
        </w:rPr>
        <w:t xml:space="preserve"> Million </w:t>
      </w:r>
    </w:p>
    <w:p w:rsidR="00E50275" w:rsidRPr="000471B9" w:rsidRDefault="00A36A82" w:rsidP="001E5975">
      <w:pPr>
        <w:bidi/>
        <w:spacing w:line="360" w:lineRule="auto"/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  <w:r w:rsidRPr="000471B9">
        <w:rPr>
          <w:rFonts w:asciiTheme="majorBidi" w:hAnsiTheme="majorBidi" w:cstheme="majorBidi"/>
          <w:i w:val="0"/>
          <w:iCs/>
          <w:sz w:val="28"/>
          <w:szCs w:val="28"/>
        </w:rPr>
        <w:t xml:space="preserve">of the </w:t>
      </w:r>
      <w:r w:rsidR="00E50275" w:rsidRPr="000471B9">
        <w:rPr>
          <w:rFonts w:asciiTheme="majorBidi" w:hAnsiTheme="majorBidi" w:cstheme="majorBidi"/>
          <w:i w:val="0"/>
          <w:iCs/>
          <w:sz w:val="28"/>
          <w:szCs w:val="28"/>
        </w:rPr>
        <w:t xml:space="preserve">Palestinian Balance of Payments – </w:t>
      </w:r>
      <w:r w:rsidR="001E5975" w:rsidRPr="000471B9">
        <w:rPr>
          <w:rFonts w:asciiTheme="majorBidi" w:hAnsiTheme="majorBidi" w:cstheme="majorBidi"/>
          <w:i w:val="0"/>
          <w:iCs/>
          <w:sz w:val="28"/>
          <w:szCs w:val="28"/>
        </w:rPr>
        <w:t>Fourth</w:t>
      </w:r>
      <w:r w:rsidR="00553325" w:rsidRPr="000471B9">
        <w:rPr>
          <w:rFonts w:asciiTheme="majorBidi" w:hAnsiTheme="majorBidi" w:cstheme="majorBidi"/>
          <w:i w:val="0"/>
          <w:iCs/>
          <w:sz w:val="28"/>
          <w:szCs w:val="28"/>
        </w:rPr>
        <w:t xml:space="preserve"> </w:t>
      </w:r>
      <w:r w:rsidR="00E50275" w:rsidRPr="000471B9">
        <w:rPr>
          <w:rFonts w:asciiTheme="majorBidi" w:hAnsiTheme="majorBidi" w:cstheme="majorBidi"/>
          <w:i w:val="0"/>
          <w:iCs/>
          <w:sz w:val="28"/>
          <w:szCs w:val="28"/>
        </w:rPr>
        <w:t xml:space="preserve">Quarter </w:t>
      </w:r>
      <w:r w:rsidR="00462882" w:rsidRPr="000471B9">
        <w:rPr>
          <w:rFonts w:asciiTheme="majorBidi" w:hAnsiTheme="majorBidi" w:cstheme="majorBidi"/>
          <w:i w:val="0"/>
          <w:iCs/>
          <w:sz w:val="28"/>
          <w:szCs w:val="28"/>
        </w:rPr>
        <w:t>2018</w:t>
      </w:r>
    </w:p>
    <w:p w:rsidR="000471B9" w:rsidRPr="000471B9" w:rsidRDefault="00D539E6" w:rsidP="00D539E6">
      <w:pPr>
        <w:pStyle w:val="BodyText"/>
        <w:bidi w:val="0"/>
        <w:jc w:val="center"/>
        <w:rPr>
          <w:rFonts w:asciiTheme="majorBidi" w:hAnsiTheme="majorBidi" w:cstheme="majorBidi"/>
          <w:b/>
          <w:iCs/>
          <w:sz w:val="28"/>
        </w:rPr>
      </w:pPr>
      <w:r w:rsidRPr="000471B9">
        <w:rPr>
          <w:rFonts w:asciiTheme="majorBidi" w:hAnsiTheme="majorBidi" w:cstheme="majorBidi"/>
          <w:b/>
          <w:iCs/>
          <w:sz w:val="28"/>
        </w:rPr>
        <w:t>The deficit in current account for the Palestinian Balance of Payments mainly triggered by the deficit of the Trade Balance, which reached</w:t>
      </w:r>
    </w:p>
    <w:p w:rsidR="00D539E6" w:rsidRPr="000471B9" w:rsidRDefault="00D539E6" w:rsidP="000471B9">
      <w:pPr>
        <w:pStyle w:val="BodyText"/>
        <w:bidi w:val="0"/>
        <w:jc w:val="center"/>
        <w:rPr>
          <w:rFonts w:asciiTheme="majorBidi" w:hAnsiTheme="majorBidi" w:cstheme="majorBidi"/>
          <w:b/>
          <w:iCs/>
          <w:sz w:val="28"/>
        </w:rPr>
      </w:pPr>
      <w:r w:rsidRPr="000471B9">
        <w:rPr>
          <w:rFonts w:asciiTheme="majorBidi" w:hAnsiTheme="majorBidi" w:cstheme="majorBidi"/>
          <w:b/>
          <w:iCs/>
          <w:sz w:val="28"/>
        </w:rPr>
        <w:t xml:space="preserve"> around USD 1.5 billion  </w:t>
      </w:r>
    </w:p>
    <w:p w:rsidR="00D539E6" w:rsidRPr="000471B9" w:rsidRDefault="00D539E6" w:rsidP="001E5975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b/>
          <w:iCs/>
          <w:sz w:val="28"/>
        </w:rPr>
      </w:pPr>
    </w:p>
    <w:p w:rsidR="000471B9" w:rsidRPr="000471B9" w:rsidRDefault="000471B9" w:rsidP="000471B9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b/>
          <w:iCs/>
          <w:sz w:val="28"/>
        </w:rPr>
      </w:pPr>
    </w:p>
    <w:p w:rsidR="00BB2DD0" w:rsidRPr="000471B9" w:rsidRDefault="00D8421E" w:rsidP="00D539E6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iCs/>
          <w:szCs w:val="24"/>
        </w:rPr>
      </w:pPr>
      <w:r w:rsidRPr="000471B9">
        <w:rPr>
          <w:rFonts w:asciiTheme="majorBidi" w:hAnsiTheme="majorBidi" w:cstheme="majorBidi"/>
          <w:iCs/>
          <w:szCs w:val="24"/>
        </w:rPr>
        <w:t xml:space="preserve">The Palestinian Central Bureau of Statistics (PCBS) and the Palestine Monetary Authority (PMA) announced the preliminary results of the Palestinian Balance of Payments (BoP) for the </w:t>
      </w:r>
      <w:r w:rsidR="001E5975" w:rsidRPr="000471B9">
        <w:rPr>
          <w:rFonts w:asciiTheme="majorBidi" w:hAnsiTheme="majorBidi" w:cstheme="majorBidi"/>
          <w:iCs/>
          <w:szCs w:val="24"/>
        </w:rPr>
        <w:t>fourth</w:t>
      </w:r>
      <w:r w:rsidRPr="000471B9">
        <w:rPr>
          <w:rFonts w:asciiTheme="majorBidi" w:hAnsiTheme="majorBidi" w:cstheme="majorBidi"/>
          <w:iCs/>
          <w:szCs w:val="24"/>
        </w:rPr>
        <w:t xml:space="preserve"> quarter of </w:t>
      </w:r>
      <w:r w:rsidR="00462882" w:rsidRPr="000471B9">
        <w:rPr>
          <w:rFonts w:asciiTheme="majorBidi" w:hAnsiTheme="majorBidi" w:cstheme="majorBidi"/>
          <w:iCs/>
          <w:szCs w:val="24"/>
        </w:rPr>
        <w:t>2018</w:t>
      </w:r>
      <w:r w:rsidRPr="000471B9">
        <w:rPr>
          <w:rFonts w:asciiTheme="majorBidi" w:hAnsiTheme="majorBidi" w:cstheme="majorBidi"/>
          <w:iCs/>
          <w:szCs w:val="24"/>
        </w:rPr>
        <w:t xml:space="preserve"> under the joint issuance cycle for the Palestinian Balance of Payments (BoP). It should be noted</w:t>
      </w:r>
      <w:r w:rsidRPr="000471B9">
        <w:rPr>
          <w:rFonts w:asciiTheme="majorBidi" w:hAnsiTheme="majorBidi" w:cstheme="majorBidi"/>
          <w:iCs/>
          <w:szCs w:val="24"/>
          <w:lang w:val="en-GB"/>
        </w:rPr>
        <w:t xml:space="preserve"> that </w:t>
      </w:r>
      <w:r w:rsidRPr="000471B9">
        <w:rPr>
          <w:rFonts w:asciiTheme="majorBidi" w:hAnsiTheme="majorBidi" w:cstheme="majorBidi"/>
          <w:iCs/>
          <w:szCs w:val="24"/>
        </w:rPr>
        <w:t xml:space="preserve">the data excludes </w:t>
      </w:r>
      <w:r w:rsidR="00A36A82" w:rsidRPr="000471B9">
        <w:rPr>
          <w:rFonts w:asciiTheme="majorBidi" w:hAnsiTheme="majorBidi" w:cstheme="majorBidi"/>
          <w:iCs/>
          <w:szCs w:val="24"/>
        </w:rPr>
        <w:t>those</w:t>
      </w:r>
      <w:r w:rsidR="007E6926" w:rsidRPr="000471B9">
        <w:rPr>
          <w:rFonts w:asciiTheme="majorBidi" w:hAnsiTheme="majorBidi" w:cstheme="majorBidi"/>
          <w:iCs/>
          <w:szCs w:val="24"/>
        </w:rPr>
        <w:t xml:space="preserve"> part</w:t>
      </w:r>
      <w:r w:rsidR="00A36A82" w:rsidRPr="000471B9">
        <w:rPr>
          <w:rFonts w:asciiTheme="majorBidi" w:hAnsiTheme="majorBidi" w:cstheme="majorBidi"/>
          <w:iCs/>
          <w:szCs w:val="24"/>
        </w:rPr>
        <w:t>s</w:t>
      </w:r>
      <w:r w:rsidR="007E6926" w:rsidRPr="000471B9">
        <w:rPr>
          <w:rFonts w:asciiTheme="majorBidi" w:hAnsiTheme="majorBidi" w:cstheme="majorBidi"/>
          <w:iCs/>
          <w:szCs w:val="24"/>
        </w:rPr>
        <w:t xml:space="preserve"> of Jerusalem</w:t>
      </w:r>
      <w:r w:rsidR="000C1306" w:rsidRPr="000471B9">
        <w:rPr>
          <w:rFonts w:asciiTheme="majorBidi" w:hAnsiTheme="majorBidi" w:cstheme="majorBidi"/>
          <w:iCs/>
          <w:szCs w:val="24"/>
        </w:rPr>
        <w:t xml:space="preserve"> </w:t>
      </w:r>
      <w:r w:rsidR="007E6926" w:rsidRPr="000471B9">
        <w:rPr>
          <w:rFonts w:asciiTheme="majorBidi" w:hAnsiTheme="majorBidi" w:cstheme="majorBidi"/>
          <w:iCs/>
          <w:szCs w:val="24"/>
        </w:rPr>
        <w:t xml:space="preserve">which </w:t>
      </w:r>
      <w:r w:rsidR="00A36A82" w:rsidRPr="000471B9">
        <w:rPr>
          <w:rFonts w:asciiTheme="majorBidi" w:hAnsiTheme="majorBidi" w:cstheme="majorBidi"/>
          <w:iCs/>
          <w:szCs w:val="24"/>
        </w:rPr>
        <w:t>were</w:t>
      </w:r>
      <w:r w:rsidR="007E6926" w:rsidRPr="000471B9">
        <w:rPr>
          <w:rFonts w:asciiTheme="majorBidi" w:hAnsiTheme="majorBidi" w:cstheme="majorBidi"/>
          <w:iCs/>
          <w:szCs w:val="24"/>
        </w:rPr>
        <w:t xml:space="preserve"> annexed by Israel occupation in 1967.</w:t>
      </w:r>
    </w:p>
    <w:p w:rsidR="00FB74EB" w:rsidRPr="000471B9" w:rsidRDefault="00FB74EB" w:rsidP="00FB74EB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iCs/>
          <w:sz w:val="16"/>
          <w:szCs w:val="16"/>
        </w:rPr>
      </w:pPr>
    </w:p>
    <w:p w:rsidR="004D1601" w:rsidRPr="000471B9" w:rsidRDefault="003E65F8" w:rsidP="00D539E6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iCs/>
          <w:color w:val="000000" w:themeColor="text1"/>
          <w:szCs w:val="24"/>
        </w:rPr>
      </w:pPr>
      <w:r w:rsidRPr="000471B9">
        <w:rPr>
          <w:rFonts w:asciiTheme="majorBidi" w:hAnsiTheme="majorBidi" w:cstheme="majorBidi"/>
          <w:iCs/>
          <w:color w:val="000000" w:themeColor="text1"/>
          <w:szCs w:val="24"/>
          <w:lang w:val="en-GB"/>
        </w:rPr>
        <w:t>An</w:t>
      </w:r>
      <w:r w:rsidR="006239FE"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 incessant deficit </w:t>
      </w:r>
      <w:r w:rsidR="00ED0711" w:rsidRPr="000471B9">
        <w:rPr>
          <w:rFonts w:asciiTheme="majorBidi" w:hAnsiTheme="majorBidi" w:cstheme="majorBidi"/>
          <w:iCs/>
          <w:color w:val="000000" w:themeColor="text1"/>
          <w:szCs w:val="24"/>
        </w:rPr>
        <w:t>in</w:t>
      </w:r>
      <w:r w:rsidR="006239FE"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 the Current Account</w:t>
      </w:r>
      <w:r w:rsidR="00EE02A9"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 (</w:t>
      </w:r>
      <w:r w:rsidR="00E06E08" w:rsidRPr="000471B9">
        <w:rPr>
          <w:rFonts w:asciiTheme="majorBidi" w:hAnsiTheme="majorBidi" w:cstheme="majorBidi"/>
          <w:iCs/>
          <w:color w:val="000000" w:themeColor="text1"/>
          <w:szCs w:val="24"/>
        </w:rPr>
        <w:t>g</w:t>
      </w:r>
      <w:r w:rsidR="00EE02A9"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oods, </w:t>
      </w:r>
      <w:r w:rsidR="00E06E08" w:rsidRPr="000471B9">
        <w:rPr>
          <w:rFonts w:asciiTheme="majorBidi" w:hAnsiTheme="majorBidi" w:cstheme="majorBidi"/>
          <w:iCs/>
          <w:color w:val="000000" w:themeColor="text1"/>
          <w:szCs w:val="24"/>
        </w:rPr>
        <w:t>s</w:t>
      </w:r>
      <w:r w:rsidR="00EE02A9"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ervices, </w:t>
      </w:r>
      <w:r w:rsidR="00E06E08" w:rsidRPr="000471B9">
        <w:rPr>
          <w:rFonts w:asciiTheme="majorBidi" w:hAnsiTheme="majorBidi" w:cstheme="majorBidi"/>
          <w:iCs/>
          <w:color w:val="000000" w:themeColor="text1"/>
          <w:szCs w:val="24"/>
        </w:rPr>
        <w:t>i</w:t>
      </w:r>
      <w:r w:rsidR="00EE02A9"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ncome, </w:t>
      </w:r>
      <w:r w:rsidR="00E06E08" w:rsidRPr="000471B9">
        <w:rPr>
          <w:rFonts w:asciiTheme="majorBidi" w:hAnsiTheme="majorBidi" w:cstheme="majorBidi"/>
          <w:iCs/>
          <w:color w:val="000000" w:themeColor="text1"/>
          <w:szCs w:val="24"/>
        </w:rPr>
        <w:t>c</w:t>
      </w:r>
      <w:r w:rsidR="00EE02A9"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urrent </w:t>
      </w:r>
      <w:r w:rsidR="00E06E08" w:rsidRPr="000471B9">
        <w:rPr>
          <w:rFonts w:asciiTheme="majorBidi" w:hAnsiTheme="majorBidi" w:cstheme="majorBidi"/>
          <w:iCs/>
          <w:color w:val="000000" w:themeColor="text1"/>
          <w:szCs w:val="24"/>
        </w:rPr>
        <w:t>t</w:t>
      </w:r>
      <w:r w:rsidR="00EE02A9"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ransfers) </w:t>
      </w:r>
      <w:r w:rsidR="00382E41"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which </w:t>
      </w:r>
      <w:r w:rsidR="00E16D50" w:rsidRPr="000471B9">
        <w:rPr>
          <w:rFonts w:asciiTheme="majorBidi" w:hAnsiTheme="majorBidi" w:cstheme="majorBidi"/>
          <w:iCs/>
          <w:color w:val="000000" w:themeColor="text1"/>
          <w:szCs w:val="24"/>
        </w:rPr>
        <w:t>totaled</w:t>
      </w:r>
      <w:r w:rsidR="006239FE"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 USD </w:t>
      </w:r>
      <w:r w:rsidR="001E5975" w:rsidRPr="000471B9">
        <w:rPr>
          <w:rFonts w:asciiTheme="majorBidi" w:hAnsiTheme="majorBidi" w:cstheme="majorBidi"/>
          <w:iCs/>
          <w:color w:val="000000" w:themeColor="text1"/>
          <w:szCs w:val="24"/>
        </w:rPr>
        <w:t>399</w:t>
      </w:r>
      <w:r w:rsidR="004F69F1"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 </w:t>
      </w:r>
      <w:r w:rsidR="006239FE" w:rsidRPr="000471B9">
        <w:rPr>
          <w:rFonts w:asciiTheme="majorBidi" w:hAnsiTheme="majorBidi" w:cstheme="majorBidi"/>
          <w:iCs/>
          <w:color w:val="000000" w:themeColor="text1"/>
          <w:szCs w:val="24"/>
        </w:rPr>
        <w:t>million</w:t>
      </w:r>
      <w:r w:rsidR="00E16D50"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 marking a </w:t>
      </w:r>
      <w:r w:rsidR="001E5975" w:rsidRPr="000471B9">
        <w:rPr>
          <w:rFonts w:asciiTheme="majorBidi" w:hAnsiTheme="majorBidi" w:cstheme="majorBidi"/>
          <w:iCs/>
          <w:color w:val="000000" w:themeColor="text1"/>
          <w:szCs w:val="24"/>
        </w:rPr>
        <w:t>de</w:t>
      </w:r>
      <w:r w:rsidR="005C6ACB" w:rsidRPr="000471B9">
        <w:rPr>
          <w:rFonts w:asciiTheme="majorBidi" w:hAnsiTheme="majorBidi" w:cstheme="majorBidi"/>
          <w:iCs/>
          <w:color w:val="000000" w:themeColor="text1"/>
          <w:szCs w:val="24"/>
          <w:lang w:val="en-GB"/>
        </w:rPr>
        <w:t>crease</w:t>
      </w:r>
      <w:r w:rsidR="006239FE"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 of</w:t>
      </w:r>
      <w:r w:rsidR="00E17FE9"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 </w:t>
      </w:r>
      <w:r w:rsidR="001E5975" w:rsidRPr="000471B9">
        <w:rPr>
          <w:rFonts w:asciiTheme="majorBidi" w:hAnsiTheme="majorBidi" w:cstheme="majorBidi"/>
          <w:iCs/>
          <w:color w:val="000000" w:themeColor="text1"/>
          <w:szCs w:val="24"/>
        </w:rPr>
        <w:t>10</w:t>
      </w:r>
      <w:r w:rsidR="006239FE" w:rsidRPr="000471B9">
        <w:rPr>
          <w:rFonts w:asciiTheme="majorBidi" w:hAnsiTheme="majorBidi" w:cstheme="majorBidi"/>
          <w:iCs/>
          <w:color w:val="000000" w:themeColor="text1"/>
          <w:szCs w:val="24"/>
        </w:rPr>
        <w:t>% compared to the previous quarter</w:t>
      </w:r>
      <w:r w:rsidR="006419A4" w:rsidRPr="000471B9">
        <w:rPr>
          <w:rFonts w:asciiTheme="majorBidi" w:hAnsiTheme="majorBidi" w:cstheme="majorBidi"/>
          <w:iCs/>
          <w:color w:val="000000" w:themeColor="text1"/>
          <w:szCs w:val="24"/>
        </w:rPr>
        <w:t>.</w:t>
      </w:r>
      <w:r w:rsidR="00D539E6" w:rsidRPr="000471B9">
        <w:rPr>
          <w:rFonts w:asciiTheme="majorBidi" w:hAnsiTheme="majorBidi" w:cstheme="majorBidi"/>
          <w:bCs/>
          <w:iCs/>
          <w:szCs w:val="24"/>
        </w:rPr>
        <w:t xml:space="preserve">  </w:t>
      </w:r>
      <w:r w:rsidR="006419A4" w:rsidRPr="000471B9">
        <w:rPr>
          <w:rFonts w:asciiTheme="majorBidi" w:hAnsiTheme="majorBidi" w:cstheme="majorBidi"/>
          <w:bCs/>
          <w:iCs/>
          <w:szCs w:val="24"/>
        </w:rPr>
        <w:t>This deficit in current account</w:t>
      </w:r>
      <w:r w:rsidR="006239FE"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 </w:t>
      </w:r>
      <w:r w:rsidR="00E16D50"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mainly triggered </w:t>
      </w:r>
      <w:r w:rsidR="005B47E8"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by the </w:t>
      </w:r>
      <w:r w:rsidR="006239FE" w:rsidRPr="000471B9">
        <w:rPr>
          <w:rFonts w:asciiTheme="majorBidi" w:hAnsiTheme="majorBidi" w:cstheme="majorBidi"/>
          <w:iCs/>
          <w:color w:val="000000" w:themeColor="text1"/>
          <w:szCs w:val="24"/>
        </w:rPr>
        <w:t>d</w:t>
      </w:r>
      <w:r w:rsidR="0009408F"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eficit </w:t>
      </w:r>
      <w:r w:rsidR="003E0504" w:rsidRPr="000471B9">
        <w:rPr>
          <w:rFonts w:asciiTheme="majorBidi" w:hAnsiTheme="majorBidi" w:cstheme="majorBidi"/>
          <w:iCs/>
          <w:color w:val="000000" w:themeColor="text1"/>
          <w:szCs w:val="24"/>
        </w:rPr>
        <w:t>of</w:t>
      </w:r>
      <w:r w:rsidR="0009408F"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 the Trade Balance of G</w:t>
      </w:r>
      <w:r w:rsidR="006239FE" w:rsidRPr="000471B9">
        <w:rPr>
          <w:rFonts w:asciiTheme="majorBidi" w:hAnsiTheme="majorBidi" w:cstheme="majorBidi"/>
          <w:iCs/>
          <w:color w:val="000000" w:themeColor="text1"/>
          <w:szCs w:val="24"/>
        </w:rPr>
        <w:t>oods</w:t>
      </w:r>
      <w:r w:rsidR="00E16D50" w:rsidRPr="000471B9">
        <w:rPr>
          <w:rFonts w:asciiTheme="majorBidi" w:hAnsiTheme="majorBidi" w:cstheme="majorBidi"/>
          <w:iCs/>
          <w:color w:val="000000" w:themeColor="text1"/>
          <w:szCs w:val="24"/>
        </w:rPr>
        <w:t>,</w:t>
      </w:r>
      <w:r w:rsidR="006239FE"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 which </w:t>
      </w:r>
      <w:r w:rsidR="00E16D50"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reached </w:t>
      </w:r>
      <w:r w:rsidR="006239FE" w:rsidRPr="000471B9">
        <w:rPr>
          <w:rFonts w:asciiTheme="majorBidi" w:hAnsiTheme="majorBidi" w:cstheme="majorBidi"/>
          <w:iCs/>
          <w:color w:val="000000" w:themeColor="text1"/>
          <w:szCs w:val="24"/>
        </w:rPr>
        <w:t>USD</w:t>
      </w:r>
      <w:r w:rsidR="00E74CB6"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 1,</w:t>
      </w:r>
      <w:r w:rsidR="00DF2F04" w:rsidRPr="000471B9">
        <w:rPr>
          <w:rFonts w:asciiTheme="majorBidi" w:hAnsiTheme="majorBidi" w:cstheme="majorBidi"/>
          <w:iCs/>
          <w:color w:val="000000" w:themeColor="text1"/>
          <w:szCs w:val="24"/>
        </w:rPr>
        <w:t>25</w:t>
      </w:r>
      <w:r w:rsidR="001E5975" w:rsidRPr="000471B9">
        <w:rPr>
          <w:rFonts w:asciiTheme="majorBidi" w:hAnsiTheme="majorBidi" w:cstheme="majorBidi"/>
          <w:iCs/>
          <w:color w:val="000000" w:themeColor="text1"/>
          <w:szCs w:val="24"/>
        </w:rPr>
        <w:t>6</w:t>
      </w:r>
      <w:r w:rsidR="006239FE"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 million</w:t>
      </w:r>
      <w:r w:rsidR="00FE58E0" w:rsidRPr="000471B9">
        <w:rPr>
          <w:rFonts w:asciiTheme="majorBidi" w:hAnsiTheme="majorBidi" w:cstheme="majorBidi"/>
          <w:iCs/>
          <w:color w:val="000000" w:themeColor="text1"/>
          <w:szCs w:val="24"/>
        </w:rPr>
        <w:t>,</w:t>
      </w:r>
      <w:r w:rsidR="005B47E8"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 </w:t>
      </w:r>
      <w:r w:rsidR="003E0A13" w:rsidRPr="000471B9">
        <w:rPr>
          <w:rFonts w:asciiTheme="majorBidi" w:hAnsiTheme="majorBidi" w:cstheme="majorBidi"/>
          <w:iCs/>
          <w:color w:val="000000" w:themeColor="text1"/>
          <w:szCs w:val="24"/>
        </w:rPr>
        <w:t>a</w:t>
      </w:r>
      <w:r w:rsidR="005B47E8"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s well as the </w:t>
      </w:r>
      <w:r w:rsidR="00F57E68" w:rsidRPr="000471B9">
        <w:rPr>
          <w:rFonts w:asciiTheme="majorBidi" w:hAnsiTheme="majorBidi" w:cstheme="majorBidi"/>
          <w:iCs/>
          <w:color w:val="000000" w:themeColor="text1"/>
          <w:szCs w:val="24"/>
        </w:rPr>
        <w:t>deficit</w:t>
      </w:r>
      <w:r w:rsidR="006239FE"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 in Services Balance</w:t>
      </w:r>
      <w:r w:rsidR="006C27F7" w:rsidRPr="000471B9">
        <w:rPr>
          <w:rFonts w:asciiTheme="majorBidi" w:hAnsiTheme="majorBidi" w:cstheme="majorBidi"/>
          <w:iCs/>
          <w:color w:val="000000" w:themeColor="text1"/>
          <w:szCs w:val="24"/>
        </w:rPr>
        <w:t>,</w:t>
      </w:r>
      <w:r w:rsidR="005B47E8"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 which </w:t>
      </w:r>
      <w:r w:rsidR="006239FE"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 amounted to</w:t>
      </w:r>
      <w:r w:rsidR="00A441A5"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 USD</w:t>
      </w:r>
      <w:r w:rsidR="0038458B"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 </w:t>
      </w:r>
      <w:r w:rsidR="00A33B95" w:rsidRPr="000471B9">
        <w:rPr>
          <w:rFonts w:asciiTheme="majorBidi" w:hAnsiTheme="majorBidi" w:cstheme="majorBidi"/>
          <w:iCs/>
          <w:color w:val="000000" w:themeColor="text1"/>
          <w:szCs w:val="24"/>
        </w:rPr>
        <w:t>2</w:t>
      </w:r>
      <w:r w:rsidR="00DF2F04" w:rsidRPr="000471B9">
        <w:rPr>
          <w:rFonts w:asciiTheme="majorBidi" w:hAnsiTheme="majorBidi" w:cstheme="majorBidi"/>
          <w:iCs/>
          <w:color w:val="000000" w:themeColor="text1"/>
          <w:szCs w:val="24"/>
        </w:rPr>
        <w:t>6</w:t>
      </w:r>
      <w:r w:rsidR="001E5975" w:rsidRPr="000471B9">
        <w:rPr>
          <w:rFonts w:asciiTheme="majorBidi" w:hAnsiTheme="majorBidi" w:cstheme="majorBidi"/>
          <w:iCs/>
          <w:color w:val="000000" w:themeColor="text1"/>
          <w:szCs w:val="24"/>
        </w:rPr>
        <w:t>4</w:t>
      </w:r>
      <w:r w:rsidR="0014777A"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 </w:t>
      </w:r>
      <w:r w:rsidR="00795FD1" w:rsidRPr="000471B9">
        <w:rPr>
          <w:rFonts w:asciiTheme="majorBidi" w:hAnsiTheme="majorBidi" w:cstheme="majorBidi"/>
          <w:iCs/>
          <w:color w:val="000000" w:themeColor="text1"/>
          <w:szCs w:val="24"/>
        </w:rPr>
        <w:t>million</w:t>
      </w:r>
      <w:r w:rsidR="00122B0F" w:rsidRPr="000471B9">
        <w:rPr>
          <w:rFonts w:asciiTheme="majorBidi" w:hAnsiTheme="majorBidi" w:cstheme="majorBidi"/>
          <w:iCs/>
          <w:color w:val="000000" w:themeColor="text1"/>
          <w:szCs w:val="24"/>
        </w:rPr>
        <w:t>.</w:t>
      </w:r>
    </w:p>
    <w:p w:rsidR="00835713" w:rsidRPr="000471B9" w:rsidRDefault="00835713" w:rsidP="00835713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iCs/>
          <w:color w:val="000000" w:themeColor="text1"/>
          <w:sz w:val="16"/>
          <w:szCs w:val="16"/>
        </w:rPr>
      </w:pPr>
    </w:p>
    <w:p w:rsidR="00835713" w:rsidRPr="000471B9" w:rsidRDefault="00D539E6" w:rsidP="000471B9">
      <w:pPr>
        <w:pStyle w:val="BodyText"/>
        <w:bidi w:val="0"/>
        <w:jc w:val="both"/>
        <w:rPr>
          <w:rFonts w:asciiTheme="majorBidi" w:hAnsiTheme="majorBidi" w:cstheme="majorBidi"/>
          <w:b/>
          <w:iCs/>
          <w:szCs w:val="24"/>
        </w:rPr>
      </w:pPr>
      <w:r w:rsidRPr="000471B9">
        <w:rPr>
          <w:rFonts w:asciiTheme="majorBidi" w:hAnsiTheme="majorBidi" w:cstheme="majorBidi"/>
          <w:b/>
          <w:iCs/>
          <w:szCs w:val="24"/>
        </w:rPr>
        <w:t xml:space="preserve">The </w:t>
      </w:r>
      <w:r w:rsidR="003A71ED" w:rsidRPr="000471B9">
        <w:rPr>
          <w:rFonts w:asciiTheme="majorBidi" w:hAnsiTheme="majorBidi" w:cstheme="majorBidi"/>
          <w:b/>
          <w:iCs/>
          <w:szCs w:val="24"/>
        </w:rPr>
        <w:t>compensation of the employees working in Israel</w:t>
      </w:r>
      <w:r w:rsidRPr="000471B9">
        <w:rPr>
          <w:rFonts w:asciiTheme="majorBidi" w:hAnsiTheme="majorBidi" w:cstheme="majorBidi"/>
          <w:b/>
          <w:iCs/>
          <w:szCs w:val="24"/>
        </w:rPr>
        <w:t xml:space="preserve"> reached USD 533 million, mainly caused the surplus of income account  </w:t>
      </w:r>
      <w:r w:rsidR="00835713" w:rsidRPr="000471B9">
        <w:rPr>
          <w:rFonts w:asciiTheme="majorBidi" w:hAnsiTheme="majorBidi" w:cstheme="majorBidi"/>
          <w:b/>
          <w:iCs/>
          <w:szCs w:val="24"/>
        </w:rPr>
        <w:t xml:space="preserve"> </w:t>
      </w:r>
    </w:p>
    <w:p w:rsidR="007440AA" w:rsidRPr="000471B9" w:rsidRDefault="006239FE" w:rsidP="001E5975">
      <w:pPr>
        <w:pStyle w:val="BodyText"/>
        <w:bidi w:val="0"/>
        <w:jc w:val="both"/>
        <w:rPr>
          <w:rFonts w:asciiTheme="majorBidi" w:hAnsiTheme="majorBidi" w:cstheme="majorBidi"/>
          <w:iCs/>
          <w:color w:val="000000" w:themeColor="text1"/>
          <w:szCs w:val="24"/>
          <w:lang w:val="en-GB"/>
        </w:rPr>
      </w:pPr>
      <w:r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The </w:t>
      </w:r>
      <w:r w:rsidR="00BA47E0"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surplus in </w:t>
      </w:r>
      <w:r w:rsidR="00412B95" w:rsidRPr="000471B9">
        <w:rPr>
          <w:rFonts w:asciiTheme="majorBidi" w:hAnsiTheme="majorBidi" w:cstheme="majorBidi"/>
          <w:iCs/>
          <w:color w:val="000000" w:themeColor="text1"/>
          <w:szCs w:val="24"/>
        </w:rPr>
        <w:t>I</w:t>
      </w:r>
      <w:r w:rsidR="00382E41"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ncome </w:t>
      </w:r>
      <w:r w:rsidR="00412B95" w:rsidRPr="000471B9">
        <w:rPr>
          <w:rFonts w:asciiTheme="majorBidi" w:hAnsiTheme="majorBidi" w:cstheme="majorBidi"/>
          <w:iCs/>
          <w:color w:val="000000" w:themeColor="text1"/>
          <w:szCs w:val="24"/>
        </w:rPr>
        <w:t>A</w:t>
      </w:r>
      <w:r w:rsidR="00382E41"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ccount </w:t>
      </w:r>
      <w:r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(compensations of employees and investments income) </w:t>
      </w:r>
      <w:r w:rsidR="00382E41" w:rsidRPr="000471B9">
        <w:rPr>
          <w:rFonts w:asciiTheme="majorBidi" w:hAnsiTheme="majorBidi" w:cstheme="majorBidi"/>
          <w:iCs/>
          <w:color w:val="000000" w:themeColor="text1"/>
          <w:szCs w:val="24"/>
        </w:rPr>
        <w:t>amount</w:t>
      </w:r>
      <w:r w:rsidR="00BA47E0" w:rsidRPr="000471B9">
        <w:rPr>
          <w:rFonts w:asciiTheme="majorBidi" w:hAnsiTheme="majorBidi" w:cstheme="majorBidi"/>
          <w:iCs/>
          <w:color w:val="000000" w:themeColor="text1"/>
          <w:szCs w:val="24"/>
        </w:rPr>
        <w:t>ed</w:t>
      </w:r>
      <w:r w:rsidR="00382E41"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 </w:t>
      </w:r>
      <w:r w:rsidR="00BA47E0"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to </w:t>
      </w:r>
      <w:r w:rsidRPr="000471B9">
        <w:rPr>
          <w:rFonts w:asciiTheme="majorBidi" w:hAnsiTheme="majorBidi" w:cstheme="majorBidi"/>
          <w:iCs/>
          <w:color w:val="000000" w:themeColor="text1"/>
          <w:szCs w:val="24"/>
        </w:rPr>
        <w:t>USD</w:t>
      </w:r>
      <w:r w:rsidR="000C1306"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 </w:t>
      </w:r>
      <w:r w:rsidRPr="000471B9">
        <w:rPr>
          <w:rFonts w:asciiTheme="majorBidi" w:hAnsiTheme="majorBidi" w:cstheme="majorBidi"/>
          <w:iCs/>
          <w:color w:val="000000" w:themeColor="text1"/>
          <w:szCs w:val="24"/>
          <w:rtl/>
        </w:rPr>
        <w:t xml:space="preserve"> </w:t>
      </w:r>
      <w:r w:rsidR="00CB23F8" w:rsidRPr="000471B9">
        <w:rPr>
          <w:rFonts w:asciiTheme="majorBidi" w:hAnsiTheme="majorBidi" w:cstheme="majorBidi" w:hint="cs"/>
          <w:iCs/>
          <w:color w:val="000000" w:themeColor="text1"/>
          <w:szCs w:val="24"/>
          <w:rtl/>
        </w:rPr>
        <w:t>6</w:t>
      </w:r>
      <w:r w:rsidR="001E5975" w:rsidRPr="000471B9">
        <w:rPr>
          <w:rFonts w:asciiTheme="majorBidi" w:hAnsiTheme="majorBidi" w:cstheme="majorBidi" w:hint="cs"/>
          <w:iCs/>
          <w:color w:val="000000" w:themeColor="text1"/>
          <w:szCs w:val="24"/>
          <w:rtl/>
        </w:rPr>
        <w:t>12</w:t>
      </w:r>
      <w:r w:rsidRPr="000471B9">
        <w:rPr>
          <w:rFonts w:asciiTheme="majorBidi" w:hAnsiTheme="majorBidi" w:cstheme="majorBidi"/>
          <w:iCs/>
          <w:color w:val="000000" w:themeColor="text1"/>
          <w:szCs w:val="24"/>
        </w:rPr>
        <w:t>million with a</w:t>
      </w:r>
      <w:r w:rsidR="001E5975" w:rsidRPr="000471B9">
        <w:rPr>
          <w:rFonts w:asciiTheme="majorBidi" w:hAnsiTheme="majorBidi" w:cstheme="majorBidi"/>
          <w:iCs/>
          <w:color w:val="000000" w:themeColor="text1"/>
          <w:szCs w:val="24"/>
        </w:rPr>
        <w:t>n</w:t>
      </w:r>
      <w:r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 </w:t>
      </w:r>
      <w:r w:rsidR="001E5975" w:rsidRPr="000471B9">
        <w:rPr>
          <w:rFonts w:asciiTheme="majorBidi" w:hAnsiTheme="majorBidi" w:cstheme="majorBidi"/>
          <w:iCs/>
          <w:color w:val="000000" w:themeColor="text1"/>
          <w:szCs w:val="24"/>
        </w:rPr>
        <w:t>in</w:t>
      </w:r>
      <w:r w:rsidRPr="000471B9">
        <w:rPr>
          <w:rFonts w:asciiTheme="majorBidi" w:hAnsiTheme="majorBidi" w:cstheme="majorBidi"/>
          <w:iCs/>
          <w:color w:val="000000" w:themeColor="text1"/>
          <w:szCs w:val="24"/>
        </w:rPr>
        <w:t>crease</w:t>
      </w:r>
      <w:r w:rsidR="00A96BFE"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 of</w:t>
      </w:r>
      <w:r w:rsidR="00E17FE9"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 </w:t>
      </w:r>
      <w:r w:rsidR="001E5975" w:rsidRPr="000471B9">
        <w:rPr>
          <w:rFonts w:asciiTheme="majorBidi" w:hAnsiTheme="majorBidi" w:cstheme="majorBidi"/>
          <w:iCs/>
          <w:color w:val="000000" w:themeColor="text1"/>
          <w:szCs w:val="24"/>
        </w:rPr>
        <w:t>1</w:t>
      </w:r>
      <w:r w:rsidRPr="000471B9">
        <w:rPr>
          <w:rFonts w:asciiTheme="majorBidi" w:hAnsiTheme="majorBidi" w:cstheme="majorBidi"/>
          <w:iCs/>
          <w:color w:val="000000" w:themeColor="text1"/>
          <w:szCs w:val="24"/>
        </w:rPr>
        <w:t>% compared to the previous quarter</w:t>
      </w:r>
      <w:r w:rsidR="00E16D50" w:rsidRPr="000471B9">
        <w:rPr>
          <w:rFonts w:asciiTheme="majorBidi" w:hAnsiTheme="majorBidi" w:cstheme="majorBidi"/>
          <w:iCs/>
          <w:color w:val="000000" w:themeColor="text1"/>
          <w:szCs w:val="24"/>
        </w:rPr>
        <w:t>.</w:t>
      </w:r>
      <w:r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 </w:t>
      </w:r>
      <w:r w:rsidR="00E16D50" w:rsidRPr="000471B9">
        <w:rPr>
          <w:rFonts w:asciiTheme="majorBidi" w:hAnsiTheme="majorBidi" w:cstheme="majorBidi"/>
          <w:iCs/>
          <w:color w:val="000000" w:themeColor="text1"/>
          <w:szCs w:val="24"/>
        </w:rPr>
        <w:t>This</w:t>
      </w:r>
      <w:r w:rsidR="00EA4DBD"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 surplus was due to compensations of </w:t>
      </w:r>
      <w:r w:rsidR="003E0A13"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the </w:t>
      </w:r>
      <w:r w:rsidR="00EA4DBD" w:rsidRPr="000471B9">
        <w:rPr>
          <w:rFonts w:asciiTheme="majorBidi" w:hAnsiTheme="majorBidi" w:cstheme="majorBidi"/>
          <w:iCs/>
          <w:color w:val="000000" w:themeColor="text1"/>
          <w:szCs w:val="24"/>
        </w:rPr>
        <w:t>e</w:t>
      </w:r>
      <w:r w:rsidRPr="000471B9">
        <w:rPr>
          <w:rFonts w:asciiTheme="majorBidi" w:hAnsiTheme="majorBidi" w:cstheme="majorBidi"/>
          <w:iCs/>
          <w:color w:val="000000" w:themeColor="text1"/>
          <w:szCs w:val="24"/>
        </w:rPr>
        <w:t>mployees working in Israel</w:t>
      </w:r>
      <w:r w:rsidR="00E16D50" w:rsidRPr="000471B9">
        <w:rPr>
          <w:rFonts w:asciiTheme="majorBidi" w:hAnsiTheme="majorBidi" w:cstheme="majorBidi"/>
          <w:iCs/>
          <w:color w:val="000000" w:themeColor="text1"/>
          <w:szCs w:val="24"/>
        </w:rPr>
        <w:t>,</w:t>
      </w:r>
      <w:r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 </w:t>
      </w:r>
      <w:r w:rsidR="00E16D50" w:rsidRPr="000471B9">
        <w:rPr>
          <w:rFonts w:asciiTheme="majorBidi" w:hAnsiTheme="majorBidi" w:cstheme="majorBidi"/>
          <w:iCs/>
          <w:color w:val="000000" w:themeColor="text1"/>
          <w:szCs w:val="24"/>
        </w:rPr>
        <w:t>which</w:t>
      </w:r>
      <w:r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 reached USD </w:t>
      </w:r>
      <w:r w:rsidR="00EF6EAB" w:rsidRPr="000471B9">
        <w:rPr>
          <w:rFonts w:asciiTheme="majorBidi" w:hAnsiTheme="majorBidi" w:cstheme="majorBidi" w:hint="cs"/>
          <w:iCs/>
          <w:color w:val="000000" w:themeColor="text1"/>
          <w:szCs w:val="24"/>
          <w:rtl/>
        </w:rPr>
        <w:t>5</w:t>
      </w:r>
      <w:r w:rsidR="001E5975" w:rsidRPr="000471B9">
        <w:rPr>
          <w:rFonts w:asciiTheme="majorBidi" w:hAnsiTheme="majorBidi" w:cstheme="majorBidi" w:hint="cs"/>
          <w:iCs/>
          <w:color w:val="000000" w:themeColor="text1"/>
          <w:szCs w:val="24"/>
          <w:rtl/>
        </w:rPr>
        <w:t>33</w:t>
      </w:r>
      <w:r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 million. </w:t>
      </w:r>
      <w:r w:rsidR="00382E41"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As for the </w:t>
      </w:r>
      <w:r w:rsidRPr="000471B9">
        <w:rPr>
          <w:rFonts w:asciiTheme="majorBidi" w:hAnsiTheme="majorBidi" w:cstheme="majorBidi"/>
          <w:iCs/>
          <w:color w:val="000000" w:themeColor="text1"/>
          <w:szCs w:val="24"/>
        </w:rPr>
        <w:t>received investments income</w:t>
      </w:r>
      <w:r w:rsidR="00382E41"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, it </w:t>
      </w:r>
      <w:r w:rsidRPr="000471B9">
        <w:rPr>
          <w:rFonts w:asciiTheme="majorBidi" w:hAnsiTheme="majorBidi" w:cstheme="majorBidi"/>
          <w:iCs/>
          <w:color w:val="000000" w:themeColor="text1"/>
          <w:szCs w:val="24"/>
        </w:rPr>
        <w:t>amounted to USD</w:t>
      </w:r>
      <w:r w:rsidR="007440AA"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 </w:t>
      </w:r>
      <w:r w:rsidR="001E5975" w:rsidRPr="000471B9">
        <w:rPr>
          <w:rFonts w:asciiTheme="majorBidi" w:hAnsiTheme="majorBidi" w:cstheme="majorBidi"/>
          <w:iCs/>
          <w:color w:val="000000" w:themeColor="text1"/>
          <w:szCs w:val="24"/>
        </w:rPr>
        <w:t>118</w:t>
      </w:r>
      <w:r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 million</w:t>
      </w:r>
      <w:r w:rsidR="00122B0F" w:rsidRPr="000471B9">
        <w:rPr>
          <w:rFonts w:asciiTheme="majorBidi" w:hAnsiTheme="majorBidi" w:cstheme="majorBidi"/>
          <w:iCs/>
          <w:color w:val="000000" w:themeColor="text1"/>
          <w:szCs w:val="24"/>
        </w:rPr>
        <w:t>;</w:t>
      </w:r>
      <w:r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 </w:t>
      </w:r>
      <w:r w:rsidR="00382E41"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and </w:t>
      </w:r>
      <w:r w:rsidRPr="000471B9">
        <w:rPr>
          <w:rFonts w:asciiTheme="majorBidi" w:hAnsiTheme="majorBidi" w:cstheme="majorBidi"/>
          <w:iCs/>
          <w:color w:val="000000" w:themeColor="text1"/>
          <w:szCs w:val="24"/>
        </w:rPr>
        <w:t>was mainly caused by the</w:t>
      </w:r>
      <w:r w:rsidR="007440AA" w:rsidRPr="000471B9">
        <w:rPr>
          <w:rFonts w:asciiTheme="majorBidi" w:hAnsiTheme="majorBidi" w:cstheme="majorBidi"/>
          <w:iCs/>
          <w:color w:val="000000" w:themeColor="text1"/>
          <w:szCs w:val="24"/>
          <w:lang w:val="en-GB"/>
        </w:rPr>
        <w:t xml:space="preserve"> income received on the portfolio investments abroad, in addition to the</w:t>
      </w:r>
      <w:r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 interest received on </w:t>
      </w:r>
      <w:r w:rsidR="003E0A13"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the </w:t>
      </w:r>
      <w:r w:rsidR="00D63CCC"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Palestinian </w:t>
      </w:r>
      <w:r w:rsidR="008B2BC1" w:rsidRPr="000471B9">
        <w:rPr>
          <w:rFonts w:asciiTheme="majorBidi" w:hAnsiTheme="majorBidi" w:cstheme="majorBidi"/>
          <w:iCs/>
          <w:color w:val="000000" w:themeColor="text1"/>
          <w:szCs w:val="24"/>
        </w:rPr>
        <w:t>deposits in banks abroad</w:t>
      </w:r>
      <w:r w:rsidR="007440AA" w:rsidRPr="000471B9">
        <w:rPr>
          <w:rFonts w:asciiTheme="majorBidi" w:hAnsiTheme="majorBidi" w:cstheme="majorBidi"/>
          <w:iCs/>
          <w:color w:val="000000" w:themeColor="text1"/>
          <w:szCs w:val="24"/>
          <w:lang w:val="en-GB"/>
        </w:rPr>
        <w:t>.</w:t>
      </w:r>
    </w:p>
    <w:p w:rsidR="009812F7" w:rsidRPr="000471B9" w:rsidRDefault="009812F7" w:rsidP="009812F7">
      <w:pPr>
        <w:pStyle w:val="BodyText"/>
        <w:bidi w:val="0"/>
        <w:jc w:val="both"/>
        <w:rPr>
          <w:rFonts w:asciiTheme="majorBidi" w:hAnsiTheme="majorBidi" w:cstheme="majorBidi"/>
          <w:b/>
          <w:iCs/>
          <w:sz w:val="16"/>
          <w:szCs w:val="16"/>
        </w:rPr>
      </w:pPr>
    </w:p>
    <w:p w:rsidR="009812F7" w:rsidRPr="000471B9" w:rsidRDefault="00D539E6" w:rsidP="000471B9">
      <w:pPr>
        <w:pStyle w:val="BodyText"/>
        <w:bidi w:val="0"/>
        <w:jc w:val="both"/>
        <w:rPr>
          <w:rFonts w:asciiTheme="majorBidi" w:hAnsiTheme="majorBidi" w:cstheme="majorBidi"/>
          <w:b/>
          <w:iCs/>
          <w:szCs w:val="24"/>
        </w:rPr>
      </w:pPr>
      <w:r w:rsidRPr="000471B9">
        <w:rPr>
          <w:rFonts w:asciiTheme="majorBidi" w:hAnsiTheme="majorBidi" w:cstheme="majorBidi"/>
          <w:b/>
          <w:iCs/>
          <w:szCs w:val="24"/>
        </w:rPr>
        <w:t>The</w:t>
      </w:r>
      <w:r w:rsidR="009812F7" w:rsidRPr="000471B9">
        <w:rPr>
          <w:rFonts w:asciiTheme="majorBidi" w:hAnsiTheme="majorBidi" w:cstheme="majorBidi"/>
          <w:b/>
          <w:iCs/>
          <w:szCs w:val="24"/>
        </w:rPr>
        <w:t xml:space="preserve"> Current Transfers </w:t>
      </w:r>
      <w:r w:rsidRPr="000471B9">
        <w:rPr>
          <w:rFonts w:asciiTheme="majorBidi" w:hAnsiTheme="majorBidi" w:cstheme="majorBidi"/>
          <w:b/>
          <w:iCs/>
          <w:szCs w:val="24"/>
        </w:rPr>
        <w:t>received from abroad reached USD 601</w:t>
      </w:r>
      <w:r w:rsidR="00420D89" w:rsidRPr="000471B9">
        <w:rPr>
          <w:rFonts w:asciiTheme="majorBidi" w:hAnsiTheme="majorBidi" w:cstheme="majorBidi"/>
          <w:b/>
          <w:iCs/>
          <w:szCs w:val="24"/>
        </w:rPr>
        <w:t xml:space="preserve"> million</w:t>
      </w:r>
      <w:r w:rsidRPr="000471B9">
        <w:rPr>
          <w:rFonts w:asciiTheme="majorBidi" w:hAnsiTheme="majorBidi" w:cstheme="majorBidi"/>
          <w:b/>
          <w:iCs/>
          <w:szCs w:val="24"/>
        </w:rPr>
        <w:t xml:space="preserve">, </w:t>
      </w:r>
      <w:r w:rsidRPr="000471B9">
        <w:rPr>
          <w:rFonts w:asciiTheme="majorBidi" w:hAnsiTheme="majorBidi" w:cstheme="majorBidi"/>
          <w:b/>
          <w:iCs/>
          <w:szCs w:val="24"/>
          <w:lang w:val="en-GB"/>
        </w:rPr>
        <w:t>two thirds were</w:t>
      </w:r>
      <w:r w:rsidRPr="000471B9">
        <w:rPr>
          <w:rFonts w:asciiTheme="majorBidi" w:hAnsiTheme="majorBidi" w:cstheme="majorBidi"/>
          <w:b/>
          <w:iCs/>
          <w:szCs w:val="24"/>
        </w:rPr>
        <w:t xml:space="preserve"> received by non-government sectors</w:t>
      </w:r>
    </w:p>
    <w:p w:rsidR="004D1601" w:rsidRPr="000471B9" w:rsidRDefault="00382E41" w:rsidP="00A378CF">
      <w:pPr>
        <w:pStyle w:val="BodyText"/>
        <w:bidi w:val="0"/>
        <w:jc w:val="both"/>
        <w:rPr>
          <w:rFonts w:asciiTheme="majorBidi" w:hAnsiTheme="majorBidi" w:cstheme="majorBidi"/>
          <w:iCs/>
          <w:color w:val="FF0000"/>
          <w:szCs w:val="24"/>
        </w:rPr>
      </w:pPr>
      <w:r w:rsidRPr="000471B9">
        <w:rPr>
          <w:rFonts w:asciiTheme="majorBidi" w:hAnsiTheme="majorBidi" w:cstheme="majorBidi"/>
          <w:iCs/>
          <w:color w:val="000000" w:themeColor="text1"/>
          <w:szCs w:val="24"/>
        </w:rPr>
        <w:t>T</w:t>
      </w:r>
      <w:r w:rsidR="006239FE" w:rsidRPr="000471B9">
        <w:rPr>
          <w:rFonts w:asciiTheme="majorBidi" w:hAnsiTheme="majorBidi" w:cstheme="majorBidi"/>
          <w:iCs/>
          <w:color w:val="000000" w:themeColor="text1"/>
          <w:szCs w:val="24"/>
        </w:rPr>
        <w:t>he Current Transfers</w:t>
      </w:r>
      <w:r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 achieved a</w:t>
      </w:r>
      <w:r w:rsidR="006239FE"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 surplus value amount</w:t>
      </w:r>
      <w:r w:rsidR="003E0A13" w:rsidRPr="000471B9">
        <w:rPr>
          <w:rFonts w:asciiTheme="majorBidi" w:hAnsiTheme="majorBidi" w:cstheme="majorBidi"/>
          <w:iCs/>
          <w:color w:val="000000" w:themeColor="text1"/>
          <w:szCs w:val="24"/>
        </w:rPr>
        <w:t>ed</w:t>
      </w:r>
      <w:r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 </w:t>
      </w:r>
      <w:r w:rsidR="006239FE" w:rsidRPr="000471B9">
        <w:rPr>
          <w:rFonts w:asciiTheme="majorBidi" w:hAnsiTheme="majorBidi" w:cstheme="majorBidi"/>
          <w:iCs/>
          <w:color w:val="000000" w:themeColor="text1"/>
          <w:szCs w:val="24"/>
        </w:rPr>
        <w:t>to USD</w:t>
      </w:r>
      <w:r w:rsidR="00E74CB6"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 </w:t>
      </w:r>
      <w:r w:rsidR="00EA1685" w:rsidRPr="000471B9">
        <w:rPr>
          <w:rFonts w:asciiTheme="majorBidi" w:hAnsiTheme="majorBidi" w:cstheme="majorBidi" w:hint="cs"/>
          <w:iCs/>
          <w:color w:val="000000" w:themeColor="text1"/>
          <w:szCs w:val="24"/>
          <w:rtl/>
        </w:rPr>
        <w:t>509</w:t>
      </w:r>
      <w:r w:rsidR="006239FE"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 </w:t>
      </w:r>
      <w:r w:rsidR="00CF2F0B" w:rsidRPr="000471B9">
        <w:rPr>
          <w:rFonts w:asciiTheme="majorBidi" w:hAnsiTheme="majorBidi" w:cstheme="majorBidi"/>
          <w:iCs/>
          <w:color w:val="000000" w:themeColor="text1"/>
          <w:szCs w:val="24"/>
        </w:rPr>
        <w:t>million with a</w:t>
      </w:r>
      <w:r w:rsidR="00CB23F8" w:rsidRPr="000471B9">
        <w:rPr>
          <w:rFonts w:asciiTheme="majorBidi" w:hAnsiTheme="majorBidi" w:cstheme="majorBidi"/>
          <w:iCs/>
          <w:color w:val="000000" w:themeColor="text1"/>
          <w:szCs w:val="24"/>
        </w:rPr>
        <w:t>n</w:t>
      </w:r>
      <w:r w:rsidR="006239FE"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 </w:t>
      </w:r>
      <w:r w:rsidR="00CB23F8" w:rsidRPr="000471B9">
        <w:rPr>
          <w:rFonts w:asciiTheme="majorBidi" w:hAnsiTheme="majorBidi" w:cstheme="majorBidi"/>
          <w:iCs/>
          <w:color w:val="000000" w:themeColor="text1"/>
          <w:szCs w:val="24"/>
        </w:rPr>
        <w:t>in</w:t>
      </w:r>
      <w:r w:rsidR="006239FE" w:rsidRPr="000471B9">
        <w:rPr>
          <w:rFonts w:asciiTheme="majorBidi" w:hAnsiTheme="majorBidi" w:cstheme="majorBidi"/>
          <w:iCs/>
          <w:color w:val="000000" w:themeColor="text1"/>
          <w:szCs w:val="24"/>
        </w:rPr>
        <w:t>crease of</w:t>
      </w:r>
      <w:r w:rsidR="007440AA"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 </w:t>
      </w:r>
      <w:r w:rsidR="00EA1685" w:rsidRPr="000471B9">
        <w:rPr>
          <w:rFonts w:asciiTheme="majorBidi" w:hAnsiTheme="majorBidi" w:cstheme="majorBidi"/>
          <w:iCs/>
          <w:color w:val="000000" w:themeColor="text1"/>
          <w:szCs w:val="24"/>
        </w:rPr>
        <w:t>9</w:t>
      </w:r>
      <w:r w:rsidR="006239FE"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% compared </w:t>
      </w:r>
      <w:r w:rsidR="003F2C98"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to </w:t>
      </w:r>
      <w:r w:rsidR="006239FE" w:rsidRPr="000471B9">
        <w:rPr>
          <w:rFonts w:asciiTheme="majorBidi" w:hAnsiTheme="majorBidi" w:cstheme="majorBidi"/>
          <w:iCs/>
          <w:color w:val="000000" w:themeColor="text1"/>
          <w:szCs w:val="24"/>
        </w:rPr>
        <w:t>the previous quarter</w:t>
      </w:r>
      <w:r w:rsidRPr="000471B9">
        <w:rPr>
          <w:rFonts w:asciiTheme="majorBidi" w:hAnsiTheme="majorBidi" w:cstheme="majorBidi"/>
          <w:iCs/>
          <w:color w:val="000000" w:themeColor="text1"/>
          <w:szCs w:val="24"/>
        </w:rPr>
        <w:t>.</w:t>
      </w:r>
      <w:r w:rsidR="00886ABF"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 The</w:t>
      </w:r>
      <w:r w:rsidR="006D6EEF"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 </w:t>
      </w:r>
      <w:r w:rsidR="00886ABF"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total transfers from abroad amounted </w:t>
      </w:r>
      <w:r w:rsidR="00A378CF"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to </w:t>
      </w:r>
      <w:r w:rsidR="00886ABF"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USD 601 million, of which 35% </w:t>
      </w:r>
      <w:r w:rsidR="00A378CF"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were </w:t>
      </w:r>
      <w:r w:rsidR="00886ABF" w:rsidRPr="000471B9">
        <w:rPr>
          <w:rFonts w:asciiTheme="majorBidi" w:hAnsiTheme="majorBidi" w:cstheme="majorBidi"/>
          <w:iCs/>
          <w:color w:val="000000" w:themeColor="text1"/>
          <w:szCs w:val="24"/>
        </w:rPr>
        <w:t>t</w:t>
      </w:r>
      <w:r w:rsidR="001B7265" w:rsidRPr="000471B9">
        <w:rPr>
          <w:rFonts w:asciiTheme="majorBidi" w:hAnsiTheme="majorBidi" w:cstheme="majorBidi"/>
          <w:iCs/>
          <w:color w:val="000000" w:themeColor="text1"/>
          <w:szCs w:val="24"/>
        </w:rPr>
        <w:t>he</w:t>
      </w:r>
      <w:r w:rsidR="00886ABF"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 </w:t>
      </w:r>
      <w:r w:rsidR="001B7265"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 transfers</w:t>
      </w:r>
      <w:r w:rsidR="007673B4"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 to</w:t>
      </w:r>
      <w:r w:rsidR="001B7265"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 the government sector</w:t>
      </w:r>
      <w:r w:rsidR="006D6EEF"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, while the </w:t>
      </w:r>
      <w:r w:rsidR="00A378CF"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percentage of the </w:t>
      </w:r>
      <w:r w:rsidR="006D6EEF" w:rsidRPr="000471B9">
        <w:rPr>
          <w:rFonts w:asciiTheme="majorBidi" w:hAnsiTheme="majorBidi" w:cstheme="majorBidi"/>
          <w:iCs/>
          <w:color w:val="000000" w:themeColor="text1"/>
          <w:szCs w:val="24"/>
        </w:rPr>
        <w:t>transfers to other sectors</w:t>
      </w:r>
      <w:r w:rsidR="006860A4"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 </w:t>
      </w:r>
      <w:r w:rsidR="00A378CF" w:rsidRPr="000471B9">
        <w:rPr>
          <w:rFonts w:asciiTheme="majorBidi" w:hAnsiTheme="majorBidi" w:cstheme="majorBidi"/>
          <w:iCs/>
          <w:color w:val="000000" w:themeColor="text1"/>
          <w:szCs w:val="24"/>
        </w:rPr>
        <w:t>reached</w:t>
      </w:r>
      <w:r w:rsidR="006D6EEF"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 </w:t>
      </w:r>
      <w:r w:rsidR="00EA1685" w:rsidRPr="000471B9">
        <w:rPr>
          <w:rFonts w:asciiTheme="majorBidi" w:hAnsiTheme="majorBidi" w:cstheme="majorBidi"/>
          <w:iCs/>
          <w:color w:val="000000" w:themeColor="text1"/>
          <w:szCs w:val="24"/>
        </w:rPr>
        <w:t>65</w:t>
      </w:r>
      <w:r w:rsidR="006D6EEF"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%. </w:t>
      </w:r>
      <w:r w:rsidR="006239FE" w:rsidRPr="000471B9">
        <w:rPr>
          <w:rFonts w:asciiTheme="majorBidi" w:hAnsiTheme="majorBidi" w:cstheme="majorBidi"/>
          <w:iCs/>
          <w:color w:val="000000" w:themeColor="text1"/>
          <w:szCs w:val="24"/>
        </w:rPr>
        <w:t>The donors</w:t>
      </w:r>
      <w:r w:rsidR="00E16D50" w:rsidRPr="000471B9">
        <w:rPr>
          <w:rFonts w:asciiTheme="majorBidi" w:hAnsiTheme="majorBidi" w:cstheme="majorBidi"/>
          <w:iCs/>
          <w:color w:val="000000" w:themeColor="text1"/>
          <w:szCs w:val="24"/>
        </w:rPr>
        <w:t>’</w:t>
      </w:r>
      <w:r w:rsidR="000621F0"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 </w:t>
      </w:r>
      <w:r w:rsidR="006239FE"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current transfers </w:t>
      </w:r>
      <w:r w:rsidR="00E16D50"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constituted </w:t>
      </w:r>
      <w:r w:rsidR="00EA1685" w:rsidRPr="000471B9">
        <w:rPr>
          <w:rFonts w:asciiTheme="majorBidi" w:hAnsiTheme="majorBidi" w:cstheme="majorBidi"/>
          <w:iCs/>
          <w:color w:val="000000" w:themeColor="text1"/>
          <w:szCs w:val="24"/>
        </w:rPr>
        <w:t>35</w:t>
      </w:r>
      <w:r w:rsidR="006239FE" w:rsidRPr="000471B9">
        <w:rPr>
          <w:rFonts w:asciiTheme="majorBidi" w:hAnsiTheme="majorBidi" w:cstheme="majorBidi"/>
          <w:iCs/>
          <w:color w:val="000000" w:themeColor="text1"/>
          <w:szCs w:val="24"/>
        </w:rPr>
        <w:t>% of total</w:t>
      </w:r>
      <w:r w:rsidR="00161954"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 </w:t>
      </w:r>
      <w:r w:rsidR="00BC0487" w:rsidRPr="000471B9">
        <w:rPr>
          <w:rFonts w:asciiTheme="majorBidi" w:hAnsiTheme="majorBidi" w:cstheme="majorBidi"/>
          <w:iCs/>
          <w:color w:val="000000" w:themeColor="text1"/>
          <w:szCs w:val="24"/>
        </w:rPr>
        <w:t>transfers</w:t>
      </w:r>
      <w:r w:rsidR="00161954" w:rsidRPr="000471B9">
        <w:rPr>
          <w:rFonts w:asciiTheme="majorBidi" w:hAnsiTheme="majorBidi" w:cstheme="majorBidi"/>
          <w:iCs/>
          <w:color w:val="000000" w:themeColor="text1"/>
          <w:szCs w:val="24"/>
        </w:rPr>
        <w:t xml:space="preserve"> from abroad.</w:t>
      </w:r>
    </w:p>
    <w:p w:rsidR="009812F7" w:rsidRPr="000471B9" w:rsidRDefault="009812F7" w:rsidP="009812F7">
      <w:pPr>
        <w:pStyle w:val="BodyText"/>
        <w:bidi w:val="0"/>
        <w:jc w:val="both"/>
        <w:rPr>
          <w:rFonts w:asciiTheme="majorBidi" w:hAnsiTheme="majorBidi" w:cstheme="majorBidi"/>
          <w:iCs/>
          <w:sz w:val="16"/>
          <w:szCs w:val="16"/>
        </w:rPr>
      </w:pPr>
    </w:p>
    <w:p w:rsidR="009812F7" w:rsidRPr="000471B9" w:rsidRDefault="00A378CF" w:rsidP="000471B9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b/>
          <w:iCs/>
          <w:color w:val="000000" w:themeColor="text1"/>
          <w:szCs w:val="24"/>
        </w:rPr>
      </w:pPr>
      <w:r w:rsidRPr="000471B9">
        <w:rPr>
          <w:rFonts w:asciiTheme="majorBidi" w:hAnsiTheme="majorBidi" w:cstheme="majorBidi"/>
          <w:b/>
          <w:iCs/>
          <w:color w:val="000000" w:themeColor="text1"/>
          <w:szCs w:val="24"/>
        </w:rPr>
        <w:t xml:space="preserve">The </w:t>
      </w:r>
      <w:r w:rsidR="000F1F98" w:rsidRPr="000471B9">
        <w:rPr>
          <w:rFonts w:asciiTheme="majorBidi" w:hAnsiTheme="majorBidi" w:cstheme="majorBidi"/>
          <w:b/>
          <w:iCs/>
          <w:color w:val="000000" w:themeColor="text1"/>
          <w:szCs w:val="24"/>
        </w:rPr>
        <w:t>Capital and Financial Account</w:t>
      </w:r>
      <w:r w:rsidRPr="000471B9">
        <w:rPr>
          <w:rFonts w:asciiTheme="majorBidi" w:hAnsiTheme="majorBidi" w:cstheme="majorBidi"/>
          <w:b/>
          <w:iCs/>
          <w:color w:val="000000" w:themeColor="text1"/>
          <w:szCs w:val="24"/>
        </w:rPr>
        <w:t xml:space="preserve"> recorded a surplus of USD 328 million </w:t>
      </w:r>
    </w:p>
    <w:p w:rsidR="00986174" w:rsidRPr="000471B9" w:rsidRDefault="00E007BE" w:rsidP="00740DB8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iCs/>
          <w:szCs w:val="24"/>
        </w:rPr>
      </w:pPr>
      <w:r w:rsidRPr="000471B9">
        <w:rPr>
          <w:rFonts w:asciiTheme="majorBidi" w:hAnsiTheme="majorBidi" w:cstheme="majorBidi"/>
          <w:iCs/>
          <w:szCs w:val="24"/>
        </w:rPr>
        <w:t xml:space="preserve">The </w:t>
      </w:r>
      <w:r w:rsidR="00972DC3" w:rsidRPr="000471B9">
        <w:rPr>
          <w:rFonts w:asciiTheme="majorBidi" w:hAnsiTheme="majorBidi" w:cstheme="majorBidi"/>
          <w:iCs/>
          <w:color w:val="000000" w:themeColor="text1"/>
          <w:szCs w:val="24"/>
        </w:rPr>
        <w:t>preliminary</w:t>
      </w:r>
      <w:r w:rsidR="00972DC3" w:rsidRPr="000471B9">
        <w:rPr>
          <w:rFonts w:asciiTheme="majorBidi" w:hAnsiTheme="majorBidi" w:cstheme="majorBidi"/>
          <w:iCs/>
          <w:szCs w:val="24"/>
        </w:rPr>
        <w:t xml:space="preserve"> </w:t>
      </w:r>
      <w:r w:rsidRPr="000471B9">
        <w:rPr>
          <w:rFonts w:asciiTheme="majorBidi" w:hAnsiTheme="majorBidi" w:cstheme="majorBidi"/>
          <w:iCs/>
          <w:szCs w:val="24"/>
        </w:rPr>
        <w:t xml:space="preserve">results showed a </w:t>
      </w:r>
      <w:r w:rsidR="006239FE" w:rsidRPr="000471B9">
        <w:rPr>
          <w:rFonts w:asciiTheme="majorBidi" w:hAnsiTheme="majorBidi" w:cstheme="majorBidi"/>
          <w:iCs/>
          <w:szCs w:val="24"/>
        </w:rPr>
        <w:t xml:space="preserve">surplus value </w:t>
      </w:r>
      <w:r w:rsidRPr="000471B9">
        <w:rPr>
          <w:rFonts w:asciiTheme="majorBidi" w:hAnsiTheme="majorBidi" w:cstheme="majorBidi"/>
          <w:iCs/>
          <w:szCs w:val="24"/>
        </w:rPr>
        <w:t xml:space="preserve">for the </w:t>
      </w:r>
      <w:r w:rsidR="006239FE" w:rsidRPr="000471B9">
        <w:rPr>
          <w:rFonts w:asciiTheme="majorBidi" w:hAnsiTheme="majorBidi" w:cstheme="majorBidi"/>
          <w:iCs/>
          <w:szCs w:val="24"/>
        </w:rPr>
        <w:t>Capital and Financial Account amount</w:t>
      </w:r>
      <w:r w:rsidR="003E0A13" w:rsidRPr="000471B9">
        <w:rPr>
          <w:rFonts w:asciiTheme="majorBidi" w:hAnsiTheme="majorBidi" w:cstheme="majorBidi"/>
          <w:iCs/>
          <w:szCs w:val="24"/>
        </w:rPr>
        <w:t>ed</w:t>
      </w:r>
      <w:r w:rsidRPr="000471B9">
        <w:rPr>
          <w:rFonts w:asciiTheme="majorBidi" w:hAnsiTheme="majorBidi" w:cstheme="majorBidi"/>
          <w:iCs/>
          <w:szCs w:val="24"/>
        </w:rPr>
        <w:t xml:space="preserve"> </w:t>
      </w:r>
      <w:r w:rsidR="006239FE" w:rsidRPr="000471B9">
        <w:rPr>
          <w:rFonts w:asciiTheme="majorBidi" w:hAnsiTheme="majorBidi" w:cstheme="majorBidi"/>
          <w:iCs/>
          <w:szCs w:val="24"/>
        </w:rPr>
        <w:t xml:space="preserve">to USD </w:t>
      </w:r>
      <w:r w:rsidR="00740DB8" w:rsidRPr="000471B9">
        <w:rPr>
          <w:rFonts w:asciiTheme="majorBidi" w:hAnsiTheme="majorBidi" w:cstheme="majorBidi"/>
          <w:iCs/>
          <w:szCs w:val="24"/>
        </w:rPr>
        <w:t>328</w:t>
      </w:r>
      <w:r w:rsidR="0014777A" w:rsidRPr="000471B9">
        <w:rPr>
          <w:rFonts w:asciiTheme="majorBidi" w:hAnsiTheme="majorBidi" w:cstheme="majorBidi"/>
          <w:iCs/>
          <w:szCs w:val="24"/>
        </w:rPr>
        <w:t xml:space="preserve"> </w:t>
      </w:r>
      <w:r w:rsidR="006239FE" w:rsidRPr="000471B9">
        <w:rPr>
          <w:rFonts w:asciiTheme="majorBidi" w:hAnsiTheme="majorBidi" w:cstheme="majorBidi"/>
          <w:iCs/>
          <w:szCs w:val="24"/>
        </w:rPr>
        <w:t>million</w:t>
      </w:r>
      <w:r w:rsidR="00354CC2" w:rsidRPr="000471B9">
        <w:rPr>
          <w:rFonts w:asciiTheme="majorBidi" w:hAnsiTheme="majorBidi" w:cstheme="majorBidi"/>
          <w:iCs/>
          <w:szCs w:val="24"/>
        </w:rPr>
        <w:t>, the surplus in the Capital and Financial Account was mainly caused by the surplus in the Capital Account which</w:t>
      </w:r>
      <w:r w:rsidR="00352486" w:rsidRPr="000471B9">
        <w:rPr>
          <w:rFonts w:asciiTheme="majorBidi" w:hAnsiTheme="majorBidi" w:cstheme="majorBidi"/>
          <w:iCs/>
          <w:szCs w:val="24"/>
        </w:rPr>
        <w:t xml:space="preserve"> </w:t>
      </w:r>
      <w:r w:rsidR="00354CC2" w:rsidRPr="000471B9">
        <w:rPr>
          <w:rFonts w:asciiTheme="majorBidi" w:hAnsiTheme="majorBidi" w:cstheme="majorBidi"/>
          <w:iCs/>
          <w:szCs w:val="24"/>
        </w:rPr>
        <w:t>reached USD</w:t>
      </w:r>
      <w:r w:rsidR="00E74CB6" w:rsidRPr="000471B9">
        <w:rPr>
          <w:rFonts w:asciiTheme="majorBidi" w:hAnsiTheme="majorBidi" w:cstheme="majorBidi"/>
          <w:iCs/>
          <w:szCs w:val="24"/>
        </w:rPr>
        <w:t xml:space="preserve"> </w:t>
      </w:r>
      <w:r w:rsidR="00587410" w:rsidRPr="000471B9">
        <w:rPr>
          <w:rFonts w:asciiTheme="majorBidi" w:hAnsiTheme="majorBidi" w:cstheme="majorBidi"/>
          <w:iCs/>
          <w:szCs w:val="24"/>
        </w:rPr>
        <w:t>105</w:t>
      </w:r>
      <w:r w:rsidR="00354CC2" w:rsidRPr="000471B9">
        <w:rPr>
          <w:rFonts w:asciiTheme="majorBidi" w:hAnsiTheme="majorBidi" w:cstheme="majorBidi"/>
          <w:iCs/>
          <w:szCs w:val="24"/>
        </w:rPr>
        <w:t xml:space="preserve"> million</w:t>
      </w:r>
      <w:r w:rsidR="00122B0F" w:rsidRPr="000471B9">
        <w:rPr>
          <w:rFonts w:asciiTheme="majorBidi" w:hAnsiTheme="majorBidi" w:cstheme="majorBidi"/>
          <w:iCs/>
          <w:szCs w:val="24"/>
        </w:rPr>
        <w:t>,</w:t>
      </w:r>
      <w:r w:rsidR="00354CC2" w:rsidRPr="000471B9">
        <w:rPr>
          <w:rFonts w:asciiTheme="majorBidi" w:hAnsiTheme="majorBidi" w:cstheme="majorBidi"/>
          <w:iCs/>
          <w:szCs w:val="24"/>
        </w:rPr>
        <w:t xml:space="preserve"> and the surplus in Financial Account which amounted to USD</w:t>
      </w:r>
      <w:r w:rsidR="00352486" w:rsidRPr="000471B9">
        <w:rPr>
          <w:rFonts w:asciiTheme="majorBidi" w:hAnsiTheme="majorBidi" w:cstheme="majorBidi"/>
          <w:iCs/>
          <w:szCs w:val="24"/>
        </w:rPr>
        <w:t xml:space="preserve"> </w:t>
      </w:r>
      <w:r w:rsidR="00740DB8" w:rsidRPr="000471B9">
        <w:rPr>
          <w:rFonts w:asciiTheme="majorBidi" w:hAnsiTheme="majorBidi" w:cstheme="majorBidi"/>
          <w:iCs/>
          <w:szCs w:val="24"/>
        </w:rPr>
        <w:t>223</w:t>
      </w:r>
      <w:r w:rsidR="00354CC2" w:rsidRPr="000471B9">
        <w:rPr>
          <w:rFonts w:asciiTheme="majorBidi" w:hAnsiTheme="majorBidi" w:cstheme="majorBidi"/>
          <w:iCs/>
          <w:szCs w:val="24"/>
        </w:rPr>
        <w:t xml:space="preserve"> million. </w:t>
      </w:r>
      <w:r w:rsidR="00D77527" w:rsidRPr="000471B9">
        <w:rPr>
          <w:rFonts w:asciiTheme="majorBidi" w:hAnsiTheme="majorBidi" w:cstheme="majorBidi"/>
          <w:iCs/>
          <w:szCs w:val="24"/>
        </w:rPr>
        <w:t xml:space="preserve">There </w:t>
      </w:r>
      <w:r w:rsidRPr="000471B9">
        <w:rPr>
          <w:rFonts w:asciiTheme="majorBidi" w:hAnsiTheme="majorBidi" w:cstheme="majorBidi"/>
          <w:iCs/>
          <w:szCs w:val="24"/>
        </w:rPr>
        <w:t>was a</w:t>
      </w:r>
      <w:r w:rsidR="00587410" w:rsidRPr="000471B9">
        <w:rPr>
          <w:rFonts w:asciiTheme="majorBidi" w:hAnsiTheme="majorBidi" w:cstheme="majorBidi"/>
          <w:iCs/>
          <w:szCs w:val="24"/>
        </w:rPr>
        <w:t>n</w:t>
      </w:r>
      <w:r w:rsidR="006239FE" w:rsidRPr="000471B9">
        <w:rPr>
          <w:rFonts w:asciiTheme="majorBidi" w:hAnsiTheme="majorBidi" w:cstheme="majorBidi"/>
          <w:iCs/>
          <w:szCs w:val="24"/>
        </w:rPr>
        <w:t xml:space="preserve"> </w:t>
      </w:r>
      <w:r w:rsidR="00587410" w:rsidRPr="000471B9">
        <w:rPr>
          <w:rFonts w:asciiTheme="majorBidi" w:hAnsiTheme="majorBidi" w:cstheme="majorBidi"/>
          <w:iCs/>
          <w:szCs w:val="24"/>
        </w:rPr>
        <w:t>in</w:t>
      </w:r>
      <w:r w:rsidR="00BC6532" w:rsidRPr="000471B9">
        <w:rPr>
          <w:rFonts w:asciiTheme="majorBidi" w:hAnsiTheme="majorBidi" w:cstheme="majorBidi"/>
          <w:iCs/>
          <w:szCs w:val="24"/>
        </w:rPr>
        <w:t>crease</w:t>
      </w:r>
      <w:r w:rsidR="00013A84" w:rsidRPr="000471B9">
        <w:rPr>
          <w:rFonts w:asciiTheme="majorBidi" w:hAnsiTheme="majorBidi" w:cstheme="majorBidi"/>
          <w:iCs/>
          <w:szCs w:val="24"/>
        </w:rPr>
        <w:t xml:space="preserve"> in the</w:t>
      </w:r>
      <w:r w:rsidR="001862D7" w:rsidRPr="000471B9">
        <w:rPr>
          <w:rFonts w:asciiTheme="majorBidi" w:hAnsiTheme="majorBidi" w:cstheme="majorBidi"/>
          <w:iCs/>
          <w:szCs w:val="24"/>
        </w:rPr>
        <w:t xml:space="preserve"> </w:t>
      </w:r>
      <w:r w:rsidR="00813889" w:rsidRPr="000471B9">
        <w:rPr>
          <w:rFonts w:asciiTheme="majorBidi" w:hAnsiTheme="majorBidi" w:cstheme="majorBidi"/>
          <w:iCs/>
          <w:szCs w:val="24"/>
        </w:rPr>
        <w:t>r</w:t>
      </w:r>
      <w:r w:rsidR="001862D7" w:rsidRPr="000471B9">
        <w:rPr>
          <w:rFonts w:asciiTheme="majorBidi" w:hAnsiTheme="majorBidi" w:cstheme="majorBidi"/>
          <w:iCs/>
          <w:szCs w:val="24"/>
        </w:rPr>
        <w:t xml:space="preserve">eserve </w:t>
      </w:r>
      <w:r w:rsidR="00813889" w:rsidRPr="000471B9">
        <w:rPr>
          <w:rFonts w:asciiTheme="majorBidi" w:hAnsiTheme="majorBidi" w:cstheme="majorBidi"/>
          <w:iCs/>
          <w:szCs w:val="24"/>
        </w:rPr>
        <w:t>a</w:t>
      </w:r>
      <w:r w:rsidR="001862D7" w:rsidRPr="000471B9">
        <w:rPr>
          <w:rFonts w:asciiTheme="majorBidi" w:hAnsiTheme="majorBidi" w:cstheme="majorBidi"/>
          <w:iCs/>
          <w:szCs w:val="24"/>
        </w:rPr>
        <w:t xml:space="preserve">ssets </w:t>
      </w:r>
      <w:r w:rsidR="00013A84" w:rsidRPr="000471B9">
        <w:rPr>
          <w:rFonts w:asciiTheme="majorBidi" w:hAnsiTheme="majorBidi" w:cstheme="majorBidi"/>
          <w:iCs/>
          <w:szCs w:val="24"/>
        </w:rPr>
        <w:t>at PMA</w:t>
      </w:r>
      <w:r w:rsidR="006239FE" w:rsidRPr="000471B9">
        <w:rPr>
          <w:rFonts w:asciiTheme="majorBidi" w:hAnsiTheme="majorBidi" w:cstheme="majorBidi"/>
          <w:iCs/>
          <w:szCs w:val="24"/>
        </w:rPr>
        <w:t xml:space="preserve"> amount</w:t>
      </w:r>
      <w:r w:rsidR="003E0A13" w:rsidRPr="000471B9">
        <w:rPr>
          <w:rFonts w:asciiTheme="majorBidi" w:hAnsiTheme="majorBidi" w:cstheme="majorBidi"/>
          <w:iCs/>
          <w:szCs w:val="24"/>
        </w:rPr>
        <w:t>ed</w:t>
      </w:r>
      <w:r w:rsidRPr="000471B9">
        <w:rPr>
          <w:rFonts w:asciiTheme="majorBidi" w:hAnsiTheme="majorBidi" w:cstheme="majorBidi"/>
          <w:iCs/>
          <w:szCs w:val="24"/>
        </w:rPr>
        <w:t xml:space="preserve"> </w:t>
      </w:r>
      <w:r w:rsidR="006239FE" w:rsidRPr="000471B9">
        <w:rPr>
          <w:rFonts w:asciiTheme="majorBidi" w:hAnsiTheme="majorBidi" w:cstheme="majorBidi"/>
          <w:iCs/>
          <w:szCs w:val="24"/>
        </w:rPr>
        <w:t>to USD</w:t>
      </w:r>
      <w:r w:rsidR="00E74CB6" w:rsidRPr="000471B9">
        <w:rPr>
          <w:rFonts w:asciiTheme="majorBidi" w:hAnsiTheme="majorBidi" w:cstheme="majorBidi"/>
          <w:iCs/>
          <w:szCs w:val="24"/>
        </w:rPr>
        <w:t xml:space="preserve"> </w:t>
      </w:r>
      <w:r w:rsidR="00587410" w:rsidRPr="000471B9">
        <w:rPr>
          <w:rFonts w:asciiTheme="majorBidi" w:hAnsiTheme="majorBidi" w:cstheme="majorBidi"/>
          <w:iCs/>
          <w:szCs w:val="24"/>
        </w:rPr>
        <w:t>53</w:t>
      </w:r>
      <w:r w:rsidR="0014777A" w:rsidRPr="000471B9">
        <w:rPr>
          <w:rFonts w:asciiTheme="majorBidi" w:hAnsiTheme="majorBidi" w:cstheme="majorBidi"/>
          <w:iCs/>
          <w:szCs w:val="24"/>
        </w:rPr>
        <w:t xml:space="preserve"> </w:t>
      </w:r>
      <w:r w:rsidR="006239FE" w:rsidRPr="000471B9">
        <w:rPr>
          <w:rFonts w:asciiTheme="majorBidi" w:hAnsiTheme="majorBidi" w:cstheme="majorBidi"/>
          <w:iCs/>
          <w:szCs w:val="24"/>
        </w:rPr>
        <w:t>million</w:t>
      </w:r>
      <w:r w:rsidR="000C156F" w:rsidRPr="000471B9">
        <w:rPr>
          <w:rFonts w:asciiTheme="majorBidi" w:hAnsiTheme="majorBidi" w:cstheme="majorBidi"/>
          <w:iCs/>
          <w:szCs w:val="24"/>
        </w:rPr>
        <w:t>,</w:t>
      </w:r>
      <w:r w:rsidR="00CF74A0" w:rsidRPr="000471B9">
        <w:rPr>
          <w:rFonts w:asciiTheme="majorBidi" w:hAnsiTheme="majorBidi" w:cstheme="majorBidi"/>
          <w:iCs/>
          <w:szCs w:val="24"/>
        </w:rPr>
        <w:t xml:space="preserve"> </w:t>
      </w:r>
      <w:r w:rsidR="00C72AF2" w:rsidRPr="000471B9">
        <w:rPr>
          <w:rFonts w:asciiTheme="majorBidi" w:hAnsiTheme="majorBidi" w:cstheme="majorBidi"/>
          <w:iCs/>
          <w:szCs w:val="24"/>
        </w:rPr>
        <w:t xml:space="preserve">compared to </w:t>
      </w:r>
      <w:r w:rsidR="00530162" w:rsidRPr="000471B9">
        <w:rPr>
          <w:rFonts w:asciiTheme="majorBidi" w:hAnsiTheme="majorBidi" w:cstheme="majorBidi"/>
          <w:iCs/>
          <w:szCs w:val="24"/>
        </w:rPr>
        <w:t>a</w:t>
      </w:r>
      <w:r w:rsidR="00354CC2" w:rsidRPr="000471B9">
        <w:rPr>
          <w:rFonts w:asciiTheme="majorBidi" w:hAnsiTheme="majorBidi" w:cstheme="majorBidi"/>
          <w:iCs/>
          <w:szCs w:val="24"/>
        </w:rPr>
        <w:t xml:space="preserve"> </w:t>
      </w:r>
      <w:r w:rsidR="00530162" w:rsidRPr="000471B9">
        <w:rPr>
          <w:rFonts w:asciiTheme="majorBidi" w:hAnsiTheme="majorBidi" w:cstheme="majorBidi"/>
          <w:iCs/>
          <w:szCs w:val="24"/>
        </w:rPr>
        <w:t>de</w:t>
      </w:r>
      <w:r w:rsidR="00354CC2" w:rsidRPr="000471B9">
        <w:rPr>
          <w:rFonts w:asciiTheme="majorBidi" w:hAnsiTheme="majorBidi" w:cstheme="majorBidi"/>
          <w:iCs/>
          <w:szCs w:val="24"/>
        </w:rPr>
        <w:t>crease of</w:t>
      </w:r>
      <w:r w:rsidR="006239FE" w:rsidRPr="000471B9">
        <w:rPr>
          <w:rFonts w:asciiTheme="majorBidi" w:hAnsiTheme="majorBidi" w:cstheme="majorBidi"/>
          <w:iCs/>
          <w:szCs w:val="24"/>
        </w:rPr>
        <w:t xml:space="preserve"> </w:t>
      </w:r>
      <w:r w:rsidR="00190B3C" w:rsidRPr="000471B9">
        <w:rPr>
          <w:rFonts w:asciiTheme="majorBidi" w:hAnsiTheme="majorBidi" w:cstheme="majorBidi"/>
          <w:iCs/>
          <w:szCs w:val="24"/>
        </w:rPr>
        <w:t xml:space="preserve">USD </w:t>
      </w:r>
      <w:r w:rsidR="00587410" w:rsidRPr="000471B9">
        <w:rPr>
          <w:rFonts w:asciiTheme="majorBidi" w:hAnsiTheme="majorBidi" w:cstheme="majorBidi"/>
          <w:iCs/>
          <w:szCs w:val="24"/>
        </w:rPr>
        <w:t>40</w:t>
      </w:r>
      <w:r w:rsidR="00352486" w:rsidRPr="000471B9">
        <w:rPr>
          <w:rFonts w:asciiTheme="majorBidi" w:hAnsiTheme="majorBidi" w:cstheme="majorBidi"/>
          <w:iCs/>
          <w:szCs w:val="24"/>
        </w:rPr>
        <w:t xml:space="preserve"> </w:t>
      </w:r>
      <w:r w:rsidR="00190B3C" w:rsidRPr="000471B9">
        <w:rPr>
          <w:rFonts w:asciiTheme="majorBidi" w:hAnsiTheme="majorBidi" w:cstheme="majorBidi"/>
          <w:iCs/>
          <w:szCs w:val="24"/>
        </w:rPr>
        <w:t xml:space="preserve">million </w:t>
      </w:r>
      <w:bookmarkStart w:id="0" w:name="_GoBack"/>
      <w:bookmarkEnd w:id="0"/>
      <w:r w:rsidR="00C72AF2" w:rsidRPr="000471B9">
        <w:rPr>
          <w:rFonts w:asciiTheme="majorBidi" w:hAnsiTheme="majorBidi" w:cstheme="majorBidi"/>
          <w:iCs/>
          <w:szCs w:val="24"/>
        </w:rPr>
        <w:t>in</w:t>
      </w:r>
      <w:r w:rsidR="00D77527" w:rsidRPr="000471B9">
        <w:rPr>
          <w:rFonts w:asciiTheme="majorBidi" w:hAnsiTheme="majorBidi" w:cstheme="majorBidi"/>
          <w:iCs/>
          <w:szCs w:val="24"/>
        </w:rPr>
        <w:t xml:space="preserve"> </w:t>
      </w:r>
      <w:r w:rsidRPr="000471B9">
        <w:rPr>
          <w:rFonts w:asciiTheme="majorBidi" w:hAnsiTheme="majorBidi" w:cstheme="majorBidi"/>
          <w:iCs/>
          <w:szCs w:val="24"/>
        </w:rPr>
        <w:t xml:space="preserve">the </w:t>
      </w:r>
      <w:r w:rsidR="00013A84" w:rsidRPr="000471B9">
        <w:rPr>
          <w:rFonts w:asciiTheme="majorBidi" w:hAnsiTheme="majorBidi" w:cstheme="majorBidi"/>
          <w:iCs/>
          <w:szCs w:val="24"/>
        </w:rPr>
        <w:t>previous quarter</w:t>
      </w:r>
      <w:r w:rsidR="00190B3C" w:rsidRPr="000471B9">
        <w:rPr>
          <w:rFonts w:asciiTheme="majorBidi" w:hAnsiTheme="majorBidi" w:cstheme="majorBidi"/>
          <w:iCs/>
          <w:szCs w:val="24"/>
        </w:rPr>
        <w:t>.</w:t>
      </w:r>
    </w:p>
    <w:p w:rsidR="000471B9" w:rsidRPr="000471B9" w:rsidRDefault="000471B9" w:rsidP="003F586E">
      <w:pPr>
        <w:pStyle w:val="BodyText"/>
        <w:bidi w:val="0"/>
        <w:jc w:val="both"/>
        <w:rPr>
          <w:rFonts w:asciiTheme="majorBidi" w:hAnsiTheme="majorBidi" w:cstheme="majorBidi"/>
          <w:iCs/>
          <w:sz w:val="16"/>
          <w:szCs w:val="16"/>
        </w:rPr>
      </w:pPr>
    </w:p>
    <w:p w:rsidR="004D1601" w:rsidRPr="000471B9" w:rsidRDefault="003F586E" w:rsidP="000471B9">
      <w:pPr>
        <w:pStyle w:val="BodyText"/>
        <w:bidi w:val="0"/>
        <w:jc w:val="both"/>
        <w:rPr>
          <w:rFonts w:asciiTheme="majorBidi" w:hAnsiTheme="majorBidi" w:cstheme="majorBidi"/>
          <w:iCs/>
          <w:szCs w:val="24"/>
        </w:rPr>
      </w:pPr>
      <w:r w:rsidRPr="000471B9">
        <w:rPr>
          <w:rFonts w:asciiTheme="majorBidi" w:hAnsiTheme="majorBidi" w:cstheme="majorBidi"/>
          <w:iCs/>
          <w:szCs w:val="24"/>
        </w:rPr>
        <w:t>It is worth mentioning that t</w:t>
      </w:r>
      <w:r w:rsidR="00F2693C" w:rsidRPr="000471B9">
        <w:rPr>
          <w:rFonts w:asciiTheme="majorBidi" w:hAnsiTheme="majorBidi" w:cstheme="majorBidi"/>
          <w:iCs/>
          <w:szCs w:val="24"/>
        </w:rPr>
        <w:t>he Balance of Paymen</w:t>
      </w:r>
      <w:r w:rsidR="003D6FF3" w:rsidRPr="000471B9">
        <w:rPr>
          <w:rFonts w:asciiTheme="majorBidi" w:hAnsiTheme="majorBidi" w:cstheme="majorBidi"/>
          <w:iCs/>
          <w:szCs w:val="24"/>
        </w:rPr>
        <w:t>ts (B</w:t>
      </w:r>
      <w:r w:rsidR="00C5265D" w:rsidRPr="000471B9">
        <w:rPr>
          <w:rFonts w:asciiTheme="majorBidi" w:hAnsiTheme="majorBidi" w:cstheme="majorBidi"/>
          <w:iCs/>
          <w:szCs w:val="24"/>
        </w:rPr>
        <w:t>o</w:t>
      </w:r>
      <w:r w:rsidR="003D6FF3" w:rsidRPr="000471B9">
        <w:rPr>
          <w:rFonts w:asciiTheme="majorBidi" w:hAnsiTheme="majorBidi" w:cstheme="majorBidi"/>
          <w:iCs/>
          <w:szCs w:val="24"/>
        </w:rPr>
        <w:t xml:space="preserve">P) </w:t>
      </w:r>
      <w:r w:rsidR="003D6FF3" w:rsidRPr="000471B9">
        <w:rPr>
          <w:rStyle w:val="hps"/>
          <w:rFonts w:asciiTheme="majorBidi" w:hAnsiTheme="majorBidi" w:cstheme="majorBidi"/>
          <w:bCs/>
          <w:iCs/>
          <w:szCs w:val="24"/>
        </w:rPr>
        <w:t xml:space="preserve">is </w:t>
      </w:r>
      <w:r w:rsidR="00E16D50" w:rsidRPr="000471B9">
        <w:rPr>
          <w:rStyle w:val="hps"/>
          <w:rFonts w:asciiTheme="majorBidi" w:hAnsiTheme="majorBidi" w:cstheme="majorBidi"/>
          <w:bCs/>
          <w:iCs/>
          <w:szCs w:val="24"/>
        </w:rPr>
        <w:t>used to determine</w:t>
      </w:r>
      <w:r w:rsidR="003D6FF3" w:rsidRPr="000471B9">
        <w:rPr>
          <w:rFonts w:asciiTheme="majorBidi" w:hAnsiTheme="majorBidi" w:cstheme="majorBidi"/>
          <w:bCs/>
          <w:iCs/>
          <w:szCs w:val="24"/>
        </w:rPr>
        <w:t xml:space="preserve"> the</w:t>
      </w:r>
      <w:r w:rsidR="007C159F" w:rsidRPr="000471B9">
        <w:rPr>
          <w:rFonts w:asciiTheme="majorBidi" w:hAnsiTheme="majorBidi" w:cstheme="majorBidi"/>
          <w:bCs/>
          <w:iCs/>
          <w:szCs w:val="24"/>
        </w:rPr>
        <w:t xml:space="preserve"> economic</w:t>
      </w:r>
      <w:r w:rsidR="003D6FF3" w:rsidRPr="000471B9">
        <w:rPr>
          <w:rFonts w:asciiTheme="majorBidi" w:hAnsiTheme="majorBidi" w:cstheme="majorBidi"/>
          <w:bCs/>
          <w:iCs/>
          <w:szCs w:val="24"/>
        </w:rPr>
        <w:t xml:space="preserve"> </w:t>
      </w:r>
      <w:r w:rsidR="00397CC6" w:rsidRPr="000471B9">
        <w:rPr>
          <w:rFonts w:asciiTheme="majorBidi" w:hAnsiTheme="majorBidi" w:cstheme="majorBidi"/>
          <w:bCs/>
          <w:iCs/>
          <w:szCs w:val="24"/>
        </w:rPr>
        <w:t>position</w:t>
      </w:r>
      <w:r w:rsidR="00BC618B" w:rsidRPr="000471B9">
        <w:rPr>
          <w:rFonts w:asciiTheme="majorBidi" w:hAnsiTheme="majorBidi" w:cstheme="majorBidi"/>
          <w:bCs/>
          <w:iCs/>
          <w:szCs w:val="24"/>
        </w:rPr>
        <w:t xml:space="preserve"> of </w:t>
      </w:r>
      <w:r w:rsidR="00E16D50" w:rsidRPr="000471B9">
        <w:rPr>
          <w:rFonts w:asciiTheme="majorBidi" w:hAnsiTheme="majorBidi" w:cstheme="majorBidi"/>
          <w:bCs/>
          <w:iCs/>
          <w:szCs w:val="24"/>
        </w:rPr>
        <w:t xml:space="preserve">a </w:t>
      </w:r>
      <w:r w:rsidR="00BC618B" w:rsidRPr="000471B9">
        <w:rPr>
          <w:rFonts w:asciiTheme="majorBidi" w:hAnsiTheme="majorBidi" w:cstheme="majorBidi"/>
          <w:bCs/>
          <w:iCs/>
          <w:szCs w:val="24"/>
        </w:rPr>
        <w:t xml:space="preserve">country </w:t>
      </w:r>
      <w:r w:rsidR="00E16D50" w:rsidRPr="000471B9">
        <w:rPr>
          <w:rFonts w:asciiTheme="majorBidi" w:hAnsiTheme="majorBidi" w:cstheme="majorBidi"/>
          <w:bCs/>
          <w:iCs/>
          <w:szCs w:val="24"/>
        </w:rPr>
        <w:t xml:space="preserve">compared to other countries </w:t>
      </w:r>
      <w:r w:rsidR="00812AC2" w:rsidRPr="000471B9">
        <w:rPr>
          <w:rFonts w:asciiTheme="majorBidi" w:hAnsiTheme="majorBidi" w:cstheme="majorBidi"/>
          <w:bCs/>
          <w:iCs/>
          <w:szCs w:val="24"/>
        </w:rPr>
        <w:t>world</w:t>
      </w:r>
      <w:r w:rsidRPr="000471B9">
        <w:rPr>
          <w:rFonts w:asciiTheme="majorBidi" w:hAnsiTheme="majorBidi" w:cstheme="majorBidi"/>
          <w:bCs/>
          <w:iCs/>
          <w:szCs w:val="24"/>
        </w:rPr>
        <w:t>wide</w:t>
      </w:r>
      <w:r w:rsidR="00122B0F" w:rsidRPr="000471B9">
        <w:rPr>
          <w:rFonts w:asciiTheme="majorBidi" w:hAnsiTheme="majorBidi" w:cstheme="majorBidi"/>
          <w:bCs/>
          <w:iCs/>
          <w:szCs w:val="24"/>
        </w:rPr>
        <w:t>,</w:t>
      </w:r>
      <w:r w:rsidR="00812AC2" w:rsidRPr="000471B9">
        <w:rPr>
          <w:rFonts w:asciiTheme="majorBidi" w:hAnsiTheme="majorBidi" w:cstheme="majorBidi"/>
          <w:bCs/>
          <w:iCs/>
          <w:szCs w:val="24"/>
        </w:rPr>
        <w:t xml:space="preserve"> and </w:t>
      </w:r>
      <w:r w:rsidR="005322B0" w:rsidRPr="000471B9">
        <w:rPr>
          <w:rFonts w:asciiTheme="majorBidi" w:hAnsiTheme="majorBidi" w:cstheme="majorBidi"/>
          <w:bCs/>
          <w:iCs/>
          <w:szCs w:val="24"/>
        </w:rPr>
        <w:t xml:space="preserve">to </w:t>
      </w:r>
      <w:r w:rsidR="00E16D50" w:rsidRPr="000471B9">
        <w:rPr>
          <w:rFonts w:asciiTheme="majorBidi" w:hAnsiTheme="majorBidi" w:cstheme="majorBidi"/>
          <w:bCs/>
          <w:iCs/>
          <w:szCs w:val="24"/>
        </w:rPr>
        <w:t xml:space="preserve">calculate the </w:t>
      </w:r>
      <w:r w:rsidR="003D6FF3" w:rsidRPr="000471B9">
        <w:rPr>
          <w:rFonts w:asciiTheme="majorBidi" w:hAnsiTheme="majorBidi" w:cstheme="majorBidi"/>
          <w:bCs/>
          <w:iCs/>
          <w:szCs w:val="24"/>
        </w:rPr>
        <w:t xml:space="preserve">size of </w:t>
      </w:r>
      <w:r w:rsidR="00E16D50" w:rsidRPr="000471B9">
        <w:rPr>
          <w:rFonts w:asciiTheme="majorBidi" w:hAnsiTheme="majorBidi" w:cstheme="majorBidi"/>
          <w:bCs/>
          <w:iCs/>
          <w:szCs w:val="24"/>
        </w:rPr>
        <w:t xml:space="preserve">its </w:t>
      </w:r>
      <w:r w:rsidR="003D6FF3" w:rsidRPr="000471B9">
        <w:rPr>
          <w:rFonts w:asciiTheme="majorBidi" w:hAnsiTheme="majorBidi" w:cstheme="majorBidi"/>
          <w:bCs/>
          <w:iCs/>
          <w:szCs w:val="24"/>
        </w:rPr>
        <w:t>external debt</w:t>
      </w:r>
      <w:r w:rsidR="00E16D50" w:rsidRPr="000471B9">
        <w:rPr>
          <w:rFonts w:asciiTheme="majorBidi" w:hAnsiTheme="majorBidi" w:cstheme="majorBidi"/>
          <w:bCs/>
          <w:iCs/>
          <w:szCs w:val="24"/>
        </w:rPr>
        <w:t>.</w:t>
      </w:r>
      <w:r w:rsidR="00397CC6" w:rsidRPr="000471B9">
        <w:rPr>
          <w:rFonts w:asciiTheme="majorBidi" w:hAnsiTheme="majorBidi" w:cstheme="majorBidi"/>
          <w:iCs/>
          <w:szCs w:val="24"/>
        </w:rPr>
        <w:t xml:space="preserve"> </w:t>
      </w:r>
      <w:r w:rsidR="00E16D50" w:rsidRPr="000471B9">
        <w:rPr>
          <w:rFonts w:asciiTheme="majorBidi" w:hAnsiTheme="majorBidi" w:cstheme="majorBidi"/>
          <w:iCs/>
          <w:szCs w:val="24"/>
        </w:rPr>
        <w:t>This</w:t>
      </w:r>
      <w:r w:rsidR="000042EC" w:rsidRPr="000471B9">
        <w:rPr>
          <w:rFonts w:asciiTheme="majorBidi" w:hAnsiTheme="majorBidi" w:cstheme="majorBidi"/>
          <w:iCs/>
          <w:szCs w:val="24"/>
        </w:rPr>
        <w:t xml:space="preserve"> data</w:t>
      </w:r>
      <w:r w:rsidR="00FC2F0B" w:rsidRPr="000471B9">
        <w:rPr>
          <w:rFonts w:asciiTheme="majorBidi" w:hAnsiTheme="majorBidi" w:cstheme="majorBidi"/>
          <w:iCs/>
          <w:szCs w:val="24"/>
        </w:rPr>
        <w:t xml:space="preserve"> </w:t>
      </w:r>
      <w:r w:rsidR="00E16D50" w:rsidRPr="000471B9">
        <w:rPr>
          <w:rFonts w:asciiTheme="majorBidi" w:hAnsiTheme="majorBidi" w:cstheme="majorBidi"/>
          <w:iCs/>
          <w:szCs w:val="24"/>
        </w:rPr>
        <w:t xml:space="preserve">enables </w:t>
      </w:r>
      <w:r w:rsidR="00594133" w:rsidRPr="000471B9">
        <w:rPr>
          <w:rFonts w:asciiTheme="majorBidi" w:hAnsiTheme="majorBidi" w:cstheme="majorBidi"/>
          <w:iCs/>
          <w:szCs w:val="24"/>
        </w:rPr>
        <w:t xml:space="preserve">researchers and decision makers </w:t>
      </w:r>
      <w:r w:rsidR="00E16D50" w:rsidRPr="000471B9">
        <w:rPr>
          <w:rFonts w:asciiTheme="majorBidi" w:hAnsiTheme="majorBidi" w:cstheme="majorBidi"/>
          <w:iCs/>
          <w:szCs w:val="24"/>
        </w:rPr>
        <w:t>to devise</w:t>
      </w:r>
      <w:r w:rsidR="00594133" w:rsidRPr="000471B9">
        <w:rPr>
          <w:rFonts w:asciiTheme="majorBidi" w:hAnsiTheme="majorBidi" w:cstheme="majorBidi"/>
          <w:iCs/>
          <w:szCs w:val="24"/>
        </w:rPr>
        <w:t xml:space="preserve"> </w:t>
      </w:r>
      <w:r w:rsidR="00E16D50" w:rsidRPr="000471B9">
        <w:rPr>
          <w:rFonts w:asciiTheme="majorBidi" w:hAnsiTheme="majorBidi" w:cstheme="majorBidi"/>
          <w:iCs/>
          <w:szCs w:val="24"/>
        </w:rPr>
        <w:t xml:space="preserve">informed </w:t>
      </w:r>
      <w:r w:rsidR="00594133" w:rsidRPr="000471B9">
        <w:rPr>
          <w:rFonts w:asciiTheme="majorBidi" w:hAnsiTheme="majorBidi" w:cstheme="majorBidi"/>
          <w:iCs/>
          <w:szCs w:val="24"/>
        </w:rPr>
        <w:t>economic policies and development pl</w:t>
      </w:r>
      <w:r w:rsidR="00F60F15" w:rsidRPr="000471B9">
        <w:rPr>
          <w:rFonts w:asciiTheme="majorBidi" w:hAnsiTheme="majorBidi" w:cstheme="majorBidi"/>
          <w:iCs/>
          <w:szCs w:val="24"/>
        </w:rPr>
        <w:t xml:space="preserve">ans to </w:t>
      </w:r>
      <w:r w:rsidR="00E16D50" w:rsidRPr="000471B9">
        <w:rPr>
          <w:rFonts w:asciiTheme="majorBidi" w:hAnsiTheme="majorBidi" w:cstheme="majorBidi"/>
          <w:iCs/>
          <w:szCs w:val="24"/>
        </w:rPr>
        <w:t xml:space="preserve">improve their </w:t>
      </w:r>
      <w:r w:rsidR="00A4213E" w:rsidRPr="000471B9">
        <w:rPr>
          <w:rFonts w:asciiTheme="majorBidi" w:hAnsiTheme="majorBidi" w:cstheme="majorBidi"/>
          <w:iCs/>
          <w:szCs w:val="24"/>
        </w:rPr>
        <w:t>external</w:t>
      </w:r>
      <w:r w:rsidR="00E16D50" w:rsidRPr="000471B9">
        <w:rPr>
          <w:rFonts w:asciiTheme="majorBidi" w:hAnsiTheme="majorBidi" w:cstheme="majorBidi"/>
          <w:iCs/>
          <w:szCs w:val="24"/>
        </w:rPr>
        <w:t xml:space="preserve"> balance to guarantee</w:t>
      </w:r>
      <w:r w:rsidR="00594133" w:rsidRPr="000471B9">
        <w:rPr>
          <w:rFonts w:asciiTheme="majorBidi" w:hAnsiTheme="majorBidi" w:cstheme="majorBidi"/>
          <w:iCs/>
          <w:szCs w:val="24"/>
        </w:rPr>
        <w:t xml:space="preserve"> the stability of the state and </w:t>
      </w:r>
      <w:r w:rsidR="00E16D50" w:rsidRPr="000471B9">
        <w:rPr>
          <w:rFonts w:asciiTheme="majorBidi" w:hAnsiTheme="majorBidi" w:cstheme="majorBidi"/>
          <w:iCs/>
          <w:szCs w:val="24"/>
        </w:rPr>
        <w:t xml:space="preserve">sustain the </w:t>
      </w:r>
      <w:r w:rsidR="00594133" w:rsidRPr="000471B9">
        <w:rPr>
          <w:rFonts w:asciiTheme="majorBidi" w:hAnsiTheme="majorBidi" w:cstheme="majorBidi"/>
          <w:iCs/>
          <w:szCs w:val="24"/>
        </w:rPr>
        <w:t>economic growth</w:t>
      </w:r>
      <w:r w:rsidR="00F60F15" w:rsidRPr="000471B9">
        <w:rPr>
          <w:rFonts w:asciiTheme="majorBidi" w:hAnsiTheme="majorBidi" w:cstheme="majorBidi"/>
          <w:iCs/>
          <w:szCs w:val="24"/>
        </w:rPr>
        <w:t>. B</w:t>
      </w:r>
      <w:r w:rsidR="00C5265D" w:rsidRPr="000471B9">
        <w:rPr>
          <w:rFonts w:asciiTheme="majorBidi" w:hAnsiTheme="majorBidi" w:cstheme="majorBidi"/>
          <w:iCs/>
          <w:szCs w:val="24"/>
        </w:rPr>
        <w:t>o</w:t>
      </w:r>
      <w:r w:rsidR="00F60F15" w:rsidRPr="000471B9">
        <w:rPr>
          <w:rFonts w:asciiTheme="majorBidi" w:hAnsiTheme="majorBidi" w:cstheme="majorBidi"/>
          <w:iCs/>
          <w:szCs w:val="24"/>
        </w:rPr>
        <w:t xml:space="preserve">P </w:t>
      </w:r>
      <w:r w:rsidR="009973FF" w:rsidRPr="000471B9">
        <w:rPr>
          <w:rFonts w:asciiTheme="majorBidi" w:hAnsiTheme="majorBidi" w:cstheme="majorBidi"/>
          <w:iCs/>
          <w:szCs w:val="24"/>
        </w:rPr>
        <w:t xml:space="preserve">data </w:t>
      </w:r>
      <w:r w:rsidR="005322B0" w:rsidRPr="000471B9">
        <w:rPr>
          <w:rFonts w:asciiTheme="majorBidi" w:hAnsiTheme="majorBidi" w:cstheme="majorBidi"/>
          <w:iCs/>
          <w:szCs w:val="24"/>
        </w:rPr>
        <w:t>was</w:t>
      </w:r>
      <w:r w:rsidR="00F60F15" w:rsidRPr="000471B9">
        <w:rPr>
          <w:rFonts w:asciiTheme="majorBidi" w:hAnsiTheme="majorBidi" w:cstheme="majorBidi"/>
          <w:iCs/>
          <w:szCs w:val="24"/>
        </w:rPr>
        <w:t xml:space="preserve"> prepared according to the latest international recommendations </w:t>
      </w:r>
      <w:r w:rsidR="00613DED" w:rsidRPr="000471B9">
        <w:rPr>
          <w:rFonts w:asciiTheme="majorBidi" w:hAnsiTheme="majorBidi" w:cstheme="majorBidi"/>
          <w:iCs/>
          <w:szCs w:val="24"/>
        </w:rPr>
        <w:t xml:space="preserve">taking into account the </w:t>
      </w:r>
      <w:r w:rsidR="00E16D50" w:rsidRPr="000471B9">
        <w:rPr>
          <w:rFonts w:asciiTheme="majorBidi" w:hAnsiTheme="majorBidi" w:cstheme="majorBidi"/>
          <w:iCs/>
          <w:szCs w:val="24"/>
        </w:rPr>
        <w:t xml:space="preserve">specificity </w:t>
      </w:r>
      <w:r w:rsidR="00B13D84" w:rsidRPr="000471B9">
        <w:rPr>
          <w:rFonts w:asciiTheme="majorBidi" w:hAnsiTheme="majorBidi" w:cstheme="majorBidi"/>
          <w:iCs/>
          <w:szCs w:val="24"/>
        </w:rPr>
        <w:t>of the Palestinian</w:t>
      </w:r>
      <w:r w:rsidR="00613DED" w:rsidRPr="000471B9">
        <w:rPr>
          <w:rFonts w:asciiTheme="majorBidi" w:hAnsiTheme="majorBidi" w:cstheme="majorBidi"/>
          <w:iCs/>
          <w:szCs w:val="24"/>
        </w:rPr>
        <w:t xml:space="preserve"> </w:t>
      </w:r>
      <w:r w:rsidR="00B13D84" w:rsidRPr="000471B9">
        <w:rPr>
          <w:rFonts w:asciiTheme="majorBidi" w:hAnsiTheme="majorBidi" w:cstheme="majorBidi"/>
          <w:iCs/>
          <w:szCs w:val="24"/>
        </w:rPr>
        <w:t>situation</w:t>
      </w:r>
      <w:r w:rsidR="00613DED" w:rsidRPr="000471B9">
        <w:rPr>
          <w:rFonts w:asciiTheme="majorBidi" w:hAnsiTheme="majorBidi" w:cstheme="majorBidi"/>
          <w:iCs/>
          <w:szCs w:val="24"/>
        </w:rPr>
        <w:t>.</w:t>
      </w:r>
    </w:p>
    <w:p w:rsidR="006A4C59" w:rsidRPr="000471B9" w:rsidRDefault="006A4C59" w:rsidP="006A4C59">
      <w:pPr>
        <w:pStyle w:val="BodyText"/>
        <w:bidi w:val="0"/>
        <w:jc w:val="both"/>
        <w:rPr>
          <w:rFonts w:asciiTheme="majorBidi" w:hAnsiTheme="majorBidi" w:cstheme="majorBidi"/>
          <w:iCs/>
          <w:szCs w:val="24"/>
        </w:rPr>
      </w:pPr>
    </w:p>
    <w:sectPr w:rsidR="006A4C59" w:rsidRPr="000471B9" w:rsidSect="000471B9">
      <w:footerReference w:type="default" r:id="rId8"/>
      <w:pgSz w:w="11907" w:h="16839" w:code="9"/>
      <w:pgMar w:top="720" w:right="720" w:bottom="720" w:left="720" w:header="708" w:footer="3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F40" w:rsidRDefault="00957F40" w:rsidP="00885BEC">
      <w:r>
        <w:separator/>
      </w:r>
    </w:p>
  </w:endnote>
  <w:endnote w:type="continuationSeparator" w:id="0">
    <w:p w:rsidR="00957F40" w:rsidRDefault="00957F40" w:rsidP="00885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0833074"/>
      <w:docPartObj>
        <w:docPartGallery w:val="Page Numbers (Bottom of Page)"/>
        <w:docPartUnique/>
      </w:docPartObj>
    </w:sdtPr>
    <w:sdtContent>
      <w:p w:rsidR="000471B9" w:rsidRDefault="000471B9">
        <w:pPr>
          <w:pStyle w:val="Footer"/>
          <w:jc w:val="center"/>
        </w:pPr>
        <w:r w:rsidRPr="000471B9">
          <w:rPr>
            <w:i w:val="0"/>
            <w:iCs/>
          </w:rPr>
          <w:fldChar w:fldCharType="begin"/>
        </w:r>
        <w:r w:rsidRPr="000471B9">
          <w:rPr>
            <w:i w:val="0"/>
            <w:iCs/>
          </w:rPr>
          <w:instrText xml:space="preserve"> PAGE   \* MERGEFORMAT </w:instrText>
        </w:r>
        <w:r w:rsidRPr="000471B9">
          <w:rPr>
            <w:i w:val="0"/>
            <w:iCs/>
          </w:rPr>
          <w:fldChar w:fldCharType="separate"/>
        </w:r>
        <w:r>
          <w:rPr>
            <w:i w:val="0"/>
            <w:iCs/>
            <w:noProof/>
          </w:rPr>
          <w:t>1</w:t>
        </w:r>
        <w:r w:rsidRPr="000471B9">
          <w:rPr>
            <w:i w:val="0"/>
            <w:iCs/>
          </w:rPr>
          <w:fldChar w:fldCharType="end"/>
        </w:r>
      </w:p>
    </w:sdtContent>
  </w:sdt>
  <w:p w:rsidR="00D539E6" w:rsidRDefault="00D539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F40" w:rsidRDefault="00957F40" w:rsidP="00885BEC">
      <w:r>
        <w:separator/>
      </w:r>
    </w:p>
  </w:footnote>
  <w:footnote w:type="continuationSeparator" w:id="0">
    <w:p w:rsidR="00957F40" w:rsidRDefault="00957F40" w:rsidP="00885B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A0F76"/>
    <w:multiLevelType w:val="hybridMultilevel"/>
    <w:tmpl w:val="C436D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357"/>
    <w:rsid w:val="00000446"/>
    <w:rsid w:val="000042EC"/>
    <w:rsid w:val="000072F1"/>
    <w:rsid w:val="0001231A"/>
    <w:rsid w:val="000124A7"/>
    <w:rsid w:val="00013A84"/>
    <w:rsid w:val="00017109"/>
    <w:rsid w:val="00022F55"/>
    <w:rsid w:val="00023916"/>
    <w:rsid w:val="00023F63"/>
    <w:rsid w:val="0002627D"/>
    <w:rsid w:val="000271AF"/>
    <w:rsid w:val="00030C2F"/>
    <w:rsid w:val="00032DB0"/>
    <w:rsid w:val="00033F1D"/>
    <w:rsid w:val="00034354"/>
    <w:rsid w:val="00037C5E"/>
    <w:rsid w:val="00040BCA"/>
    <w:rsid w:val="000471B9"/>
    <w:rsid w:val="00047BC1"/>
    <w:rsid w:val="00050DB2"/>
    <w:rsid w:val="000541C3"/>
    <w:rsid w:val="00056CE8"/>
    <w:rsid w:val="00056EBF"/>
    <w:rsid w:val="000621F0"/>
    <w:rsid w:val="00067DB7"/>
    <w:rsid w:val="00072644"/>
    <w:rsid w:val="00077AA7"/>
    <w:rsid w:val="00080709"/>
    <w:rsid w:val="00080765"/>
    <w:rsid w:val="00081BE1"/>
    <w:rsid w:val="00085209"/>
    <w:rsid w:val="00090534"/>
    <w:rsid w:val="00090A98"/>
    <w:rsid w:val="000911FF"/>
    <w:rsid w:val="00091661"/>
    <w:rsid w:val="00093897"/>
    <w:rsid w:val="00093B55"/>
    <w:rsid w:val="0009408F"/>
    <w:rsid w:val="000944C5"/>
    <w:rsid w:val="0009567F"/>
    <w:rsid w:val="0009774E"/>
    <w:rsid w:val="000A23B0"/>
    <w:rsid w:val="000A2842"/>
    <w:rsid w:val="000A3B64"/>
    <w:rsid w:val="000A3D5C"/>
    <w:rsid w:val="000A5E40"/>
    <w:rsid w:val="000B09BC"/>
    <w:rsid w:val="000B19A1"/>
    <w:rsid w:val="000B4B6A"/>
    <w:rsid w:val="000B638F"/>
    <w:rsid w:val="000B66F2"/>
    <w:rsid w:val="000C1306"/>
    <w:rsid w:val="000C156F"/>
    <w:rsid w:val="000C2CD8"/>
    <w:rsid w:val="000C30EC"/>
    <w:rsid w:val="000D0B86"/>
    <w:rsid w:val="000D134F"/>
    <w:rsid w:val="000D36E9"/>
    <w:rsid w:val="000D4C84"/>
    <w:rsid w:val="000E57DB"/>
    <w:rsid w:val="000E6DC2"/>
    <w:rsid w:val="000E76D1"/>
    <w:rsid w:val="000E77D9"/>
    <w:rsid w:val="000F1F98"/>
    <w:rsid w:val="000F2F95"/>
    <w:rsid w:val="000F449F"/>
    <w:rsid w:val="000F4C18"/>
    <w:rsid w:val="000F7730"/>
    <w:rsid w:val="00100B52"/>
    <w:rsid w:val="0011238A"/>
    <w:rsid w:val="00122B0F"/>
    <w:rsid w:val="001243F4"/>
    <w:rsid w:val="00124431"/>
    <w:rsid w:val="00126E34"/>
    <w:rsid w:val="00127CA6"/>
    <w:rsid w:val="00130495"/>
    <w:rsid w:val="00132B71"/>
    <w:rsid w:val="0013600F"/>
    <w:rsid w:val="00136634"/>
    <w:rsid w:val="00136FD5"/>
    <w:rsid w:val="001371FD"/>
    <w:rsid w:val="00137DE2"/>
    <w:rsid w:val="00140A8A"/>
    <w:rsid w:val="00141DE1"/>
    <w:rsid w:val="001420A0"/>
    <w:rsid w:val="0014725E"/>
    <w:rsid w:val="0014777A"/>
    <w:rsid w:val="00151B5B"/>
    <w:rsid w:val="001573C2"/>
    <w:rsid w:val="00157479"/>
    <w:rsid w:val="001579DB"/>
    <w:rsid w:val="001609E2"/>
    <w:rsid w:val="00161954"/>
    <w:rsid w:val="00162E38"/>
    <w:rsid w:val="00170276"/>
    <w:rsid w:val="00181A2B"/>
    <w:rsid w:val="001823A8"/>
    <w:rsid w:val="001844CA"/>
    <w:rsid w:val="001861B2"/>
    <w:rsid w:val="001862D7"/>
    <w:rsid w:val="00190B3C"/>
    <w:rsid w:val="001933C3"/>
    <w:rsid w:val="0019579D"/>
    <w:rsid w:val="00196708"/>
    <w:rsid w:val="001A3990"/>
    <w:rsid w:val="001B1110"/>
    <w:rsid w:val="001B2151"/>
    <w:rsid w:val="001B2404"/>
    <w:rsid w:val="001B35EB"/>
    <w:rsid w:val="001B4D6A"/>
    <w:rsid w:val="001B7265"/>
    <w:rsid w:val="001C1307"/>
    <w:rsid w:val="001C2180"/>
    <w:rsid w:val="001C6697"/>
    <w:rsid w:val="001C6782"/>
    <w:rsid w:val="001C7022"/>
    <w:rsid w:val="001D3642"/>
    <w:rsid w:val="001D43EA"/>
    <w:rsid w:val="001D5ADB"/>
    <w:rsid w:val="001D5D12"/>
    <w:rsid w:val="001D7ADF"/>
    <w:rsid w:val="001D7C9B"/>
    <w:rsid w:val="001E2FD6"/>
    <w:rsid w:val="001E4E8A"/>
    <w:rsid w:val="001E5975"/>
    <w:rsid w:val="001F14B4"/>
    <w:rsid w:val="001F37D2"/>
    <w:rsid w:val="001F4820"/>
    <w:rsid w:val="001F5051"/>
    <w:rsid w:val="001F67A4"/>
    <w:rsid w:val="002058E4"/>
    <w:rsid w:val="00205A26"/>
    <w:rsid w:val="002078E3"/>
    <w:rsid w:val="00211E0E"/>
    <w:rsid w:val="00217614"/>
    <w:rsid w:val="00222AF5"/>
    <w:rsid w:val="00224241"/>
    <w:rsid w:val="002245A3"/>
    <w:rsid w:val="002311EB"/>
    <w:rsid w:val="002339F9"/>
    <w:rsid w:val="00233A3F"/>
    <w:rsid w:val="00235B42"/>
    <w:rsid w:val="00235C00"/>
    <w:rsid w:val="0023676F"/>
    <w:rsid w:val="002403C2"/>
    <w:rsid w:val="00241F11"/>
    <w:rsid w:val="00246BC1"/>
    <w:rsid w:val="00251A59"/>
    <w:rsid w:val="0025216F"/>
    <w:rsid w:val="002523D4"/>
    <w:rsid w:val="00254E95"/>
    <w:rsid w:val="00254FB5"/>
    <w:rsid w:val="00255080"/>
    <w:rsid w:val="0026165F"/>
    <w:rsid w:val="00262AC2"/>
    <w:rsid w:val="00264A2F"/>
    <w:rsid w:val="00267601"/>
    <w:rsid w:val="00270B06"/>
    <w:rsid w:val="00271B76"/>
    <w:rsid w:val="00272F88"/>
    <w:rsid w:val="00273603"/>
    <w:rsid w:val="002739C2"/>
    <w:rsid w:val="00281346"/>
    <w:rsid w:val="00281F10"/>
    <w:rsid w:val="002822F3"/>
    <w:rsid w:val="0028358A"/>
    <w:rsid w:val="0028584B"/>
    <w:rsid w:val="00287955"/>
    <w:rsid w:val="002930BA"/>
    <w:rsid w:val="002945F6"/>
    <w:rsid w:val="002A0947"/>
    <w:rsid w:val="002A2BF0"/>
    <w:rsid w:val="002B0376"/>
    <w:rsid w:val="002B2CA8"/>
    <w:rsid w:val="002B36F3"/>
    <w:rsid w:val="002B519B"/>
    <w:rsid w:val="002C032A"/>
    <w:rsid w:val="002C1546"/>
    <w:rsid w:val="002C5EF1"/>
    <w:rsid w:val="002C6DD7"/>
    <w:rsid w:val="002D0D8A"/>
    <w:rsid w:val="002D1337"/>
    <w:rsid w:val="002D34BE"/>
    <w:rsid w:val="002D5FC8"/>
    <w:rsid w:val="002D7608"/>
    <w:rsid w:val="002E20F7"/>
    <w:rsid w:val="002E241A"/>
    <w:rsid w:val="002E5E97"/>
    <w:rsid w:val="002E6591"/>
    <w:rsid w:val="002E710B"/>
    <w:rsid w:val="002F51DB"/>
    <w:rsid w:val="00301F14"/>
    <w:rsid w:val="00306FC9"/>
    <w:rsid w:val="0031286D"/>
    <w:rsid w:val="00312946"/>
    <w:rsid w:val="00313C39"/>
    <w:rsid w:val="003143EE"/>
    <w:rsid w:val="00314F90"/>
    <w:rsid w:val="00315123"/>
    <w:rsid w:val="00317CDE"/>
    <w:rsid w:val="00317E26"/>
    <w:rsid w:val="00322FF5"/>
    <w:rsid w:val="00325B26"/>
    <w:rsid w:val="003312A1"/>
    <w:rsid w:val="00334E32"/>
    <w:rsid w:val="0033623F"/>
    <w:rsid w:val="0033635F"/>
    <w:rsid w:val="0034096B"/>
    <w:rsid w:val="00344303"/>
    <w:rsid w:val="003450D1"/>
    <w:rsid w:val="00345679"/>
    <w:rsid w:val="003458C3"/>
    <w:rsid w:val="003460FB"/>
    <w:rsid w:val="0035115C"/>
    <w:rsid w:val="00352486"/>
    <w:rsid w:val="00353553"/>
    <w:rsid w:val="00354215"/>
    <w:rsid w:val="00354CC2"/>
    <w:rsid w:val="00360975"/>
    <w:rsid w:val="00364DE2"/>
    <w:rsid w:val="003650EA"/>
    <w:rsid w:val="003713EE"/>
    <w:rsid w:val="00371BAA"/>
    <w:rsid w:val="00376039"/>
    <w:rsid w:val="00376DA0"/>
    <w:rsid w:val="00377817"/>
    <w:rsid w:val="00380DFB"/>
    <w:rsid w:val="0038255A"/>
    <w:rsid w:val="00382E41"/>
    <w:rsid w:val="003838AD"/>
    <w:rsid w:val="0038458B"/>
    <w:rsid w:val="00385033"/>
    <w:rsid w:val="00387A29"/>
    <w:rsid w:val="00391B60"/>
    <w:rsid w:val="00394B30"/>
    <w:rsid w:val="00397CC6"/>
    <w:rsid w:val="003A1748"/>
    <w:rsid w:val="003A2242"/>
    <w:rsid w:val="003A3E2C"/>
    <w:rsid w:val="003A7091"/>
    <w:rsid w:val="003A71ED"/>
    <w:rsid w:val="003B0C69"/>
    <w:rsid w:val="003B2285"/>
    <w:rsid w:val="003B4EFD"/>
    <w:rsid w:val="003B56C9"/>
    <w:rsid w:val="003C00B9"/>
    <w:rsid w:val="003C22E0"/>
    <w:rsid w:val="003C64EA"/>
    <w:rsid w:val="003D1AD0"/>
    <w:rsid w:val="003D377C"/>
    <w:rsid w:val="003D64EB"/>
    <w:rsid w:val="003D6FF3"/>
    <w:rsid w:val="003D7154"/>
    <w:rsid w:val="003E0504"/>
    <w:rsid w:val="003E0A13"/>
    <w:rsid w:val="003E289D"/>
    <w:rsid w:val="003E5A4E"/>
    <w:rsid w:val="003E65F8"/>
    <w:rsid w:val="003F1357"/>
    <w:rsid w:val="003F2C98"/>
    <w:rsid w:val="003F34C6"/>
    <w:rsid w:val="003F5357"/>
    <w:rsid w:val="003F586E"/>
    <w:rsid w:val="003F701A"/>
    <w:rsid w:val="00400738"/>
    <w:rsid w:val="00402A43"/>
    <w:rsid w:val="00403BFD"/>
    <w:rsid w:val="00406F83"/>
    <w:rsid w:val="0040747F"/>
    <w:rsid w:val="00410274"/>
    <w:rsid w:val="00411C10"/>
    <w:rsid w:val="00412B95"/>
    <w:rsid w:val="00420768"/>
    <w:rsid w:val="00420D89"/>
    <w:rsid w:val="0042254C"/>
    <w:rsid w:val="004246CA"/>
    <w:rsid w:val="004272CE"/>
    <w:rsid w:val="004310E3"/>
    <w:rsid w:val="0043182C"/>
    <w:rsid w:val="0043280A"/>
    <w:rsid w:val="00436681"/>
    <w:rsid w:val="00437C95"/>
    <w:rsid w:val="00440AB9"/>
    <w:rsid w:val="004459C6"/>
    <w:rsid w:val="0044654A"/>
    <w:rsid w:val="00451315"/>
    <w:rsid w:val="004531AA"/>
    <w:rsid w:val="00453BCE"/>
    <w:rsid w:val="00462347"/>
    <w:rsid w:val="004624A9"/>
    <w:rsid w:val="00462882"/>
    <w:rsid w:val="0046412B"/>
    <w:rsid w:val="0046623B"/>
    <w:rsid w:val="00466329"/>
    <w:rsid w:val="00466417"/>
    <w:rsid w:val="004706FF"/>
    <w:rsid w:val="00470EB2"/>
    <w:rsid w:val="0047210C"/>
    <w:rsid w:val="004722F3"/>
    <w:rsid w:val="00473BE3"/>
    <w:rsid w:val="00482097"/>
    <w:rsid w:val="00483A1A"/>
    <w:rsid w:val="00485E88"/>
    <w:rsid w:val="004908D8"/>
    <w:rsid w:val="004920F5"/>
    <w:rsid w:val="00494846"/>
    <w:rsid w:val="00494AD4"/>
    <w:rsid w:val="004954C4"/>
    <w:rsid w:val="004A16FB"/>
    <w:rsid w:val="004A6FCF"/>
    <w:rsid w:val="004B6088"/>
    <w:rsid w:val="004B65A3"/>
    <w:rsid w:val="004C1D42"/>
    <w:rsid w:val="004C2B1A"/>
    <w:rsid w:val="004C2D0B"/>
    <w:rsid w:val="004C4217"/>
    <w:rsid w:val="004C6AE8"/>
    <w:rsid w:val="004D093E"/>
    <w:rsid w:val="004D1601"/>
    <w:rsid w:val="004D31DC"/>
    <w:rsid w:val="004D5A71"/>
    <w:rsid w:val="004E120D"/>
    <w:rsid w:val="004E2CDA"/>
    <w:rsid w:val="004E3896"/>
    <w:rsid w:val="004E625A"/>
    <w:rsid w:val="004F052B"/>
    <w:rsid w:val="004F1663"/>
    <w:rsid w:val="004F3B71"/>
    <w:rsid w:val="004F4E08"/>
    <w:rsid w:val="004F69F1"/>
    <w:rsid w:val="004F701E"/>
    <w:rsid w:val="00501ACB"/>
    <w:rsid w:val="0050324C"/>
    <w:rsid w:val="00512E0F"/>
    <w:rsid w:val="00513BB5"/>
    <w:rsid w:val="0051707F"/>
    <w:rsid w:val="0052226F"/>
    <w:rsid w:val="00525E07"/>
    <w:rsid w:val="005268BB"/>
    <w:rsid w:val="00530162"/>
    <w:rsid w:val="005322B0"/>
    <w:rsid w:val="0053266C"/>
    <w:rsid w:val="00532EFB"/>
    <w:rsid w:val="00533F60"/>
    <w:rsid w:val="0053622D"/>
    <w:rsid w:val="00544D08"/>
    <w:rsid w:val="00545118"/>
    <w:rsid w:val="00550FEB"/>
    <w:rsid w:val="00552DE8"/>
    <w:rsid w:val="00553325"/>
    <w:rsid w:val="005540CE"/>
    <w:rsid w:val="00554D40"/>
    <w:rsid w:val="00557B46"/>
    <w:rsid w:val="005622E7"/>
    <w:rsid w:val="00564454"/>
    <w:rsid w:val="00570B11"/>
    <w:rsid w:val="005715DA"/>
    <w:rsid w:val="005721DA"/>
    <w:rsid w:val="00572967"/>
    <w:rsid w:val="005738ED"/>
    <w:rsid w:val="00575A80"/>
    <w:rsid w:val="005764B4"/>
    <w:rsid w:val="005775B3"/>
    <w:rsid w:val="00583A54"/>
    <w:rsid w:val="00584208"/>
    <w:rsid w:val="0058499C"/>
    <w:rsid w:val="00587410"/>
    <w:rsid w:val="00587861"/>
    <w:rsid w:val="0059372F"/>
    <w:rsid w:val="00594133"/>
    <w:rsid w:val="00595820"/>
    <w:rsid w:val="00596DAF"/>
    <w:rsid w:val="005A05C8"/>
    <w:rsid w:val="005A622B"/>
    <w:rsid w:val="005A7512"/>
    <w:rsid w:val="005B47E8"/>
    <w:rsid w:val="005C3F38"/>
    <w:rsid w:val="005C63F0"/>
    <w:rsid w:val="005C6ACB"/>
    <w:rsid w:val="005C7213"/>
    <w:rsid w:val="005D1897"/>
    <w:rsid w:val="005D5E85"/>
    <w:rsid w:val="005D76C7"/>
    <w:rsid w:val="005E1B65"/>
    <w:rsid w:val="005E2897"/>
    <w:rsid w:val="005E3128"/>
    <w:rsid w:val="005E34DD"/>
    <w:rsid w:val="005E3A8E"/>
    <w:rsid w:val="005E4F15"/>
    <w:rsid w:val="005E5F14"/>
    <w:rsid w:val="005E6C00"/>
    <w:rsid w:val="005F0F2C"/>
    <w:rsid w:val="005F1079"/>
    <w:rsid w:val="005F4EC2"/>
    <w:rsid w:val="005F7E95"/>
    <w:rsid w:val="006101E4"/>
    <w:rsid w:val="00612242"/>
    <w:rsid w:val="00613DED"/>
    <w:rsid w:val="00616296"/>
    <w:rsid w:val="006162C8"/>
    <w:rsid w:val="00617945"/>
    <w:rsid w:val="006211A1"/>
    <w:rsid w:val="006239FE"/>
    <w:rsid w:val="00623A01"/>
    <w:rsid w:val="0062406A"/>
    <w:rsid w:val="00627303"/>
    <w:rsid w:val="00631A9E"/>
    <w:rsid w:val="006352F1"/>
    <w:rsid w:val="00635CFE"/>
    <w:rsid w:val="00640286"/>
    <w:rsid w:val="00640F9C"/>
    <w:rsid w:val="00640FE6"/>
    <w:rsid w:val="006419A4"/>
    <w:rsid w:val="0064727B"/>
    <w:rsid w:val="0065065D"/>
    <w:rsid w:val="00653532"/>
    <w:rsid w:val="00656A6C"/>
    <w:rsid w:val="00657984"/>
    <w:rsid w:val="00663875"/>
    <w:rsid w:val="006649CA"/>
    <w:rsid w:val="0066563A"/>
    <w:rsid w:val="0066643E"/>
    <w:rsid w:val="0067102F"/>
    <w:rsid w:val="00672923"/>
    <w:rsid w:val="00673220"/>
    <w:rsid w:val="006738B1"/>
    <w:rsid w:val="00675A6A"/>
    <w:rsid w:val="00677174"/>
    <w:rsid w:val="00681C63"/>
    <w:rsid w:val="006825EB"/>
    <w:rsid w:val="006860A4"/>
    <w:rsid w:val="006864AF"/>
    <w:rsid w:val="00692615"/>
    <w:rsid w:val="00693BAD"/>
    <w:rsid w:val="006945FA"/>
    <w:rsid w:val="006949AB"/>
    <w:rsid w:val="006A4970"/>
    <w:rsid w:val="006A4C59"/>
    <w:rsid w:val="006A6595"/>
    <w:rsid w:val="006B5EE1"/>
    <w:rsid w:val="006C0330"/>
    <w:rsid w:val="006C27F7"/>
    <w:rsid w:val="006C46B3"/>
    <w:rsid w:val="006C5842"/>
    <w:rsid w:val="006C5ED3"/>
    <w:rsid w:val="006D24EE"/>
    <w:rsid w:val="006D6EEF"/>
    <w:rsid w:val="006E4D2F"/>
    <w:rsid w:val="006E775A"/>
    <w:rsid w:val="006F21B2"/>
    <w:rsid w:val="006F2D58"/>
    <w:rsid w:val="006F55D2"/>
    <w:rsid w:val="006F5843"/>
    <w:rsid w:val="006F5851"/>
    <w:rsid w:val="0070333F"/>
    <w:rsid w:val="007115CF"/>
    <w:rsid w:val="007117F4"/>
    <w:rsid w:val="00713756"/>
    <w:rsid w:val="00725408"/>
    <w:rsid w:val="00736E15"/>
    <w:rsid w:val="00737401"/>
    <w:rsid w:val="00740DB8"/>
    <w:rsid w:val="007440AA"/>
    <w:rsid w:val="0074518D"/>
    <w:rsid w:val="00745DFE"/>
    <w:rsid w:val="00753738"/>
    <w:rsid w:val="0075703F"/>
    <w:rsid w:val="00757248"/>
    <w:rsid w:val="0076206A"/>
    <w:rsid w:val="007634C9"/>
    <w:rsid w:val="007673B4"/>
    <w:rsid w:val="00770E19"/>
    <w:rsid w:val="00771648"/>
    <w:rsid w:val="0077245A"/>
    <w:rsid w:val="007739AD"/>
    <w:rsid w:val="00774849"/>
    <w:rsid w:val="007804B5"/>
    <w:rsid w:val="007811C9"/>
    <w:rsid w:val="007816DB"/>
    <w:rsid w:val="00786072"/>
    <w:rsid w:val="00786E33"/>
    <w:rsid w:val="007912D0"/>
    <w:rsid w:val="00795FD1"/>
    <w:rsid w:val="00796D97"/>
    <w:rsid w:val="00796DF9"/>
    <w:rsid w:val="007971E6"/>
    <w:rsid w:val="007A0A4E"/>
    <w:rsid w:val="007A0E58"/>
    <w:rsid w:val="007A56C8"/>
    <w:rsid w:val="007A67ED"/>
    <w:rsid w:val="007B0F66"/>
    <w:rsid w:val="007C159F"/>
    <w:rsid w:val="007C6A46"/>
    <w:rsid w:val="007C6B77"/>
    <w:rsid w:val="007C6EB8"/>
    <w:rsid w:val="007D2380"/>
    <w:rsid w:val="007D2EAE"/>
    <w:rsid w:val="007D3818"/>
    <w:rsid w:val="007D50C4"/>
    <w:rsid w:val="007D5672"/>
    <w:rsid w:val="007D699D"/>
    <w:rsid w:val="007E1BD9"/>
    <w:rsid w:val="007E2FA4"/>
    <w:rsid w:val="007E6926"/>
    <w:rsid w:val="007F34C4"/>
    <w:rsid w:val="007F5D87"/>
    <w:rsid w:val="007F6CC5"/>
    <w:rsid w:val="007F6CF0"/>
    <w:rsid w:val="008013FD"/>
    <w:rsid w:val="00802223"/>
    <w:rsid w:val="00802E8E"/>
    <w:rsid w:val="00803C85"/>
    <w:rsid w:val="00804462"/>
    <w:rsid w:val="00804489"/>
    <w:rsid w:val="00805073"/>
    <w:rsid w:val="008063DF"/>
    <w:rsid w:val="00812AC2"/>
    <w:rsid w:val="008136E2"/>
    <w:rsid w:val="00813889"/>
    <w:rsid w:val="008157B1"/>
    <w:rsid w:val="00820280"/>
    <w:rsid w:val="00822930"/>
    <w:rsid w:val="008244F8"/>
    <w:rsid w:val="00824C66"/>
    <w:rsid w:val="00831A99"/>
    <w:rsid w:val="00835713"/>
    <w:rsid w:val="00836286"/>
    <w:rsid w:val="00836364"/>
    <w:rsid w:val="00837C26"/>
    <w:rsid w:val="008442FD"/>
    <w:rsid w:val="008443CF"/>
    <w:rsid w:val="00851D2D"/>
    <w:rsid w:val="00852594"/>
    <w:rsid w:val="00855657"/>
    <w:rsid w:val="0085689F"/>
    <w:rsid w:val="008614ED"/>
    <w:rsid w:val="008619C7"/>
    <w:rsid w:val="00861BCA"/>
    <w:rsid w:val="008655B1"/>
    <w:rsid w:val="00867416"/>
    <w:rsid w:val="008675EA"/>
    <w:rsid w:val="00873817"/>
    <w:rsid w:val="008748CF"/>
    <w:rsid w:val="0087706E"/>
    <w:rsid w:val="008803CB"/>
    <w:rsid w:val="00880B7E"/>
    <w:rsid w:val="00881181"/>
    <w:rsid w:val="00881707"/>
    <w:rsid w:val="00883934"/>
    <w:rsid w:val="00883CEF"/>
    <w:rsid w:val="008840BB"/>
    <w:rsid w:val="00885BEC"/>
    <w:rsid w:val="00886ABF"/>
    <w:rsid w:val="00887793"/>
    <w:rsid w:val="00887DDA"/>
    <w:rsid w:val="00890E22"/>
    <w:rsid w:val="0089106C"/>
    <w:rsid w:val="0089649C"/>
    <w:rsid w:val="008A399A"/>
    <w:rsid w:val="008A4688"/>
    <w:rsid w:val="008A4EE4"/>
    <w:rsid w:val="008A50C1"/>
    <w:rsid w:val="008A61F5"/>
    <w:rsid w:val="008A6433"/>
    <w:rsid w:val="008B054B"/>
    <w:rsid w:val="008B2BC1"/>
    <w:rsid w:val="008B57E2"/>
    <w:rsid w:val="008B584B"/>
    <w:rsid w:val="008B5F89"/>
    <w:rsid w:val="008C1688"/>
    <w:rsid w:val="008C25F1"/>
    <w:rsid w:val="008C3A6F"/>
    <w:rsid w:val="008C6098"/>
    <w:rsid w:val="008D3918"/>
    <w:rsid w:val="008D3B4F"/>
    <w:rsid w:val="008D4128"/>
    <w:rsid w:val="008D6DAC"/>
    <w:rsid w:val="008E0BA5"/>
    <w:rsid w:val="008E5E96"/>
    <w:rsid w:val="008F1AEC"/>
    <w:rsid w:val="008F21DC"/>
    <w:rsid w:val="008F4CEC"/>
    <w:rsid w:val="008F5D45"/>
    <w:rsid w:val="00901CF7"/>
    <w:rsid w:val="00902456"/>
    <w:rsid w:val="009026ED"/>
    <w:rsid w:val="00902A6A"/>
    <w:rsid w:val="00904219"/>
    <w:rsid w:val="00906711"/>
    <w:rsid w:val="00910D26"/>
    <w:rsid w:val="00915AC3"/>
    <w:rsid w:val="00924D55"/>
    <w:rsid w:val="009255C6"/>
    <w:rsid w:val="00925BF6"/>
    <w:rsid w:val="00926CCD"/>
    <w:rsid w:val="00926F06"/>
    <w:rsid w:val="00932592"/>
    <w:rsid w:val="00932724"/>
    <w:rsid w:val="009352C0"/>
    <w:rsid w:val="00942009"/>
    <w:rsid w:val="0094336B"/>
    <w:rsid w:val="009451F7"/>
    <w:rsid w:val="0094567A"/>
    <w:rsid w:val="009462EF"/>
    <w:rsid w:val="00946378"/>
    <w:rsid w:val="00946944"/>
    <w:rsid w:val="00950F57"/>
    <w:rsid w:val="00951FF5"/>
    <w:rsid w:val="00953670"/>
    <w:rsid w:val="00953F5F"/>
    <w:rsid w:val="00956058"/>
    <w:rsid w:val="0095639D"/>
    <w:rsid w:val="00956D47"/>
    <w:rsid w:val="00957F40"/>
    <w:rsid w:val="00962742"/>
    <w:rsid w:val="00963577"/>
    <w:rsid w:val="00964E61"/>
    <w:rsid w:val="00965500"/>
    <w:rsid w:val="009662FF"/>
    <w:rsid w:val="009678A5"/>
    <w:rsid w:val="00967F94"/>
    <w:rsid w:val="009716E9"/>
    <w:rsid w:val="00972174"/>
    <w:rsid w:val="00972CA0"/>
    <w:rsid w:val="00972DC3"/>
    <w:rsid w:val="009759A6"/>
    <w:rsid w:val="009774E2"/>
    <w:rsid w:val="00977D07"/>
    <w:rsid w:val="00981029"/>
    <w:rsid w:val="009812F7"/>
    <w:rsid w:val="00986174"/>
    <w:rsid w:val="009871F4"/>
    <w:rsid w:val="00993067"/>
    <w:rsid w:val="00995DBB"/>
    <w:rsid w:val="009973FF"/>
    <w:rsid w:val="009A04C2"/>
    <w:rsid w:val="009A1A09"/>
    <w:rsid w:val="009A283F"/>
    <w:rsid w:val="009A30B8"/>
    <w:rsid w:val="009A3453"/>
    <w:rsid w:val="009A4C10"/>
    <w:rsid w:val="009A5052"/>
    <w:rsid w:val="009A7592"/>
    <w:rsid w:val="009A7BFB"/>
    <w:rsid w:val="009B2698"/>
    <w:rsid w:val="009B2A2B"/>
    <w:rsid w:val="009B4EDA"/>
    <w:rsid w:val="009C335D"/>
    <w:rsid w:val="009C47B1"/>
    <w:rsid w:val="009D0085"/>
    <w:rsid w:val="009D1130"/>
    <w:rsid w:val="009D3211"/>
    <w:rsid w:val="009D3B48"/>
    <w:rsid w:val="009D486A"/>
    <w:rsid w:val="009D4935"/>
    <w:rsid w:val="009D56B2"/>
    <w:rsid w:val="009D5850"/>
    <w:rsid w:val="009E183D"/>
    <w:rsid w:val="009E359D"/>
    <w:rsid w:val="009E365A"/>
    <w:rsid w:val="009E3831"/>
    <w:rsid w:val="009E4139"/>
    <w:rsid w:val="009E531E"/>
    <w:rsid w:val="009E5D63"/>
    <w:rsid w:val="009E5EFA"/>
    <w:rsid w:val="009E617A"/>
    <w:rsid w:val="009E6F8A"/>
    <w:rsid w:val="009F0BD8"/>
    <w:rsid w:val="009F2EF7"/>
    <w:rsid w:val="00A018DC"/>
    <w:rsid w:val="00A01A02"/>
    <w:rsid w:val="00A0261D"/>
    <w:rsid w:val="00A05211"/>
    <w:rsid w:val="00A06561"/>
    <w:rsid w:val="00A11EF4"/>
    <w:rsid w:val="00A13EA4"/>
    <w:rsid w:val="00A14C59"/>
    <w:rsid w:val="00A17436"/>
    <w:rsid w:val="00A22356"/>
    <w:rsid w:val="00A23C3A"/>
    <w:rsid w:val="00A24A69"/>
    <w:rsid w:val="00A259C6"/>
    <w:rsid w:val="00A32B2A"/>
    <w:rsid w:val="00A33B95"/>
    <w:rsid w:val="00A34663"/>
    <w:rsid w:val="00A3567B"/>
    <w:rsid w:val="00A36A82"/>
    <w:rsid w:val="00A37552"/>
    <w:rsid w:val="00A378CF"/>
    <w:rsid w:val="00A4050C"/>
    <w:rsid w:val="00A41D29"/>
    <w:rsid w:val="00A4213E"/>
    <w:rsid w:val="00A43024"/>
    <w:rsid w:val="00A44030"/>
    <w:rsid w:val="00A441A5"/>
    <w:rsid w:val="00A44298"/>
    <w:rsid w:val="00A453CE"/>
    <w:rsid w:val="00A454E6"/>
    <w:rsid w:val="00A463DA"/>
    <w:rsid w:val="00A46DF0"/>
    <w:rsid w:val="00A46F29"/>
    <w:rsid w:val="00A53CAB"/>
    <w:rsid w:val="00A55F81"/>
    <w:rsid w:val="00A63CA6"/>
    <w:rsid w:val="00A70B84"/>
    <w:rsid w:val="00A71D30"/>
    <w:rsid w:val="00A71DF1"/>
    <w:rsid w:val="00A727AE"/>
    <w:rsid w:val="00A763DB"/>
    <w:rsid w:val="00A80AF9"/>
    <w:rsid w:val="00A80B3D"/>
    <w:rsid w:val="00A80CF4"/>
    <w:rsid w:val="00A84C9F"/>
    <w:rsid w:val="00A84FD1"/>
    <w:rsid w:val="00A85A9D"/>
    <w:rsid w:val="00A86274"/>
    <w:rsid w:val="00A87406"/>
    <w:rsid w:val="00A92200"/>
    <w:rsid w:val="00A92509"/>
    <w:rsid w:val="00A928E8"/>
    <w:rsid w:val="00A959EE"/>
    <w:rsid w:val="00A96BFE"/>
    <w:rsid w:val="00AA021F"/>
    <w:rsid w:val="00AA48AF"/>
    <w:rsid w:val="00AB0CE8"/>
    <w:rsid w:val="00AB1319"/>
    <w:rsid w:val="00AB1D58"/>
    <w:rsid w:val="00AB4D46"/>
    <w:rsid w:val="00AB66A4"/>
    <w:rsid w:val="00AC76F7"/>
    <w:rsid w:val="00AC7CA6"/>
    <w:rsid w:val="00AC7D5A"/>
    <w:rsid w:val="00AD2395"/>
    <w:rsid w:val="00AD2E54"/>
    <w:rsid w:val="00AD4DB2"/>
    <w:rsid w:val="00AD5FCC"/>
    <w:rsid w:val="00AE163D"/>
    <w:rsid w:val="00AE26FB"/>
    <w:rsid w:val="00AE3CFB"/>
    <w:rsid w:val="00AE3F67"/>
    <w:rsid w:val="00AE5264"/>
    <w:rsid w:val="00AF109B"/>
    <w:rsid w:val="00AF120E"/>
    <w:rsid w:val="00AF2816"/>
    <w:rsid w:val="00AF371C"/>
    <w:rsid w:val="00AF5933"/>
    <w:rsid w:val="00AF63AE"/>
    <w:rsid w:val="00AF7572"/>
    <w:rsid w:val="00B04FC6"/>
    <w:rsid w:val="00B05E68"/>
    <w:rsid w:val="00B06256"/>
    <w:rsid w:val="00B13D84"/>
    <w:rsid w:val="00B15440"/>
    <w:rsid w:val="00B16375"/>
    <w:rsid w:val="00B21DD1"/>
    <w:rsid w:val="00B21F22"/>
    <w:rsid w:val="00B22450"/>
    <w:rsid w:val="00B30E91"/>
    <w:rsid w:val="00B3112C"/>
    <w:rsid w:val="00B32190"/>
    <w:rsid w:val="00B33396"/>
    <w:rsid w:val="00B3693F"/>
    <w:rsid w:val="00B37296"/>
    <w:rsid w:val="00B372CD"/>
    <w:rsid w:val="00B40E13"/>
    <w:rsid w:val="00B42E2F"/>
    <w:rsid w:val="00B43628"/>
    <w:rsid w:val="00B442CF"/>
    <w:rsid w:val="00B4466E"/>
    <w:rsid w:val="00B5657B"/>
    <w:rsid w:val="00B63C24"/>
    <w:rsid w:val="00B64638"/>
    <w:rsid w:val="00B64C52"/>
    <w:rsid w:val="00B65CDD"/>
    <w:rsid w:val="00B75768"/>
    <w:rsid w:val="00B8277D"/>
    <w:rsid w:val="00B831CF"/>
    <w:rsid w:val="00B84951"/>
    <w:rsid w:val="00B855C1"/>
    <w:rsid w:val="00B85BA5"/>
    <w:rsid w:val="00B874B5"/>
    <w:rsid w:val="00B900EF"/>
    <w:rsid w:val="00B929FE"/>
    <w:rsid w:val="00B92FCC"/>
    <w:rsid w:val="00B93390"/>
    <w:rsid w:val="00B9461F"/>
    <w:rsid w:val="00B94A97"/>
    <w:rsid w:val="00BA08B4"/>
    <w:rsid w:val="00BA2D09"/>
    <w:rsid w:val="00BA3CF3"/>
    <w:rsid w:val="00BA47E0"/>
    <w:rsid w:val="00BA5F50"/>
    <w:rsid w:val="00BB2DD0"/>
    <w:rsid w:val="00BC0487"/>
    <w:rsid w:val="00BC2AEB"/>
    <w:rsid w:val="00BC4382"/>
    <w:rsid w:val="00BC618B"/>
    <w:rsid w:val="00BC6532"/>
    <w:rsid w:val="00BC6AD4"/>
    <w:rsid w:val="00BD01F1"/>
    <w:rsid w:val="00BD1334"/>
    <w:rsid w:val="00BD434B"/>
    <w:rsid w:val="00BD5433"/>
    <w:rsid w:val="00BD5E21"/>
    <w:rsid w:val="00BD6496"/>
    <w:rsid w:val="00BE0BE4"/>
    <w:rsid w:val="00BE39E1"/>
    <w:rsid w:val="00BF2513"/>
    <w:rsid w:val="00BF4261"/>
    <w:rsid w:val="00BF46C5"/>
    <w:rsid w:val="00C05742"/>
    <w:rsid w:val="00C07F9D"/>
    <w:rsid w:val="00C11D08"/>
    <w:rsid w:val="00C12980"/>
    <w:rsid w:val="00C1465D"/>
    <w:rsid w:val="00C164A1"/>
    <w:rsid w:val="00C178DF"/>
    <w:rsid w:val="00C20472"/>
    <w:rsid w:val="00C21CA5"/>
    <w:rsid w:val="00C24535"/>
    <w:rsid w:val="00C33D58"/>
    <w:rsid w:val="00C36857"/>
    <w:rsid w:val="00C36978"/>
    <w:rsid w:val="00C443A9"/>
    <w:rsid w:val="00C46578"/>
    <w:rsid w:val="00C46679"/>
    <w:rsid w:val="00C46856"/>
    <w:rsid w:val="00C51098"/>
    <w:rsid w:val="00C51EE7"/>
    <w:rsid w:val="00C52220"/>
    <w:rsid w:val="00C5265D"/>
    <w:rsid w:val="00C5482B"/>
    <w:rsid w:val="00C61B73"/>
    <w:rsid w:val="00C642A4"/>
    <w:rsid w:val="00C6499D"/>
    <w:rsid w:val="00C651BD"/>
    <w:rsid w:val="00C653B0"/>
    <w:rsid w:val="00C65A6F"/>
    <w:rsid w:val="00C66B64"/>
    <w:rsid w:val="00C67761"/>
    <w:rsid w:val="00C70676"/>
    <w:rsid w:val="00C72AF2"/>
    <w:rsid w:val="00C74F4A"/>
    <w:rsid w:val="00C80AC1"/>
    <w:rsid w:val="00C81FA4"/>
    <w:rsid w:val="00C8323C"/>
    <w:rsid w:val="00C83DD0"/>
    <w:rsid w:val="00C85D0B"/>
    <w:rsid w:val="00C869DC"/>
    <w:rsid w:val="00C87CE8"/>
    <w:rsid w:val="00C92770"/>
    <w:rsid w:val="00C9485F"/>
    <w:rsid w:val="00C95F13"/>
    <w:rsid w:val="00CA0BCF"/>
    <w:rsid w:val="00CA131A"/>
    <w:rsid w:val="00CA323C"/>
    <w:rsid w:val="00CA332B"/>
    <w:rsid w:val="00CA3918"/>
    <w:rsid w:val="00CA3989"/>
    <w:rsid w:val="00CB1059"/>
    <w:rsid w:val="00CB23F8"/>
    <w:rsid w:val="00CB377E"/>
    <w:rsid w:val="00CB4298"/>
    <w:rsid w:val="00CB51E9"/>
    <w:rsid w:val="00CB69DF"/>
    <w:rsid w:val="00CB7601"/>
    <w:rsid w:val="00CC2528"/>
    <w:rsid w:val="00CC3DA4"/>
    <w:rsid w:val="00CC40D6"/>
    <w:rsid w:val="00CC45FE"/>
    <w:rsid w:val="00CD252A"/>
    <w:rsid w:val="00CE0208"/>
    <w:rsid w:val="00CE0DC1"/>
    <w:rsid w:val="00CE1143"/>
    <w:rsid w:val="00CE5EB9"/>
    <w:rsid w:val="00CE738E"/>
    <w:rsid w:val="00CE7BF2"/>
    <w:rsid w:val="00CF0D0B"/>
    <w:rsid w:val="00CF2F0B"/>
    <w:rsid w:val="00CF4903"/>
    <w:rsid w:val="00CF74A0"/>
    <w:rsid w:val="00D05F11"/>
    <w:rsid w:val="00D13112"/>
    <w:rsid w:val="00D13188"/>
    <w:rsid w:val="00D13AE4"/>
    <w:rsid w:val="00D1504B"/>
    <w:rsid w:val="00D16EA1"/>
    <w:rsid w:val="00D21D0A"/>
    <w:rsid w:val="00D22AB7"/>
    <w:rsid w:val="00D25DA6"/>
    <w:rsid w:val="00D30263"/>
    <w:rsid w:val="00D30AC7"/>
    <w:rsid w:val="00D40171"/>
    <w:rsid w:val="00D41E3E"/>
    <w:rsid w:val="00D425F7"/>
    <w:rsid w:val="00D43320"/>
    <w:rsid w:val="00D47343"/>
    <w:rsid w:val="00D5055C"/>
    <w:rsid w:val="00D52D32"/>
    <w:rsid w:val="00D52E0A"/>
    <w:rsid w:val="00D539E6"/>
    <w:rsid w:val="00D54652"/>
    <w:rsid w:val="00D54927"/>
    <w:rsid w:val="00D55E68"/>
    <w:rsid w:val="00D56E3B"/>
    <w:rsid w:val="00D57892"/>
    <w:rsid w:val="00D63CCC"/>
    <w:rsid w:val="00D707E4"/>
    <w:rsid w:val="00D70F82"/>
    <w:rsid w:val="00D724F5"/>
    <w:rsid w:val="00D72D67"/>
    <w:rsid w:val="00D74084"/>
    <w:rsid w:val="00D76A44"/>
    <w:rsid w:val="00D77527"/>
    <w:rsid w:val="00D779E9"/>
    <w:rsid w:val="00D80CFC"/>
    <w:rsid w:val="00D82245"/>
    <w:rsid w:val="00D83E2F"/>
    <w:rsid w:val="00D8421E"/>
    <w:rsid w:val="00D84D7E"/>
    <w:rsid w:val="00D8757B"/>
    <w:rsid w:val="00D9038B"/>
    <w:rsid w:val="00D923AD"/>
    <w:rsid w:val="00D9286F"/>
    <w:rsid w:val="00D940CB"/>
    <w:rsid w:val="00D94609"/>
    <w:rsid w:val="00D9750E"/>
    <w:rsid w:val="00D97A70"/>
    <w:rsid w:val="00DA1905"/>
    <w:rsid w:val="00DA1EF9"/>
    <w:rsid w:val="00DA303F"/>
    <w:rsid w:val="00DA49ED"/>
    <w:rsid w:val="00DA575F"/>
    <w:rsid w:val="00DA59C7"/>
    <w:rsid w:val="00DB0DB5"/>
    <w:rsid w:val="00DB1D24"/>
    <w:rsid w:val="00DB350F"/>
    <w:rsid w:val="00DB6568"/>
    <w:rsid w:val="00DB6A67"/>
    <w:rsid w:val="00DC196A"/>
    <w:rsid w:val="00DC2E42"/>
    <w:rsid w:val="00DC7F13"/>
    <w:rsid w:val="00DD2580"/>
    <w:rsid w:val="00DD2D7D"/>
    <w:rsid w:val="00DD586F"/>
    <w:rsid w:val="00DD5A72"/>
    <w:rsid w:val="00DD6502"/>
    <w:rsid w:val="00DD6BB5"/>
    <w:rsid w:val="00DD7BEB"/>
    <w:rsid w:val="00DE008F"/>
    <w:rsid w:val="00DE3309"/>
    <w:rsid w:val="00DE3616"/>
    <w:rsid w:val="00DE38A9"/>
    <w:rsid w:val="00DE4A82"/>
    <w:rsid w:val="00DE5648"/>
    <w:rsid w:val="00DE6252"/>
    <w:rsid w:val="00DF2F04"/>
    <w:rsid w:val="00DF39A7"/>
    <w:rsid w:val="00DF62B2"/>
    <w:rsid w:val="00E007BE"/>
    <w:rsid w:val="00E01FA1"/>
    <w:rsid w:val="00E02162"/>
    <w:rsid w:val="00E021E0"/>
    <w:rsid w:val="00E02DCB"/>
    <w:rsid w:val="00E06BAE"/>
    <w:rsid w:val="00E06E08"/>
    <w:rsid w:val="00E077C7"/>
    <w:rsid w:val="00E117D4"/>
    <w:rsid w:val="00E12C55"/>
    <w:rsid w:val="00E164EB"/>
    <w:rsid w:val="00E16D3D"/>
    <w:rsid w:val="00E16D50"/>
    <w:rsid w:val="00E17FE9"/>
    <w:rsid w:val="00E27F13"/>
    <w:rsid w:val="00E30EFE"/>
    <w:rsid w:val="00E34380"/>
    <w:rsid w:val="00E35DA1"/>
    <w:rsid w:val="00E37CCD"/>
    <w:rsid w:val="00E4153C"/>
    <w:rsid w:val="00E4591D"/>
    <w:rsid w:val="00E50275"/>
    <w:rsid w:val="00E52A9F"/>
    <w:rsid w:val="00E53D86"/>
    <w:rsid w:val="00E56A96"/>
    <w:rsid w:val="00E6096F"/>
    <w:rsid w:val="00E74611"/>
    <w:rsid w:val="00E74CB6"/>
    <w:rsid w:val="00E752B6"/>
    <w:rsid w:val="00E767FA"/>
    <w:rsid w:val="00E80E73"/>
    <w:rsid w:val="00E90B90"/>
    <w:rsid w:val="00E9181C"/>
    <w:rsid w:val="00E91C5C"/>
    <w:rsid w:val="00E92125"/>
    <w:rsid w:val="00E948E2"/>
    <w:rsid w:val="00E976CD"/>
    <w:rsid w:val="00E97A98"/>
    <w:rsid w:val="00EA0141"/>
    <w:rsid w:val="00EA1685"/>
    <w:rsid w:val="00EA2E38"/>
    <w:rsid w:val="00EA38F7"/>
    <w:rsid w:val="00EA4DBD"/>
    <w:rsid w:val="00EA5DF0"/>
    <w:rsid w:val="00EA606C"/>
    <w:rsid w:val="00EB3CB9"/>
    <w:rsid w:val="00EB4A68"/>
    <w:rsid w:val="00EB4F0F"/>
    <w:rsid w:val="00EB5099"/>
    <w:rsid w:val="00EC0346"/>
    <w:rsid w:val="00EC1466"/>
    <w:rsid w:val="00EC24C4"/>
    <w:rsid w:val="00EC3390"/>
    <w:rsid w:val="00EC418E"/>
    <w:rsid w:val="00EC580C"/>
    <w:rsid w:val="00EC6E9B"/>
    <w:rsid w:val="00EC7F16"/>
    <w:rsid w:val="00ED0711"/>
    <w:rsid w:val="00ED3FCC"/>
    <w:rsid w:val="00ED7C5C"/>
    <w:rsid w:val="00EE02A9"/>
    <w:rsid w:val="00EE2376"/>
    <w:rsid w:val="00EE3932"/>
    <w:rsid w:val="00EE5E0F"/>
    <w:rsid w:val="00EF0235"/>
    <w:rsid w:val="00EF0669"/>
    <w:rsid w:val="00EF6EAB"/>
    <w:rsid w:val="00EF7518"/>
    <w:rsid w:val="00F01A7A"/>
    <w:rsid w:val="00F03889"/>
    <w:rsid w:val="00F04D52"/>
    <w:rsid w:val="00F05F1C"/>
    <w:rsid w:val="00F108D7"/>
    <w:rsid w:val="00F12823"/>
    <w:rsid w:val="00F16F88"/>
    <w:rsid w:val="00F21843"/>
    <w:rsid w:val="00F227B5"/>
    <w:rsid w:val="00F2693C"/>
    <w:rsid w:val="00F31885"/>
    <w:rsid w:val="00F32F97"/>
    <w:rsid w:val="00F34B56"/>
    <w:rsid w:val="00F34F53"/>
    <w:rsid w:val="00F35B8F"/>
    <w:rsid w:val="00F35DFA"/>
    <w:rsid w:val="00F36F52"/>
    <w:rsid w:val="00F440C8"/>
    <w:rsid w:val="00F44ABD"/>
    <w:rsid w:val="00F44E5B"/>
    <w:rsid w:val="00F45CF4"/>
    <w:rsid w:val="00F45E41"/>
    <w:rsid w:val="00F479E1"/>
    <w:rsid w:val="00F519A4"/>
    <w:rsid w:val="00F55400"/>
    <w:rsid w:val="00F563D9"/>
    <w:rsid w:val="00F566C4"/>
    <w:rsid w:val="00F57E68"/>
    <w:rsid w:val="00F60F15"/>
    <w:rsid w:val="00F61F44"/>
    <w:rsid w:val="00F71BE4"/>
    <w:rsid w:val="00F72374"/>
    <w:rsid w:val="00F72CD5"/>
    <w:rsid w:val="00F72E2E"/>
    <w:rsid w:val="00F731A7"/>
    <w:rsid w:val="00F74E5F"/>
    <w:rsid w:val="00F75284"/>
    <w:rsid w:val="00F766AE"/>
    <w:rsid w:val="00F76EE8"/>
    <w:rsid w:val="00F82939"/>
    <w:rsid w:val="00F86A73"/>
    <w:rsid w:val="00F872EF"/>
    <w:rsid w:val="00F90043"/>
    <w:rsid w:val="00F91B0C"/>
    <w:rsid w:val="00F91DCF"/>
    <w:rsid w:val="00F932AC"/>
    <w:rsid w:val="00FA1A35"/>
    <w:rsid w:val="00FA24A7"/>
    <w:rsid w:val="00FA65B7"/>
    <w:rsid w:val="00FA773D"/>
    <w:rsid w:val="00FA7773"/>
    <w:rsid w:val="00FB5470"/>
    <w:rsid w:val="00FB5E5C"/>
    <w:rsid w:val="00FB74EB"/>
    <w:rsid w:val="00FB7DEF"/>
    <w:rsid w:val="00FC07B0"/>
    <w:rsid w:val="00FC2F0B"/>
    <w:rsid w:val="00FD4E2D"/>
    <w:rsid w:val="00FD50F5"/>
    <w:rsid w:val="00FD5154"/>
    <w:rsid w:val="00FD574D"/>
    <w:rsid w:val="00FE268E"/>
    <w:rsid w:val="00FE437C"/>
    <w:rsid w:val="00FE5702"/>
    <w:rsid w:val="00FE58E0"/>
    <w:rsid w:val="00FE594C"/>
    <w:rsid w:val="00FE5EE0"/>
    <w:rsid w:val="00FE6EDE"/>
    <w:rsid w:val="00FE733F"/>
    <w:rsid w:val="00FF27DD"/>
    <w:rsid w:val="00FF6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A0947"/>
    <w:pPr>
      <w:spacing w:before="0" w:after="0" w:line="240" w:lineRule="auto"/>
      <w:jc w:val="left"/>
    </w:pPr>
    <w:rPr>
      <w:rFonts w:ascii="Simplified Arabic" w:hAnsi="Simplified Arabic" w:cs="Times New Roman"/>
      <w:b/>
      <w:i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0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A0947"/>
    <w:rPr>
      <w:rFonts w:asciiTheme="majorHAnsi" w:eastAsiaTheme="majorEastAsia" w:hAnsiTheme="majorHAnsi" w:cstheme="majorBidi"/>
      <w:bCs/>
      <w:i/>
      <w:color w:val="4F81BD" w:themeColor="accent1"/>
      <w:sz w:val="26"/>
      <w:szCs w:val="26"/>
    </w:rPr>
  </w:style>
  <w:style w:type="paragraph" w:customStyle="1" w:styleId="Style1">
    <w:name w:val="Style1"/>
    <w:basedOn w:val="Heading2"/>
    <w:next w:val="Heading2"/>
    <w:autoRedefine/>
    <w:rsid w:val="002A0947"/>
    <w:pPr>
      <w:bidi/>
    </w:pPr>
    <w:rPr>
      <w:rFonts w:cs="Simplified Arabic"/>
      <w:b/>
      <w:bCs w:val="0"/>
      <w:i w:val="0"/>
      <w:iCs/>
    </w:rPr>
  </w:style>
  <w:style w:type="paragraph" w:styleId="Header">
    <w:name w:val="header"/>
    <w:basedOn w:val="Normal"/>
    <w:link w:val="Head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51"/>
    <w:rPr>
      <w:rFonts w:ascii="Tahoma" w:hAnsi="Tahoma" w:cs="Tahoma"/>
      <w:b/>
      <w:i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0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3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3CB"/>
    <w:rPr>
      <w:rFonts w:ascii="Simplified Arabic" w:hAnsi="Simplified Arabic" w:cs="Times New Roman"/>
      <w:b/>
      <w:i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3CB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3CB"/>
    <w:rPr>
      <w:rFonts w:ascii="Simplified Arabic" w:hAnsi="Simplified Arabic" w:cs="Times New Roman"/>
      <w:b/>
      <w:bCs/>
      <w:i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43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434B"/>
    <w:rPr>
      <w:rFonts w:ascii="Simplified Arabic" w:hAnsi="Simplified Arabic" w:cs="Times New Roman"/>
      <w:b/>
      <w:i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434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059"/>
    <w:rPr>
      <w:rFonts w:asciiTheme="majorHAnsi" w:eastAsiaTheme="majorEastAsia" w:hAnsiTheme="majorHAnsi" w:cstheme="majorBidi"/>
      <w:bCs/>
      <w:i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1059"/>
    <w:rPr>
      <w:color w:val="0000FF"/>
      <w:u w:val="single"/>
    </w:rPr>
  </w:style>
  <w:style w:type="paragraph" w:styleId="BodyText">
    <w:name w:val="Body Text"/>
    <w:basedOn w:val="Normal"/>
    <w:link w:val="BodyTextChar"/>
    <w:rsid w:val="00A23C3A"/>
    <w:pPr>
      <w:bidi/>
      <w:jc w:val="right"/>
    </w:pPr>
    <w:rPr>
      <w:rFonts w:ascii="Arial" w:hAnsi="Arial" w:cs="Traditional Arabic"/>
      <w:b w:val="0"/>
      <w:i w:val="0"/>
      <w:szCs w:val="28"/>
    </w:rPr>
  </w:style>
  <w:style w:type="character" w:customStyle="1" w:styleId="BodyTextChar">
    <w:name w:val="Body Text Char"/>
    <w:basedOn w:val="DefaultParagraphFont"/>
    <w:link w:val="BodyText"/>
    <w:rsid w:val="00A23C3A"/>
    <w:rPr>
      <w:rFonts w:ascii="Arial" w:hAnsi="Arial"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A23C3A"/>
    <w:pPr>
      <w:bidi/>
      <w:jc w:val="lowKashida"/>
    </w:pPr>
    <w:rPr>
      <w:rFonts w:ascii="Times New Roman" w:hAnsi="Times New Roman" w:cs="Traditional Arabic"/>
      <w:b w:val="0"/>
      <w:i w:val="0"/>
      <w:szCs w:val="28"/>
    </w:rPr>
  </w:style>
  <w:style w:type="character" w:customStyle="1" w:styleId="BodyText2Char">
    <w:name w:val="Body Text 2 Char"/>
    <w:basedOn w:val="DefaultParagraphFont"/>
    <w:link w:val="BodyText2"/>
    <w:rsid w:val="00A23C3A"/>
    <w:rPr>
      <w:rFonts w:ascii="Times New Roman" w:hAnsi="Times New Roman" w:cs="Traditional Arabic"/>
      <w:sz w:val="24"/>
      <w:szCs w:val="28"/>
    </w:rPr>
  </w:style>
  <w:style w:type="paragraph" w:styleId="BlockText">
    <w:name w:val="Block Text"/>
    <w:basedOn w:val="Normal"/>
    <w:rsid w:val="00A23C3A"/>
    <w:pPr>
      <w:tabs>
        <w:tab w:val="right" w:pos="9495"/>
      </w:tabs>
      <w:bidi/>
      <w:ind w:left="-2" w:right="993"/>
      <w:jc w:val="center"/>
    </w:pPr>
    <w:rPr>
      <w:rFonts w:ascii="Times New Roman" w:hAnsi="Times New Roman" w:cs="Traditional Arabic"/>
      <w:bCs/>
      <w:i w:val="0"/>
      <w:sz w:val="28"/>
      <w:szCs w:val="33"/>
    </w:rPr>
  </w:style>
  <w:style w:type="table" w:styleId="TableGrid">
    <w:name w:val="Table Grid"/>
    <w:basedOn w:val="TableNormal"/>
    <w:uiPriority w:val="59"/>
    <w:rsid w:val="00F76EE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3D6FF3"/>
  </w:style>
  <w:style w:type="paragraph" w:styleId="ListParagraph">
    <w:name w:val="List Paragraph"/>
    <w:basedOn w:val="Normal"/>
    <w:uiPriority w:val="34"/>
    <w:qFormat/>
    <w:rsid w:val="00BA47E0"/>
    <w:pPr>
      <w:ind w:left="720"/>
      <w:contextualSpacing/>
    </w:pPr>
  </w:style>
  <w:style w:type="character" w:customStyle="1" w:styleId="shorttext">
    <w:name w:val="short_text"/>
    <w:basedOn w:val="DefaultParagraphFont"/>
    <w:rsid w:val="005533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50B2B-E2BB-414E-AA16-6324FDE49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Saed Khalil</dc:creator>
  <cp:lastModifiedBy>hbadran</cp:lastModifiedBy>
  <cp:revision>2</cp:revision>
  <cp:lastPrinted>2019-03-26T09:39:00Z</cp:lastPrinted>
  <dcterms:created xsi:type="dcterms:W3CDTF">2019-03-26T09:41:00Z</dcterms:created>
  <dcterms:modified xsi:type="dcterms:W3CDTF">2019-03-26T09:41:00Z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4afdc17d-1203-432a-ac13-4e3141bd02e5</vt:lpwstr>
  </property>
  <property fmtid="{D5CDD505-2E9C-101B-9397-08002B2CF9AE}" pid="3" name="CENTRALBANKPALESTINEClassification">
    <vt:lpwstr>PUBLIC - عام</vt:lpwstr>
  </property>
</Properties>
</file>