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2" w:rsidRDefault="002241B2" w:rsidP="002241B2">
      <w:pPr>
        <w:pStyle w:val="Header"/>
        <w:jc w:val="center"/>
        <w:rPr>
          <w:rFonts w:hint="cs"/>
          <w:b/>
          <w:bCs/>
          <w:sz w:val="32"/>
          <w:szCs w:val="32"/>
        </w:rPr>
      </w:pPr>
    </w:p>
    <w:p w:rsidR="002241B2" w:rsidRPr="002241B2" w:rsidRDefault="002241B2" w:rsidP="002241B2">
      <w:pPr>
        <w:pStyle w:val="Header"/>
        <w:jc w:val="center"/>
        <w:rPr>
          <w:b/>
          <w:bCs/>
          <w:sz w:val="32"/>
          <w:szCs w:val="32"/>
        </w:rPr>
      </w:pPr>
      <w:r w:rsidRPr="002241B2">
        <w:rPr>
          <w:b/>
          <w:bCs/>
          <w:sz w:val="32"/>
          <w:szCs w:val="32"/>
        </w:rPr>
        <w:t>Palestinian Central Bureau of Statistics (PCBS)</w:t>
      </w:r>
    </w:p>
    <w:p w:rsidR="002241B2" w:rsidRPr="002241B2" w:rsidRDefault="002241B2" w:rsidP="002241B2">
      <w:pPr>
        <w:bidi w:val="0"/>
        <w:jc w:val="center"/>
        <w:rPr>
          <w:b/>
          <w:bCs/>
          <w:color w:val="000000" w:themeColor="text1"/>
        </w:rPr>
      </w:pPr>
    </w:p>
    <w:p w:rsidR="0071308D" w:rsidRPr="006F6A60" w:rsidRDefault="00AA2A4A" w:rsidP="002241B2">
      <w:pPr>
        <w:bidi w:val="0"/>
        <w:jc w:val="center"/>
        <w:rPr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</w:rPr>
        <w:t>A</w:t>
      </w:r>
      <w:r w:rsidR="0071308D">
        <w:rPr>
          <w:b/>
          <w:bCs/>
          <w:color w:val="000000" w:themeColor="text1"/>
          <w:sz w:val="28"/>
          <w:szCs w:val="28"/>
        </w:rPr>
        <w:t>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1308D">
        <w:rPr>
          <w:b/>
          <w:bCs/>
          <w:color w:val="000000" w:themeColor="text1"/>
          <w:sz w:val="28"/>
          <w:szCs w:val="28"/>
        </w:rPr>
        <w:t>in</w:t>
      </w:r>
      <w:r>
        <w:rPr>
          <w:b/>
          <w:bCs/>
          <w:color w:val="000000" w:themeColor="text1"/>
          <w:sz w:val="28"/>
          <w:szCs w:val="28"/>
        </w:rPr>
        <w:t>crease</w:t>
      </w:r>
      <w:r w:rsidR="00C05201" w:rsidRPr="006F6A60">
        <w:rPr>
          <w:b/>
          <w:bCs/>
          <w:color w:val="000000" w:themeColor="text1"/>
          <w:sz w:val="28"/>
          <w:szCs w:val="28"/>
        </w:rPr>
        <w:t xml:space="preserve"> in </w:t>
      </w:r>
      <w:r w:rsidR="0071308D" w:rsidRPr="0071308D">
        <w:rPr>
          <w:b/>
          <w:bCs/>
          <w:color w:val="000000" w:themeColor="text1"/>
          <w:sz w:val="28"/>
          <w:szCs w:val="28"/>
        </w:rPr>
        <w:t>Trade</w:t>
      </w:r>
      <w:r w:rsidR="0071308D">
        <w:rPr>
          <w:b/>
          <w:bCs/>
          <w:color w:val="000000" w:themeColor="text1"/>
          <w:sz w:val="28"/>
          <w:szCs w:val="28"/>
        </w:rPr>
        <w:t xml:space="preserve"> Balance</w:t>
      </w:r>
      <w:r w:rsidR="0071308D" w:rsidRPr="0071308D">
        <w:rPr>
          <w:b/>
          <w:bCs/>
          <w:color w:val="000000" w:themeColor="text1"/>
          <w:sz w:val="28"/>
          <w:szCs w:val="28"/>
        </w:rPr>
        <w:t xml:space="preserve"> Deficit on Registered*</w:t>
      </w:r>
      <w:r w:rsidR="00AF10EF">
        <w:rPr>
          <w:b/>
          <w:bCs/>
          <w:color w:val="000000" w:themeColor="text1"/>
          <w:sz w:val="28"/>
          <w:szCs w:val="28"/>
        </w:rPr>
        <w:t xml:space="preserve"> </w:t>
      </w:r>
      <w:r w:rsidR="0071308D" w:rsidRPr="0071308D">
        <w:rPr>
          <w:b/>
          <w:bCs/>
          <w:color w:val="000000" w:themeColor="text1"/>
          <w:sz w:val="28"/>
          <w:szCs w:val="28"/>
        </w:rPr>
        <w:t xml:space="preserve">Goods by 14% </w:t>
      </w:r>
      <w:r w:rsidR="0071308D" w:rsidRPr="006F6A60">
        <w:rPr>
          <w:b/>
          <w:bCs/>
          <w:color w:val="000000" w:themeColor="text1"/>
          <w:sz w:val="28"/>
          <w:szCs w:val="28"/>
        </w:rPr>
        <w:t xml:space="preserve">in </w:t>
      </w:r>
      <w:r w:rsidR="0071308D">
        <w:rPr>
          <w:b/>
          <w:bCs/>
          <w:color w:val="000000" w:themeColor="text1"/>
          <w:sz w:val="28"/>
          <w:szCs w:val="28"/>
        </w:rPr>
        <w:t>April</w:t>
      </w:r>
      <w:r w:rsidR="0071308D" w:rsidRPr="006F6A60">
        <w:rPr>
          <w:b/>
          <w:bCs/>
          <w:color w:val="000000" w:themeColor="text1"/>
          <w:sz w:val="28"/>
          <w:szCs w:val="28"/>
        </w:rPr>
        <w:t>,</w:t>
      </w:r>
      <w:r w:rsidR="002241B2">
        <w:rPr>
          <w:b/>
          <w:bCs/>
          <w:color w:val="000000" w:themeColor="text1"/>
          <w:sz w:val="28"/>
          <w:szCs w:val="28"/>
        </w:rPr>
        <w:t>04/2019</w:t>
      </w:r>
      <w:r w:rsidR="0071308D" w:rsidRPr="006F6A60">
        <w:rPr>
          <w:b/>
          <w:bCs/>
          <w:color w:val="000000" w:themeColor="text1"/>
          <w:sz w:val="28"/>
          <w:szCs w:val="28"/>
        </w:rPr>
        <w:t xml:space="preserve"> </w:t>
      </w:r>
    </w:p>
    <w:p w:rsidR="00C4314A" w:rsidRPr="00C05201" w:rsidRDefault="00C4314A" w:rsidP="00C05201">
      <w:pPr>
        <w:bidi w:val="0"/>
        <w:rPr>
          <w:b/>
          <w:bCs/>
        </w:rPr>
      </w:pPr>
    </w:p>
    <w:p w:rsidR="002241B2" w:rsidRDefault="002241B2" w:rsidP="002241B2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5A6E09" w:rsidRPr="002241B2" w:rsidRDefault="005A6E09" w:rsidP="002241B2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2241B2">
        <w:rPr>
          <w:rStyle w:val="longtext"/>
          <w:b/>
          <w:bCs/>
          <w:sz w:val="26"/>
          <w:szCs w:val="26"/>
          <w:shd w:val="clear" w:color="auto" w:fill="FFFFFF"/>
        </w:rPr>
        <w:t>Exports in Goods</w:t>
      </w:r>
      <w:r w:rsidR="00896E39" w:rsidRPr="002241B2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4463C9" w:rsidRDefault="005A6E09" w:rsidP="00AA2A4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AA2A4A">
        <w:rPr>
          <w:color w:val="000000" w:themeColor="text1"/>
        </w:rPr>
        <w:t>April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AA2A4A">
        <w:rPr>
          <w:rStyle w:val="longtext"/>
          <w:color w:val="000000" w:themeColor="text1"/>
          <w:shd w:val="clear" w:color="auto" w:fill="FFFFFF"/>
        </w:rPr>
        <w:t>3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AA2A4A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>
        <w:rPr>
          <w:rStyle w:val="longtext"/>
          <w:color w:val="000000" w:themeColor="text1"/>
          <w:shd w:val="clear" w:color="auto" w:fill="FFFFFF"/>
        </w:rPr>
        <w:t>It also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6F6A60">
        <w:rPr>
          <w:rStyle w:val="longtext"/>
          <w:color w:val="000000" w:themeColor="text1"/>
          <w:shd w:val="clear" w:color="auto" w:fill="FFFFFF"/>
        </w:rPr>
        <w:t>1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>
        <w:rPr>
          <w:color w:val="000000" w:themeColor="text1"/>
        </w:rPr>
        <w:t>April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303C7A">
        <w:rPr>
          <w:rStyle w:val="longtext"/>
          <w:color w:val="000000" w:themeColor="text1"/>
          <w:shd w:val="clear" w:color="auto" w:fill="FFFFFF"/>
        </w:rPr>
        <w:t>2018</w:t>
      </w:r>
      <w:r w:rsidR="004463C9">
        <w:rPr>
          <w:rStyle w:val="longtext"/>
          <w:color w:val="000000" w:themeColor="text1"/>
          <w:shd w:val="clear" w:color="auto" w:fill="FFFFFF"/>
        </w:rPr>
        <w:t xml:space="preserve"> and 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reached USD </w:t>
      </w:r>
      <w:r w:rsidR="00AA2A4A">
        <w:rPr>
          <w:rStyle w:val="longtext"/>
          <w:color w:val="000000" w:themeColor="text1"/>
          <w:shd w:val="clear" w:color="auto" w:fill="FFFFFF"/>
        </w:rPr>
        <w:t xml:space="preserve">90.7 </w:t>
      </w:r>
      <w:r w:rsidR="004463C9" w:rsidRPr="004463C9">
        <w:rPr>
          <w:rStyle w:val="longtext"/>
          <w:color w:val="000000" w:themeColor="text1"/>
          <w:shd w:val="clear" w:color="auto" w:fill="FFFFFF"/>
        </w:rPr>
        <w:t>Million</w:t>
      </w:r>
      <w:r w:rsidR="00CF4ED9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241B2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AA2A4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>
        <w:rPr>
          <w:rStyle w:val="longtext"/>
          <w:color w:val="000000" w:themeColor="text1"/>
          <w:shd w:val="clear" w:color="auto" w:fill="FFFFFF"/>
        </w:rPr>
        <w:t>slightly de</w:t>
      </w:r>
      <w:r w:rsidR="00516E3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</w:t>
      </w:r>
      <w:r w:rsidR="00516E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AA2A4A">
        <w:rPr>
          <w:color w:val="000000" w:themeColor="text1"/>
        </w:rPr>
        <w:t>April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AA2A4A">
        <w:rPr>
          <w:rStyle w:val="longtext"/>
          <w:color w:val="000000" w:themeColor="text1"/>
          <w:shd w:val="clear" w:color="auto" w:fill="FFFFFF"/>
        </w:rPr>
        <w:t>0.4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AA2A4A">
        <w:rPr>
          <w:color w:val="000000" w:themeColor="text1"/>
        </w:rPr>
        <w:t>March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AA2A4A">
        <w:rPr>
          <w:rStyle w:val="longtext"/>
          <w:color w:val="000000" w:themeColor="text1"/>
          <w:shd w:val="clear" w:color="auto" w:fill="FFFFFF"/>
        </w:rPr>
        <w:t>87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AA2A4A">
        <w:rPr>
          <w:color w:val="000000" w:themeColor="text1"/>
        </w:rPr>
        <w:t>April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2241B2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Pr="004463C9" w:rsidRDefault="006F6A60" w:rsidP="00AA2A4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AA2A4A">
        <w:rPr>
          <w:rStyle w:val="longtext"/>
          <w:color w:val="000000" w:themeColor="text1"/>
          <w:shd w:val="clear" w:color="auto" w:fill="FFFFFF"/>
        </w:rPr>
        <w:t>19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="00AA2A4A">
        <w:rPr>
          <w:rStyle w:val="longtext"/>
          <w:color w:val="000000" w:themeColor="text1"/>
          <w:shd w:val="clear" w:color="auto" w:fill="FFFFFF"/>
        </w:rPr>
        <w:t>March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 xml:space="preserve">2019 and reached </w:t>
      </w:r>
      <w:r w:rsidRPr="004463C9">
        <w:rPr>
          <w:rStyle w:val="longtext"/>
          <w:color w:val="000000" w:themeColor="text1"/>
          <w:shd w:val="clear" w:color="auto" w:fill="FFFFFF"/>
        </w:rPr>
        <w:t xml:space="preserve">USD </w:t>
      </w:r>
      <w:r w:rsidR="00AA2A4A">
        <w:rPr>
          <w:rStyle w:val="longtext"/>
          <w:color w:val="000000" w:themeColor="text1"/>
          <w:shd w:val="clear" w:color="auto" w:fill="FFFFFF"/>
        </w:rPr>
        <w:t>12</w:t>
      </w:r>
      <w:r w:rsidRPr="004463C9">
        <w:rPr>
          <w:rStyle w:val="longtext"/>
          <w:color w:val="000000" w:themeColor="text1"/>
          <w:shd w:val="clear" w:color="auto" w:fill="FFFFFF"/>
        </w:rPr>
        <w:t xml:space="preserve"> Million</w:t>
      </w:r>
      <w:r>
        <w:rPr>
          <w:rStyle w:val="longtext"/>
          <w:color w:val="000000" w:themeColor="text1"/>
          <w:shd w:val="clear" w:color="auto" w:fill="FFFFFF"/>
        </w:rPr>
        <w:t>.</w:t>
      </w:r>
    </w:p>
    <w:p w:rsidR="006F6A60" w:rsidRPr="002241B2" w:rsidRDefault="006F6A60" w:rsidP="006F6A60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896E39" w:rsidRPr="002241B2" w:rsidRDefault="00896E39" w:rsidP="004463C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2241B2">
        <w:rPr>
          <w:rStyle w:val="longtext"/>
          <w:b/>
          <w:bCs/>
          <w:sz w:val="26"/>
          <w:szCs w:val="26"/>
          <w:shd w:val="clear" w:color="auto" w:fill="FFFFFF"/>
        </w:rPr>
        <w:t>Imports in Goods</w:t>
      </w:r>
      <w:r w:rsidRPr="002241B2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463C9" w:rsidRPr="00FC1AE4" w:rsidRDefault="005A6E09" w:rsidP="00AA2A4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A424F5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AA2A4A">
        <w:rPr>
          <w:color w:val="000000" w:themeColor="text1"/>
        </w:rPr>
        <w:t>April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AA2A4A">
        <w:rPr>
          <w:rFonts w:asciiTheme="majorBidi" w:hAnsiTheme="majorBidi" w:cstheme="majorBidi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64229C">
        <w:rPr>
          <w:rStyle w:val="longtext"/>
          <w:color w:val="000000" w:themeColor="text1"/>
          <w:shd w:val="clear" w:color="auto" w:fill="FFFFFF"/>
        </w:rPr>
        <w:t>It also</w:t>
      </w:r>
      <w:r w:rsidR="00A424F5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CA238A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AA2A4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7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AA2A4A">
        <w:rPr>
          <w:color w:val="000000" w:themeColor="text1"/>
        </w:rPr>
        <w:t>April</w:t>
      </w:r>
      <w:r w:rsidR="009745AE">
        <w:rPr>
          <w:color w:val="000000" w:themeColor="text1"/>
        </w:rPr>
        <w:t>,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AA2A4A">
        <w:rPr>
          <w:rStyle w:val="longtext"/>
          <w:color w:val="000000" w:themeColor="text1"/>
          <w:shd w:val="clear" w:color="auto" w:fill="FFFFFF"/>
        </w:rPr>
        <w:t>504</w:t>
      </w:r>
      <w:r w:rsidR="0064229C">
        <w:rPr>
          <w:rStyle w:val="longtext"/>
          <w:color w:val="000000" w:themeColor="text1"/>
          <w:shd w:val="clear" w:color="auto" w:fill="FFFFFF"/>
        </w:rPr>
        <w:t>.7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2241B2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287B92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287B92">
        <w:rPr>
          <w:rFonts w:asciiTheme="majorBidi" w:hAnsiTheme="majorBidi" w:cstheme="majorBidi"/>
          <w:b w:val="0"/>
          <w:bCs w:val="0"/>
          <w:color w:val="000000" w:themeColor="text1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0D1889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64229C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0D1889">
        <w:rPr>
          <w:b w:val="0"/>
          <w:bCs w:val="0"/>
          <w:color w:val="000000" w:themeColor="text1"/>
        </w:rPr>
        <w:t>April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="000D188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compared to </w:t>
      </w:r>
      <w:r w:rsidR="000D1889">
        <w:rPr>
          <w:rFonts w:asciiTheme="majorBidi" w:hAnsiTheme="majorBidi" w:cstheme="majorBidi"/>
          <w:b w:val="0"/>
          <w:bCs w:val="0"/>
          <w:color w:val="000000" w:themeColor="text1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FF7651">
        <w:rPr>
          <w:rFonts w:asciiTheme="majorBidi" w:hAnsiTheme="majorBidi" w:cstheme="majorBidi"/>
          <w:b w:val="0"/>
          <w:bCs w:val="0"/>
          <w:color w:val="000000" w:themeColor="text1"/>
        </w:rPr>
        <w:t>5</w:t>
      </w:r>
      <w:r w:rsidR="0064229C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0D1889">
        <w:rPr>
          <w:b w:val="0"/>
          <w:bCs w:val="0"/>
          <w:color w:val="000000" w:themeColor="text1"/>
        </w:rPr>
        <w:t>April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5A6E09" w:rsidRPr="002241B2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Pr="00FC1AE4" w:rsidRDefault="000D1889" w:rsidP="000D188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0D1889">
        <w:rPr>
          <w:rFonts w:asciiTheme="majorBidi" w:hAnsiTheme="majorBidi" w:cstheme="majorBidi"/>
          <w:b w:val="0"/>
          <w:bCs w:val="0"/>
        </w:rPr>
        <w:t>At the same time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64229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March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5A6E09" w:rsidRPr="004861B9" w:rsidRDefault="005A6E09" w:rsidP="005A6E09">
      <w:pPr>
        <w:pStyle w:val="BodyText"/>
        <w:tabs>
          <w:tab w:val="right" w:pos="3544"/>
        </w:tabs>
        <w:ind w:right="334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3E3101" w:rsidRPr="008B2C99" w:rsidRDefault="005D3D5C" w:rsidP="002241B2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5D3D5C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17215" cy="2381250"/>
            <wp:effectExtent l="19050" t="0" r="260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41B2" w:rsidRDefault="002241B2" w:rsidP="002241B2">
      <w:pPr>
        <w:pStyle w:val="Footer"/>
        <w:bidi w:val="0"/>
        <w:rPr>
          <w:b/>
          <w:bCs/>
          <w:sz w:val="20"/>
          <w:szCs w:val="20"/>
        </w:rPr>
      </w:pPr>
    </w:p>
    <w:p w:rsidR="00896E39" w:rsidRPr="002241B2" w:rsidRDefault="00696F84" w:rsidP="002241B2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2241B2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2241B2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1D7E8E" w:rsidRDefault="00696F84" w:rsidP="00F61C3E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0D188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0D188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0C3BCA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14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0D1889">
        <w:rPr>
          <w:b w:val="0"/>
          <w:bCs w:val="0"/>
          <w:color w:val="000000" w:themeColor="text1"/>
        </w:rPr>
        <w:t>April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0D1889">
        <w:rPr>
          <w:rStyle w:val="longtext"/>
          <w:b w:val="0"/>
          <w:bCs w:val="0"/>
          <w:color w:val="000000" w:themeColor="text1"/>
          <w:shd w:val="clear" w:color="auto" w:fill="FFFFFF"/>
        </w:rPr>
        <w:t>March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4229C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0D188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0C3BCA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8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0D1889">
        <w:rPr>
          <w:b w:val="0"/>
          <w:bCs w:val="0"/>
          <w:color w:val="000000" w:themeColor="text1"/>
        </w:rPr>
        <w:t>April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1D7E8E">
        <w:rPr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 xml:space="preserve">reached USD </w:t>
      </w:r>
      <w:r w:rsidR="000D1889">
        <w:rPr>
          <w:b w:val="0"/>
          <w:bCs w:val="0"/>
          <w:lang w:bidi="ar-JO"/>
        </w:rPr>
        <w:t>414</w:t>
      </w:r>
      <w:r w:rsidR="00FF7651">
        <w:rPr>
          <w:b w:val="0"/>
          <w:bCs w:val="0"/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>Million</w:t>
      </w:r>
      <w:r w:rsidR="001D7E8E">
        <w:rPr>
          <w:b w:val="0"/>
          <w:bCs w:val="0"/>
          <w:lang w:bidi="ar-JO"/>
        </w:rPr>
        <w:t>.</w:t>
      </w:r>
    </w:p>
    <w:p w:rsidR="00D55B45" w:rsidRDefault="00D55B45" w:rsidP="00D55B45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2241B2" w:rsidRDefault="002241B2" w:rsidP="002241B2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2241B2" w:rsidRDefault="002241B2" w:rsidP="002241B2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2241B2" w:rsidRDefault="002241B2" w:rsidP="002241B2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2241B2" w:rsidRDefault="002241B2" w:rsidP="002241B2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2241B2" w:rsidRPr="002241B2" w:rsidRDefault="002241B2" w:rsidP="002241B2">
      <w:pPr>
        <w:bidi w:val="0"/>
        <w:jc w:val="lowKashida"/>
        <w:rPr>
          <w:b/>
          <w:bCs/>
          <w:sz w:val="16"/>
          <w:szCs w:val="16"/>
        </w:rPr>
      </w:pPr>
    </w:p>
    <w:p w:rsidR="002241B2" w:rsidRDefault="002241B2" w:rsidP="002241B2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2241B2">
      <w:footerReference w:type="default" r:id="rId8"/>
      <w:pgSz w:w="12240" w:h="15840"/>
      <w:pgMar w:top="720" w:right="720" w:bottom="720" w:left="720" w:header="720" w:footer="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ED" w:rsidRDefault="00020EED" w:rsidP="0006016C">
      <w:r>
        <w:separator/>
      </w:r>
    </w:p>
  </w:endnote>
  <w:endnote w:type="continuationSeparator" w:id="0">
    <w:p w:rsidR="00020EED" w:rsidRDefault="00020EED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A" w:rsidRPr="00CE03A5" w:rsidRDefault="00AA2A4A" w:rsidP="008F5D69">
    <w:pPr>
      <w:pStyle w:val="Footer"/>
      <w:bidi w:val="0"/>
      <w:rPr>
        <w:sz w:val="20"/>
        <w:szCs w:val="20"/>
        <w:rtl/>
        <w:lang w:val="en-AU"/>
      </w:rPr>
    </w:pPr>
  </w:p>
  <w:p w:rsidR="00AA2A4A" w:rsidRDefault="00AA2A4A" w:rsidP="00CE03A5">
    <w:pPr>
      <w:pStyle w:val="Footer"/>
    </w:pPr>
  </w:p>
  <w:p w:rsidR="00AA2A4A" w:rsidRDefault="00AA2A4A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ED" w:rsidRDefault="00020EED" w:rsidP="0006016C">
      <w:r>
        <w:separator/>
      </w:r>
    </w:p>
  </w:footnote>
  <w:footnote w:type="continuationSeparator" w:id="0">
    <w:p w:rsidR="00020EED" w:rsidRDefault="00020EED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47490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EED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14B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51A"/>
    <w:rsid w:val="0012131A"/>
    <w:rsid w:val="00122053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2EAF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41B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517A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B2D90"/>
    <w:rsid w:val="004B41B0"/>
    <w:rsid w:val="004C0592"/>
    <w:rsid w:val="004C1A2E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5AE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6F6A60"/>
    <w:rsid w:val="00701382"/>
    <w:rsid w:val="00701B26"/>
    <w:rsid w:val="007037E6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1BA"/>
    <w:rsid w:val="007F1BB7"/>
    <w:rsid w:val="007F64F6"/>
    <w:rsid w:val="007F731B"/>
    <w:rsid w:val="00800550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B4C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566"/>
    <w:rsid w:val="00BF604F"/>
    <w:rsid w:val="00C00F3A"/>
    <w:rsid w:val="00C05201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314A"/>
    <w:rsid w:val="00C45B39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F17FD"/>
    <w:rsid w:val="00CF3C21"/>
    <w:rsid w:val="00CF4ED9"/>
    <w:rsid w:val="00CF5BFE"/>
    <w:rsid w:val="00D0251B"/>
    <w:rsid w:val="00D1202F"/>
    <w:rsid w:val="00D142B7"/>
    <w:rsid w:val="00D16C1D"/>
    <w:rsid w:val="00D24D95"/>
    <w:rsid w:val="00D267A0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528E"/>
    <w:rsid w:val="00DF79FE"/>
    <w:rsid w:val="00E01CC0"/>
    <w:rsid w:val="00E03E10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1C3E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4\news%20release\E-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April 2010-2019</a:t>
            </a:r>
          </a:p>
        </c:rich>
      </c:tx>
      <c:layout>
        <c:manualLayout>
          <c:xMode val="edge"/>
          <c:yMode val="edge"/>
          <c:x val="0.25717176341329434"/>
          <c:y val="3.2511943201344561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3"/>
          <c:w val="0.74629857243455133"/>
          <c:h val="0.60094139197438823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925544115500555E-2"/>
                  <c:y val="-3.1993775376590983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8747314665098453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40269</c:v>
                </c:pt>
                <c:pt idx="1">
                  <c:v>40634</c:v>
                </c:pt>
                <c:pt idx="2">
                  <c:v>41000</c:v>
                </c:pt>
                <c:pt idx="3">
                  <c:v>41365</c:v>
                </c:pt>
                <c:pt idx="4">
                  <c:v>41730</c:v>
                </c:pt>
                <c:pt idx="5">
                  <c:v>42095</c:v>
                </c:pt>
                <c:pt idx="6">
                  <c:v>42461</c:v>
                </c:pt>
                <c:pt idx="7">
                  <c:v>42826</c:v>
                </c:pt>
                <c:pt idx="8">
                  <c:v>43191</c:v>
                </c:pt>
                <c:pt idx="9">
                  <c:v>43556</c:v>
                </c:pt>
              </c:numCache>
            </c:numRef>
          </c:cat>
          <c:val>
            <c:numRef>
              <c:f>'صادرات وواردات'!$B$2:$B$11</c:f>
              <c:numCache>
                <c:formatCode>0.0</c:formatCode>
                <c:ptCount val="10"/>
                <c:pt idx="0">
                  <c:v>46.676000000000002</c:v>
                </c:pt>
                <c:pt idx="1">
                  <c:v>49.380999999999993</c:v>
                </c:pt>
                <c:pt idx="2">
                  <c:v>63.483000000000004</c:v>
                </c:pt>
                <c:pt idx="3">
                  <c:v>74.2</c:v>
                </c:pt>
                <c:pt idx="4">
                  <c:v>70.2</c:v>
                </c:pt>
                <c:pt idx="5">
                  <c:v>76</c:v>
                </c:pt>
                <c:pt idx="6" formatCode="#,##0.0">
                  <c:v>80</c:v>
                </c:pt>
                <c:pt idx="7">
                  <c:v>84.8</c:v>
                </c:pt>
                <c:pt idx="8">
                  <c:v>91.5</c:v>
                </c:pt>
                <c:pt idx="9">
                  <c:v>90.7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9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40269</c:v>
                </c:pt>
                <c:pt idx="1">
                  <c:v>40634</c:v>
                </c:pt>
                <c:pt idx="2">
                  <c:v>41000</c:v>
                </c:pt>
                <c:pt idx="3">
                  <c:v>41365</c:v>
                </c:pt>
                <c:pt idx="4">
                  <c:v>41730</c:v>
                </c:pt>
                <c:pt idx="5">
                  <c:v>42095</c:v>
                </c:pt>
                <c:pt idx="6">
                  <c:v>42461</c:v>
                </c:pt>
                <c:pt idx="7">
                  <c:v>42826</c:v>
                </c:pt>
                <c:pt idx="8">
                  <c:v>43191</c:v>
                </c:pt>
                <c:pt idx="9">
                  <c:v>43556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7334607975388352E-2"/>
                  <c:y val="-5.654448870861199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376.6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4.31654676258993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40269</c:v>
                </c:pt>
                <c:pt idx="1">
                  <c:v>40634</c:v>
                </c:pt>
                <c:pt idx="2">
                  <c:v>41000</c:v>
                </c:pt>
                <c:pt idx="3">
                  <c:v>41365</c:v>
                </c:pt>
                <c:pt idx="4">
                  <c:v>41730</c:v>
                </c:pt>
                <c:pt idx="5">
                  <c:v>42095</c:v>
                </c:pt>
                <c:pt idx="6">
                  <c:v>42461</c:v>
                </c:pt>
                <c:pt idx="7">
                  <c:v>42826</c:v>
                </c:pt>
                <c:pt idx="8">
                  <c:v>43191</c:v>
                </c:pt>
                <c:pt idx="9">
                  <c:v>43556</c:v>
                </c:pt>
              </c:numCache>
            </c:numRef>
          </c:cat>
          <c:val>
            <c:numRef>
              <c:f>'صادرات وواردات'!$D$2:$D$11</c:f>
              <c:numCache>
                <c:formatCode>0.0</c:formatCode>
                <c:ptCount val="10"/>
                <c:pt idx="0">
                  <c:v>303.18200000000002</c:v>
                </c:pt>
                <c:pt idx="1">
                  <c:v>330.83599999999933</c:v>
                </c:pt>
                <c:pt idx="2">
                  <c:v>383.90799999999933</c:v>
                </c:pt>
                <c:pt idx="3">
                  <c:v>402.7</c:v>
                </c:pt>
                <c:pt idx="4">
                  <c:v>468.9</c:v>
                </c:pt>
                <c:pt idx="5">
                  <c:v>420</c:v>
                </c:pt>
                <c:pt idx="6" formatCode="#,##0.0">
                  <c:v>405.1</c:v>
                </c:pt>
                <c:pt idx="7">
                  <c:v>405.5</c:v>
                </c:pt>
                <c:pt idx="8">
                  <c:v>473.5</c:v>
                </c:pt>
                <c:pt idx="9">
                  <c:v>504.7</c:v>
                </c:pt>
              </c:numCache>
            </c:numRef>
          </c:val>
        </c:ser>
        <c:marker val="1"/>
        <c:axId val="114561024"/>
        <c:axId val="114562944"/>
      </c:lineChart>
      <c:dateAx>
        <c:axId val="114561024"/>
        <c:scaling>
          <c:orientation val="minMax"/>
          <c:max val="43556"/>
          <c:min val="40269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456294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14562944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291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456102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3290485256871932"/>
          <c:y val="0.88383936575177058"/>
          <c:w val="0.49825581395348939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B000-AC2E-4A93-9115-90BDD672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3</cp:revision>
  <cp:lastPrinted>2019-06-25T06:41:00Z</cp:lastPrinted>
  <dcterms:created xsi:type="dcterms:W3CDTF">2019-06-25T06:40:00Z</dcterms:created>
  <dcterms:modified xsi:type="dcterms:W3CDTF">2019-06-25T06:41:00Z</dcterms:modified>
</cp:coreProperties>
</file>