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D5" w:rsidRDefault="000810D5" w:rsidP="000810D5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 (PCBS) and</w:t>
      </w:r>
    </w:p>
    <w:p w:rsidR="000810D5" w:rsidRDefault="000810D5" w:rsidP="000810D5">
      <w:pPr>
        <w:bidi/>
        <w:jc w:val="center"/>
        <w:rPr>
          <w:b w:val="0"/>
          <w:bCs/>
          <w:i w:val="0"/>
          <w:iCs/>
          <w:sz w:val="32"/>
          <w:szCs w:val="32"/>
        </w:rPr>
      </w:pPr>
      <w:r>
        <w:rPr>
          <w:rFonts w:asciiTheme="majorBidi" w:hAnsiTheme="majorBidi" w:cstheme="majorBidi"/>
          <w:i w:val="0"/>
          <w:iCs/>
          <w:sz w:val="32"/>
          <w:szCs w:val="32"/>
        </w:rPr>
        <w:t>the Palestine Monetary Authority (PMA)</w:t>
      </w:r>
    </w:p>
    <w:p w:rsidR="00F80EC6" w:rsidRPr="000810D5" w:rsidRDefault="00F80EC6" w:rsidP="00FC7CEB">
      <w:pPr>
        <w:tabs>
          <w:tab w:val="left" w:pos="3491"/>
          <w:tab w:val="left" w:pos="3614"/>
          <w:tab w:val="left" w:pos="4130"/>
          <w:tab w:val="left" w:pos="4524"/>
          <w:tab w:val="left" w:pos="5040"/>
          <w:tab w:val="left" w:pos="6290"/>
          <w:tab w:val="right" w:pos="6707"/>
        </w:tabs>
        <w:bidi/>
        <w:rPr>
          <w:b w:val="0"/>
          <w:bCs/>
          <w:i w:val="0"/>
          <w:iCs/>
          <w:rtl/>
        </w:rPr>
      </w:pPr>
    </w:p>
    <w:p w:rsidR="00F93771" w:rsidRDefault="00F93771" w:rsidP="000810D5">
      <w:pPr>
        <w:tabs>
          <w:tab w:val="left" w:pos="3125"/>
          <w:tab w:val="left" w:pos="3777"/>
          <w:tab w:val="left" w:pos="4469"/>
          <w:tab w:val="left" w:pos="5715"/>
        </w:tabs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FC7CEB">
        <w:rPr>
          <w:rFonts w:asciiTheme="majorBidi" w:hAnsiTheme="majorBidi" w:cstheme="majorBidi"/>
          <w:i w:val="0"/>
          <w:iCs/>
          <w:sz w:val="32"/>
          <w:szCs w:val="32"/>
        </w:rPr>
        <w:t>Results Announcement</w:t>
      </w:r>
    </w:p>
    <w:p w:rsidR="000810D5" w:rsidRPr="00FC7CEB" w:rsidRDefault="000810D5" w:rsidP="000810D5">
      <w:pPr>
        <w:tabs>
          <w:tab w:val="left" w:pos="3125"/>
          <w:tab w:val="left" w:pos="3777"/>
          <w:tab w:val="left" w:pos="4469"/>
          <w:tab w:val="left" w:pos="5715"/>
        </w:tabs>
        <w:bidi/>
        <w:jc w:val="center"/>
        <w:rPr>
          <w:rFonts w:asciiTheme="majorBidi" w:hAnsiTheme="majorBidi" w:cstheme="majorBidi"/>
          <w:i w:val="0"/>
          <w:iCs/>
          <w:sz w:val="32"/>
          <w:szCs w:val="32"/>
          <w:rtl/>
        </w:rPr>
      </w:pPr>
    </w:p>
    <w:p w:rsidR="00F93771" w:rsidRPr="00FC7CEB" w:rsidRDefault="00F93771" w:rsidP="00F87F86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FC7CEB">
        <w:rPr>
          <w:rFonts w:asciiTheme="majorBidi" w:hAnsiTheme="majorBidi" w:cstheme="majorBidi"/>
          <w:i w:val="0"/>
          <w:iCs/>
          <w:sz w:val="32"/>
          <w:szCs w:val="32"/>
        </w:rPr>
        <w:t>International Investment Position &amp; External Debt –</w:t>
      </w:r>
      <w:r w:rsidR="00517AB7" w:rsidRPr="00FC7CEB">
        <w:rPr>
          <w:rFonts w:asciiTheme="majorBidi" w:hAnsiTheme="majorBidi" w:cstheme="majorBidi"/>
          <w:i w:val="0"/>
          <w:iCs/>
          <w:sz w:val="32"/>
          <w:szCs w:val="32"/>
        </w:rPr>
        <w:t xml:space="preserve"> </w:t>
      </w:r>
      <w:r w:rsidRPr="00FC7CEB">
        <w:rPr>
          <w:rFonts w:asciiTheme="majorBidi" w:hAnsiTheme="majorBidi" w:cstheme="majorBidi" w:hint="cs"/>
          <w:b w:val="0"/>
          <w:bCs/>
          <w:sz w:val="32"/>
          <w:szCs w:val="32"/>
          <w:rtl/>
        </w:rPr>
        <w:t>201</w:t>
      </w:r>
      <w:r w:rsidR="00F87F86" w:rsidRPr="00FC7CEB">
        <w:rPr>
          <w:rFonts w:asciiTheme="majorBidi" w:hAnsiTheme="majorBidi" w:cstheme="majorBidi"/>
          <w:i w:val="0"/>
          <w:iCs/>
          <w:sz w:val="32"/>
          <w:szCs w:val="32"/>
        </w:rPr>
        <w:t>7</w:t>
      </w:r>
    </w:p>
    <w:p w:rsidR="00F93771" w:rsidRPr="003661CF" w:rsidRDefault="00F93771" w:rsidP="00F93771">
      <w:pPr>
        <w:pStyle w:val="BodyText3"/>
        <w:tabs>
          <w:tab w:val="left" w:pos="6660"/>
        </w:tabs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  <w:r>
        <w:rPr>
          <w:rFonts w:asciiTheme="majorBidi" w:hAnsiTheme="majorBidi" w:cstheme="majorBidi"/>
          <w:i w:val="0"/>
          <w:iCs/>
          <w:sz w:val="24"/>
          <w:szCs w:val="24"/>
        </w:rPr>
        <w:tab/>
      </w:r>
    </w:p>
    <w:p w:rsidR="00F93771" w:rsidRPr="00E23D7F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F87F8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F93771" w:rsidRPr="00E23D7F" w:rsidRDefault="00F93771" w:rsidP="00FC7CEB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F93771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F87F8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 w:rsidRPr="0091370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156FFE" w:rsidRPr="00156FFE">
        <w:rPr>
          <w:rFonts w:asciiTheme="majorBidi" w:hAnsiTheme="majorBidi" w:cstheme="majorBidi" w:hint="cs"/>
          <w:sz w:val="24"/>
          <w:szCs w:val="24"/>
          <w:rtl/>
        </w:rPr>
        <w:t>7</w:t>
      </w:r>
      <w:r w:rsidR="00152CC2">
        <w:rPr>
          <w:rFonts w:asciiTheme="majorBidi" w:hAnsiTheme="majorBidi" w:cstheme="majorBidi" w:hint="cs"/>
          <w:sz w:val="24"/>
          <w:szCs w:val="24"/>
          <w:rtl/>
        </w:rPr>
        <w:t>06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4315B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4315B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The </w:t>
      </w:r>
      <w:r w:rsidR="006959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constituting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63.</w:t>
      </w:r>
      <w:r w:rsidR="007041BE" w:rsidRPr="007041B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of 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total value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 external assets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F93771" w:rsidRPr="00E23D7F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F93771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External Assets for Palestine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6,</w:t>
      </w:r>
      <w:r w:rsidR="00156FFE">
        <w:rPr>
          <w:rFonts w:asciiTheme="majorBidi" w:hAnsiTheme="majorBidi" w:cstheme="majorBidi" w:hint="cs"/>
          <w:sz w:val="24"/>
          <w:szCs w:val="24"/>
          <w:rtl/>
        </w:rPr>
        <w:t>743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6959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abroad contributed to </w:t>
      </w:r>
      <w:r w:rsidR="00156FFE" w:rsidRPr="00156FFE">
        <w:rPr>
          <w:rFonts w:asciiTheme="majorBidi" w:hAnsiTheme="majorBidi" w:cstheme="majorBidi" w:hint="cs"/>
          <w:sz w:val="24"/>
          <w:szCs w:val="24"/>
          <w:rtl/>
        </w:rPr>
        <w:t>5.3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20.2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Other Foreign Investments abroad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(mainly currency and deposits)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reached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67.9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Reserve Assets amounted to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6.6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%. 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At sector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external investments of 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ban</w:t>
      </w:r>
      <w:r w:rsidR="00C81A8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k</w:t>
      </w:r>
      <w:r w:rsidR="00E658C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 a large share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standing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7041BE" w:rsidRPr="007041B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70.5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assets.</w:t>
      </w:r>
    </w:p>
    <w:p w:rsidR="00F93771" w:rsidRPr="00E23D7F" w:rsidRDefault="00F93771" w:rsidP="00FC7CEB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F93771" w:rsidRPr="00E23D7F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Foreign Liabilities in Palestine (Stocks of non-residents invested in Palestine) amounted to USD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03</w:t>
      </w:r>
      <w:r w:rsidR="00C010E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52.</w:t>
      </w:r>
      <w:r w:rsidR="00D50007" w:rsidRPr="00D50007">
        <w:rPr>
          <w:rFonts w:asciiTheme="majorBidi" w:hAnsiTheme="majorBidi" w:cstheme="majorBidi" w:hint="cs"/>
          <w:sz w:val="24"/>
          <w:szCs w:val="24"/>
          <w:rtl/>
        </w:rPr>
        <w:t>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14.0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33.5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  According to sectoral level, the foreign investments in bank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156FF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36.</w:t>
      </w:r>
      <w:r w:rsidR="00C010E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 w:rsidR="0006615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F93771" w:rsidRPr="00E23D7F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EE227E" w:rsidRPr="006C20BF" w:rsidRDefault="00F93771" w:rsidP="00FC7CEB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Gross External Debt on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different sectors of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A62E78" w:rsidRPr="00A62E78">
        <w:rPr>
          <w:rFonts w:asciiTheme="majorBidi" w:hAnsiTheme="majorBidi" w:cstheme="majorBidi" w:hint="cs"/>
          <w:sz w:val="24"/>
          <w:szCs w:val="24"/>
          <w:rtl/>
        </w:rPr>
        <w:t>731</w:t>
      </w:r>
      <w:r w:rsidRPr="008B4A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million,  The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A62E78" w:rsidRPr="00A62E78">
        <w:rPr>
          <w:rFonts w:asciiTheme="majorBidi" w:hAnsiTheme="majorBidi" w:cstheme="majorBidi" w:hint="cs"/>
          <w:sz w:val="24"/>
          <w:szCs w:val="24"/>
          <w:rtl/>
        </w:rPr>
        <w:t>60.0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debt on banks sector reached </w:t>
      </w:r>
      <w:r w:rsidR="00A62E78" w:rsidRPr="00A62E78">
        <w:rPr>
          <w:rFonts w:asciiTheme="majorBidi" w:hAnsiTheme="majorBidi" w:cstheme="majorBidi" w:hint="cs"/>
          <w:sz w:val="24"/>
          <w:szCs w:val="24"/>
          <w:rtl/>
        </w:rPr>
        <w:t>35.0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19442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Nonbank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financial</w:t>
      </w:r>
      <w:r w:rsidR="0019442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corporations,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19442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6C20B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sectors) amounted to </w:t>
      </w:r>
      <w:r w:rsidR="00A62E78" w:rsidRPr="00A62E78">
        <w:rPr>
          <w:rFonts w:asciiTheme="majorBidi" w:hAnsiTheme="majorBidi" w:cstheme="majorBidi" w:hint="cs"/>
          <w:sz w:val="24"/>
          <w:szCs w:val="24"/>
          <w:rtl/>
        </w:rPr>
        <w:t>2.0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</w:t>
      </w:r>
      <w:r w:rsidR="003E0EB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the lending between affiliated companies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A62E78" w:rsidRPr="00A62E78">
        <w:rPr>
          <w:rFonts w:ascii="Times New Roman" w:hAnsi="Times New Roman" w:hint="cs"/>
          <w:sz w:val="24"/>
          <w:szCs w:val="24"/>
          <w:rtl/>
        </w:rPr>
        <w:t>3.0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F93771" w:rsidRPr="00E23D7F" w:rsidRDefault="00F93771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514827" w:rsidRDefault="00514827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514827" w:rsidRPr="00E23D7F" w:rsidRDefault="00514827" w:rsidP="00FC7CE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514827" w:rsidRDefault="00514827" w:rsidP="00FC7CEB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Banks/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514827" w:rsidRPr="00E23D7F" w:rsidRDefault="00514827" w:rsidP="00FC7CEB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514827" w:rsidRDefault="00514827" w:rsidP="00514827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>
        <w:rPr>
          <w:rFonts w:asciiTheme="majorBidi" w:hAnsiTheme="majorBidi" w:cstheme="majorBidi"/>
          <w:bCs/>
          <w:iCs/>
          <w:szCs w:val="24"/>
        </w:rPr>
        <w:t xml:space="preserve"> deposits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>
        <w:rPr>
          <w:rFonts w:asciiTheme="majorBidi" w:hAnsiTheme="majorBidi" w:cstheme="majorBidi"/>
          <w:bCs/>
          <w:iCs/>
          <w:szCs w:val="24"/>
        </w:rPr>
        <w:t>the 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F93771" w:rsidRPr="00FC7CEB" w:rsidRDefault="00F93771" w:rsidP="00F9377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F93771" w:rsidRDefault="00F93771" w:rsidP="00F93771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F93771" w:rsidRDefault="00F93771" w:rsidP="00F93771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F93771" w:rsidRDefault="00F93771" w:rsidP="00F93771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FC7CEB" w:rsidRDefault="00FC7CEB" w:rsidP="00F87F86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FC7CEB" w:rsidRDefault="00F93771" w:rsidP="00F87F86">
      <w:pPr>
        <w:contextualSpacing/>
        <w:jc w:val="center"/>
        <w:rPr>
          <w:rFonts w:asciiTheme="majorBidi" w:hAnsiTheme="majorBidi" w:cstheme="majorBidi"/>
          <w:i w:val="0"/>
          <w:iCs/>
        </w:rPr>
      </w:pPr>
      <w:r w:rsidRPr="00FC7CEB">
        <w:rPr>
          <w:rFonts w:asciiTheme="majorBidi" w:hAnsiTheme="majorBidi" w:cstheme="majorBidi"/>
          <w:i w:val="0"/>
          <w:iCs/>
        </w:rPr>
        <w:t xml:space="preserve">Table 1: International Investment Position (IIP) stock by Economic Sectors For Palestine, </w:t>
      </w:r>
    </w:p>
    <w:p w:rsidR="00F93771" w:rsidRPr="00FC7CEB" w:rsidRDefault="00F93771" w:rsidP="00F87F86">
      <w:pPr>
        <w:contextualSpacing/>
        <w:jc w:val="center"/>
        <w:rPr>
          <w:rFonts w:asciiTheme="majorBidi" w:hAnsiTheme="majorBidi" w:cstheme="majorBidi"/>
          <w:i w:val="0"/>
          <w:iCs/>
        </w:rPr>
      </w:pPr>
      <w:r w:rsidRPr="00FC7CEB">
        <w:rPr>
          <w:rFonts w:asciiTheme="majorBidi" w:hAnsiTheme="majorBidi" w:cstheme="majorBidi"/>
          <w:i w:val="0"/>
          <w:iCs/>
        </w:rPr>
        <w:t>at the end of 201</w:t>
      </w:r>
      <w:r w:rsidR="00F87F86" w:rsidRPr="00FC7CEB">
        <w:rPr>
          <w:rFonts w:asciiTheme="majorBidi" w:hAnsiTheme="majorBidi" w:cstheme="majorBidi"/>
          <w:i w:val="0"/>
          <w:iCs/>
        </w:rPr>
        <w:t>7</w:t>
      </w:r>
    </w:p>
    <w:p w:rsidR="00F93771" w:rsidRDefault="00F93771" w:rsidP="00F9377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F93771" w:rsidRPr="00FC7CEB" w:rsidRDefault="00F93771" w:rsidP="00FC7CEB">
      <w:pPr>
        <w:ind w:right="3631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FC7CEB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Value in million USD</w:t>
      </w:r>
    </w:p>
    <w:tbl>
      <w:tblPr>
        <w:bidiVisual/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1038"/>
        <w:gridCol w:w="972"/>
        <w:gridCol w:w="1438"/>
        <w:gridCol w:w="1079"/>
        <w:gridCol w:w="11"/>
        <w:gridCol w:w="1501"/>
        <w:gridCol w:w="11"/>
        <w:gridCol w:w="1333"/>
        <w:gridCol w:w="3524"/>
      </w:tblGrid>
      <w:tr w:rsidR="00D67D96" w:rsidRPr="00FC7CEB" w:rsidTr="003236BA">
        <w:trPr>
          <w:trHeight w:val="284"/>
          <w:jc w:val="center"/>
        </w:trPr>
        <w:tc>
          <w:tcPr>
            <w:tcW w:w="483" w:type="pct"/>
            <w:gridSpan w:val="2"/>
            <w:vMerge w:val="restart"/>
            <w:vAlign w:val="center"/>
          </w:tcPr>
          <w:p w:rsidR="00D67D96" w:rsidRPr="00FC7CEB" w:rsidRDefault="00AC67A9" w:rsidP="00E74098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103" w:type="pct"/>
            <w:gridSpan w:val="2"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494" w:type="pct"/>
            <w:vMerge w:val="restart"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692" w:type="pct"/>
            <w:gridSpan w:val="2"/>
            <w:vMerge w:val="restart"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615" w:type="pct"/>
            <w:gridSpan w:val="2"/>
            <w:vMerge w:val="restart"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613" w:type="pct"/>
            <w:vMerge w:val="restart"/>
          </w:tcPr>
          <w:p w:rsidR="00D67D96" w:rsidRPr="00FC7CEB" w:rsidRDefault="004652B1" w:rsidP="003236B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.35pt;margin-top:2.05pt;width:166.9pt;height:86.25pt;z-index:251665408;mso-position-horizontal-relative:text;mso-position-vertical-relative:text" o:connectortype="straight">
                  <w10:wrap anchorx="page"/>
                </v:shape>
              </w:pict>
            </w:r>
            <w:r w:rsidR="00D67D96" w:rsidRPr="00FC7CEB">
              <w:rPr>
                <w:rFonts w:asciiTheme="majorBidi" w:hAnsiTheme="majorBidi" w:cstheme="majorBidi"/>
                <w:i w:val="0"/>
                <w:iCs/>
              </w:rPr>
              <w:t xml:space="preserve">      Economic Sector</w:t>
            </w:r>
            <w:r w:rsidR="00D67D96" w:rsidRPr="00FC7CEB">
              <w:rPr>
                <w:rFonts w:asciiTheme="majorBidi" w:hAnsiTheme="majorBidi" w:cstheme="majorBidi"/>
                <w:i w:val="0"/>
                <w:iCs/>
                <w:rtl/>
              </w:rPr>
              <w:t xml:space="preserve">   </w:t>
            </w:r>
          </w:p>
          <w:p w:rsidR="00D67D96" w:rsidRPr="00FC7CEB" w:rsidRDefault="00D67D96" w:rsidP="003236B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67D96" w:rsidRPr="00FC7CEB" w:rsidRDefault="00D67D96" w:rsidP="003236B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67D96" w:rsidRPr="00FC7CEB" w:rsidRDefault="00D67D96" w:rsidP="003236B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67D96" w:rsidRPr="00FC7CEB" w:rsidRDefault="00D67D96" w:rsidP="003236B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               </w:t>
            </w:r>
          </w:p>
          <w:p w:rsidR="00D67D96" w:rsidRPr="00FC7CEB" w:rsidRDefault="00D67D96" w:rsidP="003236B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67D96" w:rsidRPr="00FC7CEB" w:rsidRDefault="00D67D96" w:rsidP="00194427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      Investments Stocks by </w:t>
            </w:r>
          </w:p>
          <w:p w:rsidR="00D67D96" w:rsidRPr="00FC7CEB" w:rsidRDefault="00D67D96" w:rsidP="00194427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      Type of Investment</w:t>
            </w:r>
          </w:p>
        </w:tc>
      </w:tr>
      <w:tr w:rsidR="00D67D96" w:rsidRPr="00FC7CEB" w:rsidTr="003236BA">
        <w:trPr>
          <w:trHeight w:val="1492"/>
          <w:jc w:val="center"/>
        </w:trPr>
        <w:tc>
          <w:tcPr>
            <w:tcW w:w="483" w:type="pct"/>
            <w:gridSpan w:val="2"/>
            <w:vMerge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45" w:type="pct"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658" w:type="pct"/>
            <w:vAlign w:val="center"/>
          </w:tcPr>
          <w:p w:rsidR="00D67D96" w:rsidRPr="00FC7CEB" w:rsidRDefault="00E313A3" w:rsidP="00194427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Nonbank Financial C</w:t>
            </w:r>
            <w:r w:rsidR="00D67D96" w:rsidRPr="00FC7CEB">
              <w:rPr>
                <w:rFonts w:asciiTheme="majorBidi" w:hAnsiTheme="majorBidi" w:cstheme="majorBidi"/>
                <w:i w:val="0"/>
                <w:iCs/>
              </w:rPr>
              <w:t>orporations,</w:t>
            </w: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 Non-financial C</w:t>
            </w:r>
            <w:r w:rsidR="00FE0415" w:rsidRPr="00FC7CEB">
              <w:rPr>
                <w:rFonts w:asciiTheme="majorBidi" w:hAnsiTheme="majorBidi" w:cstheme="majorBidi"/>
                <w:i w:val="0"/>
                <w:iCs/>
              </w:rPr>
              <w:t>orporations, NGOs S</w:t>
            </w:r>
            <w:r w:rsidR="00D67D96" w:rsidRPr="00FC7CEB">
              <w:rPr>
                <w:rFonts w:asciiTheme="majorBidi" w:hAnsiTheme="majorBidi" w:cstheme="majorBidi"/>
                <w:i w:val="0"/>
                <w:iCs/>
              </w:rPr>
              <w:t>ector</w:t>
            </w:r>
          </w:p>
        </w:tc>
        <w:tc>
          <w:tcPr>
            <w:tcW w:w="494" w:type="pct"/>
            <w:vMerge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92" w:type="pct"/>
            <w:gridSpan w:val="2"/>
            <w:vMerge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15" w:type="pct"/>
            <w:gridSpan w:val="2"/>
            <w:vMerge/>
            <w:vAlign w:val="center"/>
          </w:tcPr>
          <w:p w:rsidR="00D67D96" w:rsidRPr="00FC7CEB" w:rsidRDefault="00D67D96" w:rsidP="003236B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613" w:type="pct"/>
            <w:vMerge/>
          </w:tcPr>
          <w:p w:rsidR="00D67D96" w:rsidRPr="00FC7CEB" w:rsidRDefault="00D67D96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C010EC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1,706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-939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b w:val="0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187-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2,902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-957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887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6,743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39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b w:val="0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980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4,752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85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887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356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11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b w:val="0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345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Abroad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1,360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434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836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Portfolio Investments Abroad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4,581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28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201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3,916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85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351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Other Investments Abroad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4,252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28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37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3,836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351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currency and deposits**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446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446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Reserve Assets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C010EC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5,037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978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1,167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1,850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1,042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C010EC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2,647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978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732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937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in Palestine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703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393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310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Portfolio Investments in Palestine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1,687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42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603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1,042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Other Investments in Palestine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1,073</w:t>
            </w:r>
          </w:p>
        </w:tc>
        <w:tc>
          <w:tcPr>
            <w:tcW w:w="445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31</w:t>
            </w:r>
          </w:p>
        </w:tc>
        <w:tc>
          <w:tcPr>
            <w:tcW w:w="499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gridSpan w:val="2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1,042</w:t>
            </w:r>
          </w:p>
        </w:tc>
        <w:tc>
          <w:tcPr>
            <w:tcW w:w="610" w:type="pct"/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Loans from abroad</w:t>
            </w:r>
          </w:p>
        </w:tc>
      </w:tr>
      <w:tr w:rsidR="00C010EC" w:rsidRPr="00FC7CEB" w:rsidTr="00CE2347">
        <w:trPr>
          <w:gridBefore w:val="1"/>
          <w:wBefore w:w="8" w:type="pct"/>
          <w:trHeight w:val="284"/>
          <w:jc w:val="center"/>
        </w:trPr>
        <w:tc>
          <w:tcPr>
            <w:tcW w:w="475" w:type="pct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603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C010E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603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bottom"/>
          </w:tcPr>
          <w:p w:rsidR="00C010EC" w:rsidRPr="00FC7CEB" w:rsidRDefault="00C010EC" w:rsidP="00D67D96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center"/>
          </w:tcPr>
          <w:p w:rsidR="00C010EC" w:rsidRPr="00FC7CEB" w:rsidRDefault="00C010EC" w:rsidP="003236B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Of which: currency and deposits***</w:t>
            </w:r>
          </w:p>
        </w:tc>
      </w:tr>
    </w:tbl>
    <w:p w:rsidR="00F93771" w:rsidRPr="003F4147" w:rsidRDefault="00F93771" w:rsidP="00FC7CEB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F93771" w:rsidRPr="000D1317" w:rsidRDefault="00F93771" w:rsidP="00FC7CEB">
      <w:pPr>
        <w:spacing w:line="0" w:lineRule="atLeast"/>
        <w:ind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F93771" w:rsidRPr="0041774E" w:rsidRDefault="00F93771" w:rsidP="00FC7CEB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:rsidR="00F93771" w:rsidRPr="0041774E" w:rsidRDefault="00F93771" w:rsidP="00FC7CEB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:rsidR="00F93771" w:rsidRPr="00DD063E" w:rsidRDefault="00F93771" w:rsidP="00FC7CEB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F93771" w:rsidRPr="00DD063E" w:rsidRDefault="00F93771" w:rsidP="00FC7CEB">
      <w:pPr>
        <w:spacing w:line="0" w:lineRule="atLeast"/>
        <w:ind w:right="-45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</w:t>
      </w:r>
      <w:r w:rsidR="00A478BC">
        <w:rPr>
          <w:rFonts w:ascii="Arial" w:hAnsi="Arial"/>
          <w:b w:val="0"/>
          <w:bCs/>
          <w:i w:val="0"/>
          <w:iCs/>
          <w:sz w:val="17"/>
          <w:szCs w:val="17"/>
        </w:rPr>
        <w:t>* Currency and deposits: Include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="00F43827">
        <w:rPr>
          <w:rFonts w:ascii="Arial" w:hAnsi="Arial"/>
          <w:b w:val="0"/>
          <w:bCs/>
          <w:i w:val="0"/>
          <w:iCs/>
          <w:sz w:val="17"/>
          <w:szCs w:val="17"/>
        </w:rPr>
        <w:t xml:space="preserve">the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residents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</w:t>
      </w:r>
      <w:r w:rsidR="006C20BF">
        <w:rPr>
          <w:rFonts w:ascii="Arial" w:hAnsi="Arial"/>
          <w:b w:val="0"/>
          <w:bCs/>
          <w:i w:val="0"/>
          <w:iCs/>
          <w:sz w:val="17"/>
          <w:szCs w:val="17"/>
        </w:rPr>
        <w:t>exchange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in Palestinian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:rsidR="00F93771" w:rsidRPr="00DD063E" w:rsidRDefault="00F93771" w:rsidP="00FC7CEB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 w:rsidR="00194427"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:rsidR="00F93771" w:rsidRDefault="00F93771" w:rsidP="00F93771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FC7CEB" w:rsidRDefault="00FC7CEB" w:rsidP="00FC7CEB">
      <w:pPr>
        <w:contextualSpacing/>
        <w:jc w:val="center"/>
        <w:rPr>
          <w:rFonts w:asciiTheme="majorBidi" w:hAnsiTheme="majorBidi" w:cstheme="majorBidi"/>
          <w:i w:val="0"/>
          <w:iCs/>
        </w:rPr>
      </w:pPr>
    </w:p>
    <w:p w:rsidR="00F93771" w:rsidRPr="00FC7CEB" w:rsidRDefault="00F93771" w:rsidP="00FC7CEB">
      <w:pPr>
        <w:contextualSpacing/>
        <w:jc w:val="center"/>
        <w:rPr>
          <w:rFonts w:asciiTheme="majorBidi" w:hAnsiTheme="majorBidi" w:cstheme="majorBidi"/>
          <w:i w:val="0"/>
          <w:iCs/>
        </w:rPr>
      </w:pPr>
      <w:r w:rsidRPr="00FC7CEB">
        <w:rPr>
          <w:rFonts w:asciiTheme="majorBidi" w:hAnsiTheme="majorBidi" w:cstheme="majorBidi"/>
          <w:i w:val="0"/>
          <w:iCs/>
        </w:rPr>
        <w:t>Table 2: Gross External Debt position on Palestine, at the end of years 201</w:t>
      </w:r>
      <w:r w:rsidR="00F87F86" w:rsidRPr="00FC7CEB">
        <w:rPr>
          <w:rFonts w:asciiTheme="majorBidi" w:hAnsiTheme="majorBidi" w:cstheme="majorBidi"/>
          <w:i w:val="0"/>
          <w:iCs/>
        </w:rPr>
        <w:t>6</w:t>
      </w:r>
      <w:r w:rsidRPr="00FC7CEB">
        <w:rPr>
          <w:rFonts w:asciiTheme="majorBidi" w:hAnsiTheme="majorBidi" w:cstheme="majorBidi"/>
          <w:i w:val="0"/>
          <w:iCs/>
        </w:rPr>
        <w:t>,</w:t>
      </w:r>
      <w:r w:rsidR="00FC7CEB">
        <w:rPr>
          <w:rFonts w:asciiTheme="majorBidi" w:hAnsiTheme="majorBidi" w:cstheme="majorBidi"/>
          <w:i w:val="0"/>
          <w:iCs/>
        </w:rPr>
        <w:t xml:space="preserve"> </w:t>
      </w:r>
      <w:r w:rsidRPr="00FC7CEB">
        <w:rPr>
          <w:rFonts w:asciiTheme="majorBidi" w:hAnsiTheme="majorBidi" w:cstheme="majorBidi"/>
          <w:i w:val="0"/>
          <w:iCs/>
        </w:rPr>
        <w:t>201</w:t>
      </w:r>
      <w:r w:rsidR="00F87F86" w:rsidRPr="00FC7CEB">
        <w:rPr>
          <w:rFonts w:asciiTheme="majorBidi" w:hAnsiTheme="majorBidi" w:cstheme="majorBidi"/>
          <w:i w:val="0"/>
          <w:iCs/>
        </w:rPr>
        <w:t>7</w:t>
      </w:r>
    </w:p>
    <w:p w:rsidR="00F93771" w:rsidRDefault="00F93771" w:rsidP="00F9377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F93771" w:rsidRPr="00FC7CEB" w:rsidRDefault="00F93771" w:rsidP="00F93771">
      <w:pPr>
        <w:ind w:left="-284" w:right="3967" w:firstLine="644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FC7CEB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8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1687"/>
        <w:gridCol w:w="5104"/>
      </w:tblGrid>
      <w:tr w:rsidR="00F93771" w:rsidRPr="00FC7CEB" w:rsidTr="003236BA">
        <w:trPr>
          <w:trHeight w:val="284"/>
        </w:trPr>
        <w:tc>
          <w:tcPr>
            <w:tcW w:w="995" w:type="pct"/>
            <w:vAlign w:val="center"/>
          </w:tcPr>
          <w:p w:rsidR="00F93771" w:rsidRPr="00FC7CEB" w:rsidRDefault="00F93771" w:rsidP="00F87F86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Stock at the end of 201</w:t>
            </w:r>
            <w:r w:rsidR="00F87F86" w:rsidRPr="00FC7CEB">
              <w:rPr>
                <w:rFonts w:asciiTheme="majorBidi" w:hAnsiTheme="majorBidi" w:cstheme="majorBidi"/>
                <w:i w:val="0"/>
                <w:iCs/>
              </w:rPr>
              <w:t>7</w:t>
            </w:r>
          </w:p>
        </w:tc>
        <w:tc>
          <w:tcPr>
            <w:tcW w:w="995" w:type="pct"/>
            <w:vAlign w:val="center"/>
          </w:tcPr>
          <w:p w:rsidR="00F93771" w:rsidRPr="00FC7CEB" w:rsidRDefault="00F93771" w:rsidP="00F87F86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Stock at the end of 201</w:t>
            </w:r>
            <w:r w:rsidR="00F87F86" w:rsidRPr="00FC7CEB">
              <w:rPr>
                <w:rFonts w:asciiTheme="majorBidi" w:hAnsiTheme="majorBidi" w:cstheme="majorBidi"/>
                <w:i w:val="0"/>
                <w:iCs/>
              </w:rPr>
              <w:t>6</w:t>
            </w:r>
          </w:p>
        </w:tc>
        <w:tc>
          <w:tcPr>
            <w:tcW w:w="3010" w:type="pct"/>
            <w:vAlign w:val="center"/>
          </w:tcPr>
          <w:p w:rsidR="00F93771" w:rsidRPr="00FC7CEB" w:rsidRDefault="00F93771" w:rsidP="003236B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1,042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1,044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77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79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965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965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603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496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368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259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235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237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42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70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4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38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67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243272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44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  <w:color w:val="000000"/>
              </w:rPr>
              <w:t>5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243272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affiliated enterprises</w:t>
            </w:r>
          </w:p>
        </w:tc>
      </w:tr>
      <w:tr w:rsidR="00525961" w:rsidRPr="00FC7CEB" w:rsidTr="003236BA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C7CEB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995" w:type="pct"/>
            <w:vAlign w:val="bottom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525961" w:rsidRPr="00FC7CEB" w:rsidTr="00B563E4">
        <w:trPr>
          <w:trHeight w:val="284"/>
        </w:trPr>
        <w:tc>
          <w:tcPr>
            <w:tcW w:w="995" w:type="pct"/>
            <w:vAlign w:val="bottom"/>
          </w:tcPr>
          <w:p w:rsidR="00525961" w:rsidRPr="00FC7CEB" w:rsidRDefault="00525961" w:rsidP="00243272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</w:t>
            </w:r>
            <w:r w:rsidR="00243272"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731</w:t>
            </w:r>
          </w:p>
        </w:tc>
        <w:tc>
          <w:tcPr>
            <w:tcW w:w="995" w:type="pct"/>
            <w:vAlign w:val="center"/>
          </w:tcPr>
          <w:p w:rsidR="00525961" w:rsidRPr="00FC7CEB" w:rsidRDefault="00525961" w:rsidP="0052596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FC7CEB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1,615</w:t>
            </w:r>
          </w:p>
        </w:tc>
        <w:tc>
          <w:tcPr>
            <w:tcW w:w="3010" w:type="pct"/>
            <w:vAlign w:val="bottom"/>
          </w:tcPr>
          <w:p w:rsidR="00525961" w:rsidRPr="00FC7CEB" w:rsidRDefault="00525961" w:rsidP="0052596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FC7CEB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F93771" w:rsidRPr="0053342F" w:rsidRDefault="00F93771" w:rsidP="00F93771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F93771" w:rsidRPr="00C305B9" w:rsidRDefault="00F93771" w:rsidP="00F93771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F93771" w:rsidRPr="00B94B95" w:rsidRDefault="00F93771" w:rsidP="00F93771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93771" w:rsidRPr="00B94B95" w:rsidRDefault="00F93771" w:rsidP="00F93771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FC7CEB">
      <w:headerReference w:type="default" r:id="rId8"/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20" w:rsidRDefault="00716820" w:rsidP="00885BEC">
      <w:r>
        <w:separator/>
      </w:r>
    </w:p>
  </w:endnote>
  <w:endnote w:type="continuationSeparator" w:id="0">
    <w:p w:rsidR="00716820" w:rsidRDefault="00716820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516A6A" w:rsidRDefault="004652B1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516A6A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524B92">
          <w:rPr>
            <w:b w:val="0"/>
            <w:bCs/>
            <w:i w:val="0"/>
            <w:iCs/>
            <w:noProof/>
            <w:sz w:val="20"/>
            <w:szCs w:val="20"/>
          </w:rPr>
          <w:t>3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516A6A" w:rsidRDefault="00516A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20" w:rsidRDefault="00716820" w:rsidP="00885BEC">
      <w:r>
        <w:separator/>
      </w:r>
    </w:p>
  </w:footnote>
  <w:footnote w:type="continuationSeparator" w:id="0">
    <w:p w:rsidR="00716820" w:rsidRDefault="00716820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EB" w:rsidRDefault="00FC7CEB" w:rsidP="00FC7CEB">
    <w:pPr>
      <w:pStyle w:val="Header"/>
      <w:tabs>
        <w:tab w:val="clear" w:pos="4680"/>
        <w:tab w:val="clear" w:pos="9360"/>
        <w:tab w:val="left" w:pos="3405"/>
      </w:tabs>
    </w:pPr>
    <w:r>
      <w:t xml:space="preserve">             </w:t>
    </w:r>
  </w:p>
  <w:p w:rsidR="00FC7CEB" w:rsidRDefault="00FC7CEB" w:rsidP="00FC7CEB">
    <w:pPr>
      <w:pStyle w:val="Header"/>
      <w:tabs>
        <w:tab w:val="clear" w:pos="4680"/>
        <w:tab w:val="clear" w:pos="9360"/>
        <w:tab w:val="left" w:pos="34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328C"/>
    <w:rsid w:val="000042EC"/>
    <w:rsid w:val="000072F1"/>
    <w:rsid w:val="000115CC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6153"/>
    <w:rsid w:val="00067DB7"/>
    <w:rsid w:val="00072644"/>
    <w:rsid w:val="00077AA7"/>
    <w:rsid w:val="00080709"/>
    <w:rsid w:val="00080765"/>
    <w:rsid w:val="000810D5"/>
    <w:rsid w:val="00081BE1"/>
    <w:rsid w:val="00085209"/>
    <w:rsid w:val="00090534"/>
    <w:rsid w:val="00090697"/>
    <w:rsid w:val="00090A98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25F"/>
    <w:rsid w:val="0011238A"/>
    <w:rsid w:val="00122B0F"/>
    <w:rsid w:val="001243F4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632"/>
    <w:rsid w:val="0014777A"/>
    <w:rsid w:val="00151B5B"/>
    <w:rsid w:val="00152CC2"/>
    <w:rsid w:val="00156FFE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4427"/>
    <w:rsid w:val="0019579D"/>
    <w:rsid w:val="00196708"/>
    <w:rsid w:val="001A10F5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3272"/>
    <w:rsid w:val="00244E71"/>
    <w:rsid w:val="00246BC1"/>
    <w:rsid w:val="00247298"/>
    <w:rsid w:val="00251A59"/>
    <w:rsid w:val="0025216F"/>
    <w:rsid w:val="002523D4"/>
    <w:rsid w:val="00254E95"/>
    <w:rsid w:val="00254FB5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6860"/>
    <w:rsid w:val="00287955"/>
    <w:rsid w:val="002930BA"/>
    <w:rsid w:val="002945F6"/>
    <w:rsid w:val="002A0947"/>
    <w:rsid w:val="002B0376"/>
    <w:rsid w:val="002B2CA8"/>
    <w:rsid w:val="002B36F3"/>
    <w:rsid w:val="002B519B"/>
    <w:rsid w:val="002C032A"/>
    <w:rsid w:val="002C1546"/>
    <w:rsid w:val="002C5EF1"/>
    <w:rsid w:val="002C6DD7"/>
    <w:rsid w:val="002D1337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0D52"/>
    <w:rsid w:val="00322FF5"/>
    <w:rsid w:val="003236BA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0BDC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5F01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64EB"/>
    <w:rsid w:val="003D6FF3"/>
    <w:rsid w:val="003D7154"/>
    <w:rsid w:val="003E0504"/>
    <w:rsid w:val="003E0EBC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46CA"/>
    <w:rsid w:val="004259AA"/>
    <w:rsid w:val="004272CE"/>
    <w:rsid w:val="004310E3"/>
    <w:rsid w:val="004315B8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2347"/>
    <w:rsid w:val="004624A9"/>
    <w:rsid w:val="0046412B"/>
    <w:rsid w:val="004652B1"/>
    <w:rsid w:val="0046623B"/>
    <w:rsid w:val="00466329"/>
    <w:rsid w:val="00466417"/>
    <w:rsid w:val="004706FF"/>
    <w:rsid w:val="00470EB2"/>
    <w:rsid w:val="0047210C"/>
    <w:rsid w:val="004722F3"/>
    <w:rsid w:val="00473BE3"/>
    <w:rsid w:val="004770F1"/>
    <w:rsid w:val="00482097"/>
    <w:rsid w:val="00483A1A"/>
    <w:rsid w:val="00485E88"/>
    <w:rsid w:val="004908D8"/>
    <w:rsid w:val="004920F5"/>
    <w:rsid w:val="00494846"/>
    <w:rsid w:val="00494AD4"/>
    <w:rsid w:val="004954C4"/>
    <w:rsid w:val="004A6FCF"/>
    <w:rsid w:val="004A7D7A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12E0F"/>
    <w:rsid w:val="00513BB5"/>
    <w:rsid w:val="00514827"/>
    <w:rsid w:val="00516A6A"/>
    <w:rsid w:val="0051707F"/>
    <w:rsid w:val="00517AB7"/>
    <w:rsid w:val="00524B92"/>
    <w:rsid w:val="00525961"/>
    <w:rsid w:val="005322B0"/>
    <w:rsid w:val="0053266C"/>
    <w:rsid w:val="00532EFB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30E"/>
    <w:rsid w:val="005738ED"/>
    <w:rsid w:val="00575A80"/>
    <w:rsid w:val="00576FFC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B47E8"/>
    <w:rsid w:val="005B6A18"/>
    <w:rsid w:val="005C3F38"/>
    <w:rsid w:val="005C63F0"/>
    <w:rsid w:val="005C6ACB"/>
    <w:rsid w:val="005C7213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0E67"/>
    <w:rsid w:val="00663875"/>
    <w:rsid w:val="006649CA"/>
    <w:rsid w:val="0066643E"/>
    <w:rsid w:val="0067102F"/>
    <w:rsid w:val="00672923"/>
    <w:rsid w:val="00673220"/>
    <w:rsid w:val="006738B1"/>
    <w:rsid w:val="00681C63"/>
    <w:rsid w:val="00681EC2"/>
    <w:rsid w:val="006825EB"/>
    <w:rsid w:val="006860A4"/>
    <w:rsid w:val="006864AF"/>
    <w:rsid w:val="00692615"/>
    <w:rsid w:val="006945FA"/>
    <w:rsid w:val="006949AB"/>
    <w:rsid w:val="00695960"/>
    <w:rsid w:val="006A4970"/>
    <w:rsid w:val="006A6595"/>
    <w:rsid w:val="006B36BF"/>
    <w:rsid w:val="006B5EE1"/>
    <w:rsid w:val="006C0330"/>
    <w:rsid w:val="006C20BF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843"/>
    <w:rsid w:val="006F5851"/>
    <w:rsid w:val="0070333F"/>
    <w:rsid w:val="007041BE"/>
    <w:rsid w:val="007115CF"/>
    <w:rsid w:val="007117F4"/>
    <w:rsid w:val="00713756"/>
    <w:rsid w:val="00716820"/>
    <w:rsid w:val="00725408"/>
    <w:rsid w:val="00737401"/>
    <w:rsid w:val="007440AA"/>
    <w:rsid w:val="0074518D"/>
    <w:rsid w:val="00745DFE"/>
    <w:rsid w:val="00753738"/>
    <w:rsid w:val="0075703F"/>
    <w:rsid w:val="00757248"/>
    <w:rsid w:val="00760B80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3C72"/>
    <w:rsid w:val="00795FD1"/>
    <w:rsid w:val="00796D97"/>
    <w:rsid w:val="00796DF9"/>
    <w:rsid w:val="007971E6"/>
    <w:rsid w:val="007A0A4E"/>
    <w:rsid w:val="007A0E5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9E6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6AE1"/>
    <w:rsid w:val="00837C26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24"/>
    <w:rsid w:val="00881181"/>
    <w:rsid w:val="00881593"/>
    <w:rsid w:val="00883934"/>
    <w:rsid w:val="00883CEF"/>
    <w:rsid w:val="008840BB"/>
    <w:rsid w:val="00885BEC"/>
    <w:rsid w:val="00886E20"/>
    <w:rsid w:val="00887793"/>
    <w:rsid w:val="00887DDA"/>
    <w:rsid w:val="0089649C"/>
    <w:rsid w:val="008975DB"/>
    <w:rsid w:val="008A1310"/>
    <w:rsid w:val="008A4688"/>
    <w:rsid w:val="008A4EE4"/>
    <w:rsid w:val="008A50C1"/>
    <w:rsid w:val="008A61F5"/>
    <w:rsid w:val="008A6433"/>
    <w:rsid w:val="008B054B"/>
    <w:rsid w:val="008B2BC1"/>
    <w:rsid w:val="008B57E2"/>
    <w:rsid w:val="008B5F89"/>
    <w:rsid w:val="008C25F1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32592"/>
    <w:rsid w:val="00932724"/>
    <w:rsid w:val="00937DAD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876DC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78BC"/>
    <w:rsid w:val="00A53CAB"/>
    <w:rsid w:val="00A55F81"/>
    <w:rsid w:val="00A62E78"/>
    <w:rsid w:val="00A63CA6"/>
    <w:rsid w:val="00A64BCE"/>
    <w:rsid w:val="00A70B84"/>
    <w:rsid w:val="00A71D30"/>
    <w:rsid w:val="00A71DF1"/>
    <w:rsid w:val="00A727AE"/>
    <w:rsid w:val="00A763DB"/>
    <w:rsid w:val="00A80B3D"/>
    <w:rsid w:val="00A80CF4"/>
    <w:rsid w:val="00A84C9F"/>
    <w:rsid w:val="00A85A9D"/>
    <w:rsid w:val="00A86274"/>
    <w:rsid w:val="00A87406"/>
    <w:rsid w:val="00A92509"/>
    <w:rsid w:val="00A92720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3ADE"/>
    <w:rsid w:val="00AC67A9"/>
    <w:rsid w:val="00AC7662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F109B"/>
    <w:rsid w:val="00AF120E"/>
    <w:rsid w:val="00AF2816"/>
    <w:rsid w:val="00AF371C"/>
    <w:rsid w:val="00AF4B33"/>
    <w:rsid w:val="00AF63AE"/>
    <w:rsid w:val="00AF7572"/>
    <w:rsid w:val="00B044FA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3C24"/>
    <w:rsid w:val="00B64638"/>
    <w:rsid w:val="00B64C52"/>
    <w:rsid w:val="00B65CDD"/>
    <w:rsid w:val="00B75768"/>
    <w:rsid w:val="00B812CB"/>
    <w:rsid w:val="00B8277D"/>
    <w:rsid w:val="00B831CF"/>
    <w:rsid w:val="00B84951"/>
    <w:rsid w:val="00B855C1"/>
    <w:rsid w:val="00B874B5"/>
    <w:rsid w:val="00B900EF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B6E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10EC"/>
    <w:rsid w:val="00C05742"/>
    <w:rsid w:val="00C07F9D"/>
    <w:rsid w:val="00C11D08"/>
    <w:rsid w:val="00C12980"/>
    <w:rsid w:val="00C1465D"/>
    <w:rsid w:val="00C164A1"/>
    <w:rsid w:val="00C178DF"/>
    <w:rsid w:val="00C20472"/>
    <w:rsid w:val="00C21B2E"/>
    <w:rsid w:val="00C21CA5"/>
    <w:rsid w:val="00C24535"/>
    <w:rsid w:val="00C322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A8D"/>
    <w:rsid w:val="00C81FA4"/>
    <w:rsid w:val="00C8323C"/>
    <w:rsid w:val="00C83DD0"/>
    <w:rsid w:val="00C85D0B"/>
    <w:rsid w:val="00C869DC"/>
    <w:rsid w:val="00C87CE8"/>
    <w:rsid w:val="00C92770"/>
    <w:rsid w:val="00C927A0"/>
    <w:rsid w:val="00C9485F"/>
    <w:rsid w:val="00C95F13"/>
    <w:rsid w:val="00CA323C"/>
    <w:rsid w:val="00CA332B"/>
    <w:rsid w:val="00CA3918"/>
    <w:rsid w:val="00CA3989"/>
    <w:rsid w:val="00CA3AEC"/>
    <w:rsid w:val="00CA6946"/>
    <w:rsid w:val="00CB1059"/>
    <w:rsid w:val="00CB377E"/>
    <w:rsid w:val="00CB4298"/>
    <w:rsid w:val="00CB51E9"/>
    <w:rsid w:val="00CB69DF"/>
    <w:rsid w:val="00CB7601"/>
    <w:rsid w:val="00CC2528"/>
    <w:rsid w:val="00CC3DA4"/>
    <w:rsid w:val="00CD7A84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35A2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5D23"/>
    <w:rsid w:val="00D47343"/>
    <w:rsid w:val="00D50007"/>
    <w:rsid w:val="00D5055C"/>
    <w:rsid w:val="00D52D32"/>
    <w:rsid w:val="00D52E0A"/>
    <w:rsid w:val="00D54652"/>
    <w:rsid w:val="00D54927"/>
    <w:rsid w:val="00D55E68"/>
    <w:rsid w:val="00D56E3B"/>
    <w:rsid w:val="00D57892"/>
    <w:rsid w:val="00D67D96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66A0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5004"/>
    <w:rsid w:val="00DB6568"/>
    <w:rsid w:val="00DB6A67"/>
    <w:rsid w:val="00DC196A"/>
    <w:rsid w:val="00DC2E42"/>
    <w:rsid w:val="00DC7F13"/>
    <w:rsid w:val="00DD2580"/>
    <w:rsid w:val="00DD2D7D"/>
    <w:rsid w:val="00DD521A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5D79"/>
    <w:rsid w:val="00DE6252"/>
    <w:rsid w:val="00DF39A7"/>
    <w:rsid w:val="00DF62B2"/>
    <w:rsid w:val="00E007BE"/>
    <w:rsid w:val="00E01FA1"/>
    <w:rsid w:val="00E02162"/>
    <w:rsid w:val="00E021E0"/>
    <w:rsid w:val="00E02DCB"/>
    <w:rsid w:val="00E06BAE"/>
    <w:rsid w:val="00E077C7"/>
    <w:rsid w:val="00E117D4"/>
    <w:rsid w:val="00E12C55"/>
    <w:rsid w:val="00E1594B"/>
    <w:rsid w:val="00E16D3D"/>
    <w:rsid w:val="00E16D50"/>
    <w:rsid w:val="00E17FE9"/>
    <w:rsid w:val="00E30EFE"/>
    <w:rsid w:val="00E313A3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658C4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27E"/>
    <w:rsid w:val="00EE2376"/>
    <w:rsid w:val="00EE3932"/>
    <w:rsid w:val="00EE5E0F"/>
    <w:rsid w:val="00EF0235"/>
    <w:rsid w:val="00EF0669"/>
    <w:rsid w:val="00EF7518"/>
    <w:rsid w:val="00F03889"/>
    <w:rsid w:val="00F04D52"/>
    <w:rsid w:val="00F05F1C"/>
    <w:rsid w:val="00F108D7"/>
    <w:rsid w:val="00F12823"/>
    <w:rsid w:val="00F16F88"/>
    <w:rsid w:val="00F21843"/>
    <w:rsid w:val="00F227B5"/>
    <w:rsid w:val="00F234B0"/>
    <w:rsid w:val="00F2693C"/>
    <w:rsid w:val="00F31885"/>
    <w:rsid w:val="00F32F97"/>
    <w:rsid w:val="00F34B56"/>
    <w:rsid w:val="00F35B8F"/>
    <w:rsid w:val="00F35DFA"/>
    <w:rsid w:val="00F36F52"/>
    <w:rsid w:val="00F43827"/>
    <w:rsid w:val="00F440C8"/>
    <w:rsid w:val="00F44ABD"/>
    <w:rsid w:val="00F44E5B"/>
    <w:rsid w:val="00F45CF4"/>
    <w:rsid w:val="00F45E41"/>
    <w:rsid w:val="00F503FB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0EC6"/>
    <w:rsid w:val="00F81583"/>
    <w:rsid w:val="00F82939"/>
    <w:rsid w:val="00F86A73"/>
    <w:rsid w:val="00F87F86"/>
    <w:rsid w:val="00F90043"/>
    <w:rsid w:val="00F91DB4"/>
    <w:rsid w:val="00F91DCF"/>
    <w:rsid w:val="00F932AC"/>
    <w:rsid w:val="00F93771"/>
    <w:rsid w:val="00FA24A7"/>
    <w:rsid w:val="00FA65B7"/>
    <w:rsid w:val="00FA773D"/>
    <w:rsid w:val="00FA7773"/>
    <w:rsid w:val="00FB5470"/>
    <w:rsid w:val="00FB5E5C"/>
    <w:rsid w:val="00FB7DEF"/>
    <w:rsid w:val="00FC2F0B"/>
    <w:rsid w:val="00FC7CEB"/>
    <w:rsid w:val="00FD4E2D"/>
    <w:rsid w:val="00FD50F5"/>
    <w:rsid w:val="00FD5154"/>
    <w:rsid w:val="00FD574D"/>
    <w:rsid w:val="00FE0415"/>
    <w:rsid w:val="00FE268E"/>
    <w:rsid w:val="00FE437C"/>
    <w:rsid w:val="00FE5702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2CAD-CE53-434A-B6A1-63F0C296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loays</cp:lastModifiedBy>
  <cp:revision>5</cp:revision>
  <cp:lastPrinted>2018-09-20T09:17:00Z</cp:lastPrinted>
  <dcterms:created xsi:type="dcterms:W3CDTF">2018-09-20T09:17:00Z</dcterms:created>
  <dcterms:modified xsi:type="dcterms:W3CDTF">2018-09-23T06:10:00Z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