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69" w:rsidRPr="005862C7" w:rsidRDefault="00927F69" w:rsidP="00C321D9">
      <w:pPr>
        <w:tabs>
          <w:tab w:val="left" w:pos="1315"/>
        </w:tabs>
        <w:jc w:val="center"/>
        <w:rPr>
          <w:rFonts w:asciiTheme="majorBidi" w:hAnsiTheme="majorBidi" w:cstheme="majorBidi"/>
          <w:b w:val="0"/>
          <w:bCs/>
          <w:i w:val="0"/>
          <w:iCs/>
        </w:rPr>
      </w:pPr>
    </w:p>
    <w:p w:rsidR="005862C7" w:rsidRDefault="005862C7" w:rsidP="00C321D9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4221C5" w:rsidRPr="00C321D9" w:rsidRDefault="004221C5" w:rsidP="00563108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Central Bureau of Statistics </w:t>
      </w:r>
      <w:r w:rsidR="00682D89" w:rsidRPr="00C321D9">
        <w:rPr>
          <w:rFonts w:asciiTheme="majorBidi" w:hAnsiTheme="majorBidi" w:cstheme="majorBidi"/>
          <w:i w:val="0"/>
          <w:iCs/>
          <w:sz w:val="28"/>
          <w:szCs w:val="28"/>
          <w:rtl/>
        </w:rPr>
        <w:t xml:space="preserve"> </w:t>
      </w:r>
      <w:r w:rsidR="00682D89" w:rsidRPr="00C321D9">
        <w:rPr>
          <w:rFonts w:asciiTheme="majorBidi" w:hAnsiTheme="majorBidi" w:cstheme="majorBidi"/>
          <w:i w:val="0"/>
          <w:iCs/>
          <w:sz w:val="28"/>
          <w:szCs w:val="28"/>
        </w:rPr>
        <w:t>and Palestine Monetary Authority</w:t>
      </w:r>
      <w:r w:rsidR="00682D89" w:rsidRPr="00C321D9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</w:t>
      </w:r>
      <w:r w:rsidRPr="00C321D9">
        <w:rPr>
          <w:rFonts w:asciiTheme="majorBidi" w:hAnsiTheme="majorBidi" w:cstheme="majorBidi"/>
          <w:i w:val="0"/>
          <w:iCs/>
          <w:sz w:val="28"/>
          <w:szCs w:val="28"/>
        </w:rPr>
        <w:t>continue the work on data collection of the International Investment Position in light of</w:t>
      </w:r>
      <w:r w:rsidR="00563108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 COVID-19 (CORONA VIRUS) pandemic</w:t>
      </w:r>
      <w:r w:rsidR="00E36FA8" w:rsidRPr="00C321D9">
        <w:rPr>
          <w:rFonts w:asciiTheme="majorBidi" w:hAnsiTheme="majorBidi" w:cstheme="majorBidi"/>
          <w:i w:val="0"/>
          <w:iCs/>
          <w:sz w:val="28"/>
          <w:szCs w:val="28"/>
        </w:rPr>
        <w:t>.</w:t>
      </w:r>
    </w:p>
    <w:p w:rsidR="004221C5" w:rsidRPr="00C321D9" w:rsidRDefault="004221C5" w:rsidP="00C321D9">
      <w:pPr>
        <w:spacing w:line="120" w:lineRule="auto"/>
        <w:jc w:val="center"/>
        <w:rPr>
          <w:rFonts w:asciiTheme="majorBidi" w:hAnsiTheme="majorBidi" w:cstheme="majorBidi"/>
          <w:i w:val="0"/>
          <w:iCs/>
          <w:sz w:val="20"/>
          <w:szCs w:val="20"/>
        </w:rPr>
      </w:pPr>
    </w:p>
    <w:p w:rsidR="004221C5" w:rsidRPr="00C321D9" w:rsidRDefault="004221C5" w:rsidP="00C321D9">
      <w:pPr>
        <w:jc w:val="center"/>
        <w:rPr>
          <w:rFonts w:asciiTheme="majorBidi" w:hAnsiTheme="majorBidi" w:cstheme="majorBidi"/>
          <w:i w:val="0"/>
          <w:iCs/>
          <w:sz w:val="2"/>
          <w:szCs w:val="2"/>
        </w:rPr>
      </w:pPr>
    </w:p>
    <w:p w:rsidR="00ED32C6" w:rsidRDefault="00ED32C6" w:rsidP="00C321D9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6845AC" w:rsidRPr="00C321D9" w:rsidRDefault="00DB2CC3" w:rsidP="00C321D9">
      <w:pPr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917480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Net Stock </w:t>
      </w:r>
      <w:r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of the International Investment Position (IIP) </w:t>
      </w:r>
      <w:r w:rsidR="00BE7AFD" w:rsidRPr="00C321D9">
        <w:rPr>
          <w:rFonts w:asciiTheme="majorBidi" w:hAnsiTheme="majorBidi" w:cstheme="majorBidi"/>
          <w:i w:val="0"/>
          <w:iCs/>
          <w:sz w:val="28"/>
          <w:szCs w:val="28"/>
        </w:rPr>
        <w:t>De</w:t>
      </w:r>
      <w:r w:rsidR="00CF323B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creased </w:t>
      </w:r>
      <w:r w:rsidR="00917480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CF323B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by </w:t>
      </w:r>
      <w:r w:rsidR="00633411" w:rsidRPr="00C321D9">
        <w:rPr>
          <w:rFonts w:asciiTheme="majorBidi" w:hAnsiTheme="majorBidi" w:cstheme="majorBidi"/>
          <w:i w:val="0"/>
          <w:iCs/>
          <w:sz w:val="28"/>
          <w:szCs w:val="28"/>
        </w:rPr>
        <w:t>16</w:t>
      </w:r>
      <w:r w:rsidR="00CF323B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% </w:t>
      </w:r>
      <w:r w:rsidR="00805979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at the </w:t>
      </w:r>
      <w:r w:rsidR="00917480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End </w:t>
      </w:r>
      <w:r w:rsidR="00805979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of </w:t>
      </w:r>
      <w:r w:rsidR="00421004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BE7AFD" w:rsidRPr="00C321D9">
        <w:rPr>
          <w:rFonts w:asciiTheme="majorBidi" w:hAnsiTheme="majorBidi" w:cstheme="majorBidi"/>
          <w:i w:val="0"/>
          <w:iCs/>
          <w:sz w:val="28"/>
          <w:szCs w:val="28"/>
        </w:rPr>
        <w:t>F</w:t>
      </w:r>
      <w:r w:rsidR="00633411" w:rsidRPr="00C321D9">
        <w:rPr>
          <w:rFonts w:asciiTheme="majorBidi" w:hAnsiTheme="majorBidi" w:cstheme="majorBidi"/>
          <w:i w:val="0"/>
          <w:iCs/>
          <w:sz w:val="28"/>
          <w:szCs w:val="28"/>
        </w:rPr>
        <w:t>irst</w:t>
      </w:r>
      <w:r w:rsidR="00917480"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 Quarter</w:t>
      </w:r>
      <w:r w:rsidRPr="00C321D9">
        <w:rPr>
          <w:rFonts w:asciiTheme="majorBidi" w:hAnsiTheme="majorBidi" w:cstheme="majorBidi"/>
          <w:i w:val="0"/>
          <w:iCs/>
          <w:sz w:val="28"/>
          <w:szCs w:val="28"/>
        </w:rPr>
        <w:t xml:space="preserve"> 20</w:t>
      </w:r>
      <w:r w:rsidR="00633411" w:rsidRPr="00C321D9">
        <w:rPr>
          <w:rFonts w:asciiTheme="majorBidi" w:hAnsiTheme="majorBidi" w:cstheme="majorBidi"/>
          <w:i w:val="0"/>
          <w:iCs/>
          <w:sz w:val="28"/>
          <w:szCs w:val="28"/>
        </w:rPr>
        <w:t>20</w:t>
      </w:r>
    </w:p>
    <w:p w:rsidR="003A1748" w:rsidRPr="001253D2" w:rsidRDefault="001253D2" w:rsidP="00C321D9">
      <w:pPr>
        <w:rPr>
          <w:b w:val="0"/>
          <w:bCs/>
          <w:i w:val="0"/>
          <w:iCs/>
          <w:rtl/>
        </w:rPr>
      </w:pPr>
      <w:r>
        <w:rPr>
          <w:rFonts w:hint="cs"/>
          <w:b w:val="0"/>
          <w:bCs/>
          <w:i w:val="0"/>
          <w:iCs/>
          <w:rtl/>
        </w:rPr>
        <w:t xml:space="preserve">                    </w:t>
      </w:r>
    </w:p>
    <w:p w:rsidR="00DB5004" w:rsidRDefault="00DB5004" w:rsidP="00D82BC8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BE7AFD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f</w:t>
      </w:r>
      <w:r w:rsidR="0063341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irst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</w:t>
      </w:r>
      <w:r w:rsidR="0063341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C321D9" w:rsidRPr="00C321D9" w:rsidRDefault="00D82BC8" w:rsidP="00D82BC8">
      <w:pPr>
        <w:pStyle w:val="BodyText3"/>
        <w:tabs>
          <w:tab w:val="left" w:pos="7680"/>
        </w:tabs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tab/>
      </w:r>
    </w:p>
    <w:p w:rsidR="00C321D9" w:rsidRDefault="00DB5004" w:rsidP="00D82BC8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42100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BE7AFD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f</w:t>
      </w:r>
      <w:r w:rsidR="0063341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irst</w:t>
      </w:r>
      <w:r w:rsidR="000110B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</w:t>
      </w:r>
      <w:r w:rsidR="00F7796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USD 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763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BE7AF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de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creased by 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16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compared with previous quarter,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</w:t>
      </w:r>
    </w:p>
    <w:p w:rsidR="00DB5004" w:rsidRPr="00C321D9" w:rsidRDefault="00DB5004" w:rsidP="00D82BC8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  <w:r w:rsidRPr="00C321D9">
        <w:rPr>
          <w:rFonts w:asciiTheme="majorBidi" w:hAnsiTheme="majorBidi" w:cstheme="majorBidi"/>
          <w:b w:val="0"/>
          <w:bCs/>
          <w:i w:val="0"/>
          <w:iCs/>
        </w:rPr>
        <w:t xml:space="preserve"> </w:t>
      </w:r>
    </w:p>
    <w:p w:rsidR="00DB5004" w:rsidRPr="0034603E" w:rsidRDefault="00DB5004" w:rsidP="00D82BC8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253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contributed to 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and deposits) reached </w:t>
      </w:r>
      <w:r w:rsid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10</w:t>
      </w:r>
      <w:r w:rsidR="00EC5050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EC505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DD6071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At </w:t>
      </w:r>
      <w:proofErr w:type="spellStart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63341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for</w:t>
      </w:r>
      <w:r w:rsidR="00CD132E" w:rsidRP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C321D9" w:rsidRDefault="00DB5004" w:rsidP="00D82BC8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064A5C" w:rsidRDefault="00DB5004" w:rsidP="00D82BC8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For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eign Liabilities in Palestine (s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tocks of non-residents invested in Palestine) amounted to USD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ED028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="002106D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90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="002106D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D24B7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3265D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2106D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="00DD607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</w:t>
      </w:r>
      <w:r w:rsidR="00DD6071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0E5A0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proofErr w:type="spellStart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2219A2"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2106D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4221C5" w:rsidRPr="00C321D9" w:rsidRDefault="004221C5" w:rsidP="00D82BC8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C321D9" w:rsidRDefault="00805979" w:rsidP="00C321D9">
      <w:pPr>
        <w:pStyle w:val="HTMLPreformatted"/>
        <w:shd w:val="clear" w:color="auto" w:fill="FFFFFF"/>
        <w:spacing w:after="120"/>
        <w:rPr>
          <w:rFonts w:asciiTheme="majorBidi" w:hAnsiTheme="majorBidi" w:cstheme="majorBidi"/>
          <w:b/>
          <w:iCs/>
          <w:sz w:val="26"/>
          <w:szCs w:val="26"/>
        </w:rPr>
      </w:pPr>
      <w:r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Stock of </w:t>
      </w:r>
      <w:r w:rsidR="00041F63"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DD103D" w:rsidRPr="00C321D9">
        <w:rPr>
          <w:rFonts w:asciiTheme="majorBidi" w:hAnsiTheme="majorBidi" w:cstheme="majorBidi"/>
          <w:b/>
          <w:iCs/>
          <w:sz w:val="26"/>
          <w:szCs w:val="26"/>
        </w:rPr>
        <w:t>e</w:t>
      </w:r>
      <w:r w:rsidR="00041F63"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xternal government </w:t>
      </w:r>
      <w:r w:rsidRPr="00C321D9">
        <w:rPr>
          <w:rFonts w:asciiTheme="majorBidi" w:hAnsiTheme="majorBidi" w:cstheme="majorBidi"/>
          <w:b/>
          <w:iCs/>
          <w:sz w:val="26"/>
          <w:szCs w:val="26"/>
        </w:rPr>
        <w:t>d</w:t>
      </w:r>
      <w:r w:rsidR="00064A5C"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ebt </w:t>
      </w:r>
      <w:r w:rsidR="00EC5050"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amounted to </w:t>
      </w:r>
      <w:r w:rsidR="00041F63"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about </w:t>
      </w:r>
      <w:r w:rsidR="003E3D66"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USD </w:t>
      </w:r>
      <w:r w:rsidR="000148EC" w:rsidRPr="00C321D9">
        <w:rPr>
          <w:rFonts w:asciiTheme="majorBidi" w:hAnsiTheme="majorBidi" w:cstheme="majorBidi" w:hint="cs"/>
          <w:bCs/>
          <w:i/>
          <w:sz w:val="26"/>
          <w:szCs w:val="26"/>
          <w:rtl/>
        </w:rPr>
        <w:t>1.3</w:t>
      </w:r>
      <w:r w:rsidR="00041F63" w:rsidRPr="00C321D9">
        <w:rPr>
          <w:rFonts w:asciiTheme="majorBidi" w:hAnsiTheme="majorBidi" w:cstheme="majorBidi"/>
          <w:bCs/>
          <w:i/>
          <w:sz w:val="26"/>
          <w:szCs w:val="26"/>
        </w:rPr>
        <w:t xml:space="preserve"> </w:t>
      </w:r>
      <w:r w:rsidR="00041F63"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billion at the end of the </w:t>
      </w:r>
      <w:r w:rsidR="00885814" w:rsidRPr="00C321D9">
        <w:rPr>
          <w:rFonts w:asciiTheme="majorBidi" w:hAnsiTheme="majorBidi" w:cstheme="majorBidi"/>
          <w:b/>
          <w:iCs/>
          <w:sz w:val="26"/>
          <w:szCs w:val="26"/>
        </w:rPr>
        <w:t>f</w:t>
      </w:r>
      <w:r w:rsidR="00741D4C" w:rsidRPr="00C321D9">
        <w:rPr>
          <w:rFonts w:asciiTheme="majorBidi" w:hAnsiTheme="majorBidi" w:cstheme="majorBidi"/>
          <w:b/>
          <w:iCs/>
          <w:sz w:val="26"/>
          <w:szCs w:val="26"/>
        </w:rPr>
        <w:t>irst</w:t>
      </w:r>
      <w:r w:rsidR="00041F63" w:rsidRPr="00C321D9">
        <w:rPr>
          <w:rFonts w:asciiTheme="majorBidi" w:hAnsiTheme="majorBidi" w:cstheme="majorBidi"/>
          <w:b/>
          <w:iCs/>
          <w:sz w:val="26"/>
          <w:szCs w:val="26"/>
        </w:rPr>
        <w:t xml:space="preserve"> quarter 20</w:t>
      </w:r>
      <w:r w:rsidR="00741D4C" w:rsidRPr="00C321D9">
        <w:rPr>
          <w:rFonts w:asciiTheme="majorBidi" w:hAnsiTheme="majorBidi" w:cstheme="majorBidi"/>
          <w:b/>
          <w:iCs/>
          <w:sz w:val="26"/>
          <w:szCs w:val="26"/>
        </w:rPr>
        <w:t>20</w:t>
      </w:r>
    </w:p>
    <w:p w:rsidR="00DB5004" w:rsidRPr="00F33016" w:rsidRDefault="00DB5004" w:rsidP="00D82BC8">
      <w:pPr>
        <w:pStyle w:val="BodyText3"/>
        <w:spacing w:after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rtl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Gross External Debt on the Palestinian econom</w:t>
      </w:r>
      <w:r w:rsidR="00F3301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ic sectors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</w:t>
      </w:r>
      <w:r w:rsidR="00741D4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741D4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051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million</w:t>
      </w:r>
      <w:r w:rsidR="002E060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increased by </w:t>
      </w:r>
      <w:r w:rsidR="00741D4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="002E060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compared with previous quarter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741D4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741D4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</w:t>
      </w:r>
      <w:r w:rsidR="00AF576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5C7E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lending between affiliated companies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="005D32C1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less than </w:t>
      </w:r>
      <w:r w:rsidR="00E05460">
        <w:rPr>
          <w:rFonts w:ascii="Times New Roman" w:hAnsi="Times New Roman"/>
          <w:b w:val="0"/>
          <w:bCs/>
          <w:i w:val="0"/>
          <w:iCs/>
          <w:sz w:val="24"/>
          <w:szCs w:val="24"/>
        </w:rPr>
        <w:t>1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C321D9" w:rsidRPr="00C321D9" w:rsidRDefault="00C321D9" w:rsidP="00D82BC8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D82BC8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C321D9" w:rsidRDefault="00DB5004" w:rsidP="00D82BC8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D82BC8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lastRenderedPageBreak/>
        <w:t>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C321D9" w:rsidRPr="00C321D9" w:rsidRDefault="00C321D9" w:rsidP="00C321D9">
      <w:pPr>
        <w:pStyle w:val="BodyText"/>
        <w:bidi w:val="0"/>
        <w:jc w:val="left"/>
        <w:rPr>
          <w:rStyle w:val="hps"/>
          <w:rFonts w:asciiTheme="majorBidi" w:hAnsiTheme="majorBidi" w:cstheme="majorBidi"/>
          <w:bCs/>
          <w:iCs/>
          <w:sz w:val="16"/>
          <w:szCs w:val="16"/>
        </w:rPr>
      </w:pPr>
    </w:p>
    <w:p w:rsidR="005862C7" w:rsidRDefault="005862C7" w:rsidP="005862C7">
      <w:pPr>
        <w:pStyle w:val="BodyText"/>
        <w:bidi w:val="0"/>
        <w:jc w:val="left"/>
        <w:rPr>
          <w:rStyle w:val="hps"/>
          <w:rFonts w:asciiTheme="majorBidi" w:hAnsiTheme="majorBidi" w:cstheme="majorBidi"/>
          <w:bCs/>
          <w:iCs/>
          <w:szCs w:val="24"/>
        </w:rPr>
      </w:pPr>
    </w:p>
    <w:p w:rsidR="00DB5004" w:rsidRDefault="00DB5004" w:rsidP="00D82BC8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deposit</w:t>
      </w:r>
      <w:r w:rsidR="00260883">
        <w:rPr>
          <w:rFonts w:asciiTheme="majorBidi" w:hAnsiTheme="majorBidi" w:cstheme="majorBidi"/>
          <w:bCs/>
          <w:iCs/>
          <w:szCs w:val="24"/>
        </w:rPr>
        <w:t>s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 w:rsidR="000C0673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 w:rsidR="00770755"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based on (External Debt Statistics Manual) issued by IMF in 2003, this manual is harmonized with </w:t>
      </w:r>
      <w:r w:rsidR="00E85A96">
        <w:rPr>
          <w:rFonts w:asciiTheme="majorBidi" w:hAnsiTheme="majorBidi" w:cstheme="majorBidi"/>
          <w:bCs/>
          <w:iCs/>
          <w:szCs w:val="24"/>
        </w:rPr>
        <w:t xml:space="preserve">the </w:t>
      </w:r>
      <w:r w:rsidR="00AF576D">
        <w:rPr>
          <w:rFonts w:asciiTheme="majorBidi" w:hAnsiTheme="majorBidi" w:cstheme="majorBidi"/>
          <w:bCs/>
          <w:iCs/>
          <w:szCs w:val="24"/>
        </w:rPr>
        <w:t>fifth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>ual</w:t>
      </w:r>
      <w:r w:rsidR="00E85A96"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 </w:t>
      </w:r>
    </w:p>
    <w:p w:rsidR="005862C7" w:rsidRDefault="005862C7" w:rsidP="005862C7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5862C7" w:rsidRDefault="00DB5004" w:rsidP="00563108">
      <w:pPr>
        <w:spacing w:before="120"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Table 1: International Investment Position (IIP) </w:t>
      </w:r>
      <w:r w:rsidR="006D61E4"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Stock </w:t>
      </w: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by Economic Sectors </w:t>
      </w:r>
      <w:r w:rsidR="006D61E4"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for </w:t>
      </w: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>Palestine,</w:t>
      </w:r>
      <w:r w:rsidR="00563108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at the </w:t>
      </w:r>
      <w:r w:rsidR="00112F30" w:rsidRPr="005862C7">
        <w:rPr>
          <w:rFonts w:asciiTheme="majorBidi" w:hAnsiTheme="majorBidi" w:cstheme="majorBidi"/>
          <w:i w:val="0"/>
          <w:iCs/>
          <w:sz w:val="26"/>
          <w:szCs w:val="26"/>
        </w:rPr>
        <w:t>e</w:t>
      </w:r>
      <w:r w:rsidR="006D61E4"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nd </w:t>
      </w: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  <w:r w:rsidR="00885814" w:rsidRPr="005862C7">
        <w:rPr>
          <w:rFonts w:asciiTheme="majorBidi" w:hAnsiTheme="majorBidi" w:cstheme="majorBidi"/>
          <w:i w:val="0"/>
          <w:iCs/>
          <w:sz w:val="26"/>
          <w:szCs w:val="26"/>
        </w:rPr>
        <w:t>F</w:t>
      </w:r>
      <w:r w:rsidR="00C50347" w:rsidRPr="005862C7">
        <w:rPr>
          <w:rFonts w:asciiTheme="majorBidi" w:hAnsiTheme="majorBidi" w:cstheme="majorBidi"/>
          <w:i w:val="0"/>
          <w:iCs/>
          <w:sz w:val="26"/>
          <w:szCs w:val="26"/>
        </w:rPr>
        <w:t>irst</w:t>
      </w:r>
      <w:r w:rsidR="004B5431"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E85A96" w:rsidRPr="005862C7">
        <w:rPr>
          <w:rFonts w:asciiTheme="majorBidi" w:hAnsiTheme="majorBidi" w:cstheme="majorBidi"/>
          <w:i w:val="0"/>
          <w:iCs/>
          <w:sz w:val="26"/>
          <w:szCs w:val="26"/>
        </w:rPr>
        <w:t>,</w:t>
      </w: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 20</w:t>
      </w:r>
      <w:r w:rsidR="00C50347" w:rsidRPr="005862C7">
        <w:rPr>
          <w:rFonts w:asciiTheme="majorBidi" w:hAnsiTheme="majorBidi" w:cstheme="majorBidi"/>
          <w:i w:val="0"/>
          <w:iCs/>
          <w:sz w:val="26"/>
          <w:szCs w:val="26"/>
        </w:rPr>
        <w:t>20</w:t>
      </w:r>
    </w:p>
    <w:p w:rsidR="00DB5004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221395" w:rsidRDefault="00F00306" w:rsidP="00A869C4">
      <w:pPr>
        <w:ind w:right="3631" w:hanging="709"/>
        <w:contextualSpacing/>
        <w:rPr>
          <w:rFonts w:ascii="Arial" w:hAnsi="Arial"/>
          <w:i w:val="0"/>
          <w:iCs/>
          <w:sz w:val="18"/>
          <w:szCs w:val="18"/>
        </w:rPr>
      </w:pPr>
      <w:r w:rsidRPr="00221395">
        <w:rPr>
          <w:rFonts w:ascii="Arial" w:hAnsi="Arial"/>
          <w:i w:val="0"/>
          <w:iCs/>
          <w:sz w:val="18"/>
          <w:szCs w:val="18"/>
        </w:rPr>
        <w:t xml:space="preserve">  </w:t>
      </w:r>
      <w:r w:rsidR="00DB5004" w:rsidRPr="00221395">
        <w:rPr>
          <w:rFonts w:ascii="Arial" w:hAnsi="Arial"/>
          <w:i w:val="0"/>
          <w:iCs/>
          <w:sz w:val="18"/>
          <w:szCs w:val="18"/>
        </w:rPr>
        <w:t xml:space="preserve"> Value in million USD</w:t>
      </w:r>
    </w:p>
    <w:tbl>
      <w:tblPr>
        <w:bidiVisual/>
        <w:tblW w:w="1100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990"/>
        <w:gridCol w:w="1686"/>
        <w:gridCol w:w="1171"/>
        <w:gridCol w:w="1193"/>
        <w:gridCol w:w="1349"/>
        <w:gridCol w:w="3599"/>
      </w:tblGrid>
      <w:tr w:rsidR="00DB5004" w:rsidRPr="005862C7" w:rsidTr="005862C7">
        <w:trPr>
          <w:trHeight w:val="284"/>
          <w:jc w:val="center"/>
        </w:trPr>
        <w:tc>
          <w:tcPr>
            <w:tcW w:w="462" w:type="pct"/>
            <w:vMerge w:val="restart"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TOTAL</w:t>
            </w:r>
          </w:p>
        </w:tc>
        <w:tc>
          <w:tcPr>
            <w:tcW w:w="1216" w:type="pct"/>
            <w:gridSpan w:val="2"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  <w:tc>
          <w:tcPr>
            <w:tcW w:w="532" w:type="pct"/>
            <w:vMerge w:val="restart"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 Sector</w:t>
            </w:r>
          </w:p>
        </w:tc>
        <w:tc>
          <w:tcPr>
            <w:tcW w:w="542" w:type="pct"/>
            <w:vMerge w:val="restart"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Government Sector</w:t>
            </w:r>
          </w:p>
        </w:tc>
        <w:tc>
          <w:tcPr>
            <w:tcW w:w="613" w:type="pct"/>
            <w:vMerge w:val="restart"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 (PMA)</w:t>
            </w:r>
          </w:p>
        </w:tc>
        <w:tc>
          <w:tcPr>
            <w:tcW w:w="1635" w:type="pct"/>
            <w:vMerge w:val="restart"/>
          </w:tcPr>
          <w:p w:rsidR="00DB5004" w:rsidRPr="005862C7" w:rsidRDefault="007926AF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7926AF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4pt;margin-top:2.05pt;width:172.7pt;height:99.5pt;z-index:251663360;mso-position-horizontal-relative:text;mso-position-vertical-relative:text" o:connectortype="straight">
                  <w10:wrap anchorx="page"/>
                </v:shape>
              </w:pict>
            </w:r>
            <w:r w:rsidR="00DB5004"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Economic Sector</w:t>
            </w:r>
            <w:r w:rsidR="00DB5004"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  <w:t xml:space="preserve">   </w:t>
            </w:r>
          </w:p>
          <w:p w:rsidR="00DB5004" w:rsidRPr="005862C7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5862C7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5862C7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5862C7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   </w:t>
            </w:r>
          </w:p>
          <w:p w:rsidR="00DB5004" w:rsidRPr="005862C7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DB5004" w:rsidRPr="005862C7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Investments Stocks by </w:t>
            </w:r>
          </w:p>
          <w:p w:rsidR="00DB5004" w:rsidRPr="005862C7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Type of Investment</w:t>
            </w:r>
          </w:p>
        </w:tc>
      </w:tr>
      <w:tr w:rsidR="00DB5004" w:rsidRPr="005862C7" w:rsidTr="005862C7">
        <w:trPr>
          <w:trHeight w:val="1492"/>
          <w:jc w:val="center"/>
        </w:trPr>
        <w:tc>
          <w:tcPr>
            <w:tcW w:w="462" w:type="pct"/>
            <w:vMerge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450" w:type="pct"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House- Holds Sector</w:t>
            </w:r>
          </w:p>
        </w:tc>
        <w:tc>
          <w:tcPr>
            <w:tcW w:w="766" w:type="pct"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Nonbank Financial Corporations, Non-Financial Corporations, and NGOs Sector</w:t>
            </w:r>
          </w:p>
        </w:tc>
        <w:tc>
          <w:tcPr>
            <w:tcW w:w="532" w:type="pct"/>
            <w:vMerge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542" w:type="pct"/>
            <w:vMerge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13" w:type="pct"/>
            <w:vMerge/>
            <w:vAlign w:val="center"/>
          </w:tcPr>
          <w:p w:rsidR="00DB5004" w:rsidRPr="005862C7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1635" w:type="pct"/>
            <w:vMerge/>
          </w:tcPr>
          <w:p w:rsidR="00DB5004" w:rsidRPr="005862C7" w:rsidRDefault="00DB5004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</w:t>
            </w:r>
            <w:r w:rsidR="00FE1775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763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-9</w:t>
            </w:r>
            <w:r w:rsidR="00171363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766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-2</w:t>
            </w:r>
            <w:r w:rsidR="00171363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532" w:type="pct"/>
            <w:vAlign w:val="bottom"/>
          </w:tcPr>
          <w:p w:rsidR="00FE1775" w:rsidRPr="005862C7" w:rsidRDefault="00A864A1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</w:t>
            </w:r>
            <w:r w:rsidR="00FE1775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772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</w:t>
            </w:r>
            <w:r w:rsidR="00A864A1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613" w:type="pct"/>
            <w:vAlign w:val="bottom"/>
          </w:tcPr>
          <w:p w:rsidR="00FE1775" w:rsidRPr="005862C7" w:rsidRDefault="00D63164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</w:t>
            </w:r>
            <w:r w:rsidR="00A864A1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International Investment Position (net)*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7,</w:t>
            </w:r>
            <w:r w:rsidR="00171363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3</w:t>
            </w:r>
            <w:r w:rsidR="00C17090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887</w:t>
            </w:r>
          </w:p>
        </w:tc>
        <w:tc>
          <w:tcPr>
            <w:tcW w:w="532" w:type="pct"/>
            <w:vAlign w:val="bottom"/>
          </w:tcPr>
          <w:p w:rsidR="00FE1775" w:rsidRPr="005862C7" w:rsidRDefault="00A864A1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</w:t>
            </w:r>
            <w:r w:rsidR="00FE1775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42" w:type="pct"/>
            <w:vAlign w:val="bottom"/>
          </w:tcPr>
          <w:p w:rsidR="00FE1775" w:rsidRPr="005862C7" w:rsidRDefault="00D63164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36</w:t>
            </w:r>
            <w:r w:rsidR="00A864A1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13" w:type="pct"/>
            <w:vAlign w:val="bottom"/>
          </w:tcPr>
          <w:p w:rsidR="00FE1775" w:rsidRPr="005862C7" w:rsidRDefault="00D63164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</w:t>
            </w:r>
            <w:r w:rsidR="00A864A1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External Assets 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31</w:t>
            </w:r>
            <w:r w:rsidR="00171363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53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Abroad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</w:t>
            </w:r>
            <w:r w:rsidR="00171363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377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32" w:type="pct"/>
            <w:vAlign w:val="bottom"/>
          </w:tcPr>
          <w:p w:rsidR="00FE1775" w:rsidRPr="005862C7" w:rsidRDefault="00D63164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Portfolio Investments Abroad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</w:t>
            </w:r>
            <w:r w:rsidR="00FE1775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826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</w:t>
            </w:r>
            <w:r w:rsidR="00C17090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</w:t>
            </w:r>
            <w:r w:rsidR="00171363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2" w:type="pct"/>
            <w:vAlign w:val="bottom"/>
          </w:tcPr>
          <w:p w:rsidR="00FE1775" w:rsidRPr="005862C7" w:rsidRDefault="00A864A1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</w:t>
            </w:r>
            <w:r w:rsidR="00FE1775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862</w:t>
            </w:r>
          </w:p>
        </w:tc>
        <w:tc>
          <w:tcPr>
            <w:tcW w:w="542" w:type="pct"/>
            <w:vAlign w:val="bottom"/>
          </w:tcPr>
          <w:p w:rsidR="00FE1775" w:rsidRPr="005862C7" w:rsidRDefault="00D63164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13" w:type="pct"/>
            <w:vAlign w:val="bottom"/>
          </w:tcPr>
          <w:p w:rsidR="00FE1775" w:rsidRPr="005862C7" w:rsidRDefault="00D63164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Other Investments Abroad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4,</w:t>
            </w:r>
            <w:r w:rsidR="00171363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</w:t>
            </w:r>
            <w:r w:rsidR="00C17090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2" w:type="pct"/>
            <w:vAlign w:val="bottom"/>
          </w:tcPr>
          <w:p w:rsidR="00FE1775" w:rsidRPr="005862C7" w:rsidRDefault="00A864A1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</w:t>
            </w:r>
            <w:r w:rsidR="00FE1775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789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Align w:val="bottom"/>
          </w:tcPr>
          <w:p w:rsidR="00FE1775" w:rsidRPr="005862C7" w:rsidRDefault="00A864A1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Of which: currency and deposits**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739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Align w:val="bottom"/>
          </w:tcPr>
          <w:p w:rsidR="00FE1775" w:rsidRPr="005862C7" w:rsidRDefault="00A864A1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Reserve Assets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5,</w:t>
            </w:r>
            <w:r w:rsidR="00491F13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</w:t>
            </w:r>
            <w:r w:rsidR="00171363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1,0</w:t>
            </w:r>
            <w:r w:rsidR="00171363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</w:t>
            </w:r>
            <w:r w:rsidR="00171363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32" w:type="pct"/>
            <w:vAlign w:val="bottom"/>
          </w:tcPr>
          <w:p w:rsidR="00FE1775" w:rsidRPr="005862C7" w:rsidRDefault="00A864A1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</w:t>
            </w:r>
            <w:r w:rsidR="00D63164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</w:t>
            </w:r>
            <w:r w:rsidR="00D63164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</w:t>
            </w:r>
            <w:r w:rsidR="00A864A1"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3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Foreign Liabilities 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2,7</w:t>
            </w:r>
            <w:r w:rsidR="00171363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</w:t>
            </w:r>
            <w:r w:rsidR="00171363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746</w:t>
            </w:r>
          </w:p>
        </w:tc>
        <w:tc>
          <w:tcPr>
            <w:tcW w:w="532" w:type="pct"/>
            <w:vAlign w:val="bottom"/>
          </w:tcPr>
          <w:p w:rsidR="00FE1775" w:rsidRPr="005862C7" w:rsidRDefault="00C17090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in Palestine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</w:t>
            </w:r>
            <w:r w:rsidR="00171363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pct"/>
            <w:vAlign w:val="bottom"/>
          </w:tcPr>
          <w:p w:rsidR="00FE1775" w:rsidRPr="005862C7" w:rsidRDefault="00171363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532" w:type="pct"/>
            <w:vAlign w:val="bottom"/>
          </w:tcPr>
          <w:p w:rsidR="00FE1775" w:rsidRPr="005862C7" w:rsidRDefault="00C17090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Portfolio Investments in Palestine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1B6CC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</w:t>
            </w:r>
            <w:r w:rsidR="00FE1775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045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2" w:type="pct"/>
            <w:vAlign w:val="bottom"/>
          </w:tcPr>
          <w:p w:rsidR="00FE1775" w:rsidRPr="005862C7" w:rsidRDefault="00C17090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</w:t>
            </w:r>
            <w:r w:rsidR="00D63164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3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Other Investments in Palestine: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</w:t>
            </w:r>
            <w:r w:rsidR="001B6CC5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450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2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</w:t>
            </w:r>
            <w:r w:rsidR="00D63164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3" w:type="pct"/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5" w:type="pct"/>
            <w:vAlign w:val="center"/>
          </w:tcPr>
          <w:p w:rsidR="00FE1775" w:rsidRPr="005862C7" w:rsidRDefault="00FE1775" w:rsidP="00B6004F">
            <w:pPr>
              <w:spacing w:line="0" w:lineRule="atLeast"/>
              <w:rPr>
                <w:rFonts w:asciiTheme="majorBidi" w:hAnsiTheme="majorBidi" w:cstheme="majorBidi"/>
                <w:b w:val="0"/>
                <w:b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Of which: loans from abroad</w:t>
            </w:r>
          </w:p>
        </w:tc>
      </w:tr>
      <w:tr w:rsidR="00FE1775" w:rsidRPr="005862C7" w:rsidTr="005862C7">
        <w:trPr>
          <w:trHeight w:val="284"/>
          <w:jc w:val="center"/>
        </w:trPr>
        <w:tc>
          <w:tcPr>
            <w:tcW w:w="462" w:type="pct"/>
            <w:tcBorders>
              <w:bottom w:val="single" w:sz="4" w:space="0" w:color="auto"/>
            </w:tcBorders>
            <w:vAlign w:val="bottom"/>
          </w:tcPr>
          <w:p w:rsidR="00FE1775" w:rsidRPr="005862C7" w:rsidRDefault="00491F13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</w:t>
            </w:r>
            <w:r w:rsidR="001B6CC5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FE1775" w:rsidRPr="005862C7" w:rsidRDefault="00C17090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</w:t>
            </w:r>
            <w:r w:rsidR="00A864A1"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bottom"/>
          </w:tcPr>
          <w:p w:rsidR="00FE1775" w:rsidRPr="005862C7" w:rsidRDefault="00FE1775" w:rsidP="005862C7">
            <w:pPr>
              <w:bidi/>
              <w:ind w:firstLineChars="100" w:firstLine="22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vAlign w:val="center"/>
          </w:tcPr>
          <w:p w:rsidR="00FE1775" w:rsidRPr="005862C7" w:rsidRDefault="00FE1775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Of which: currency and deposits***</w:t>
            </w:r>
          </w:p>
        </w:tc>
      </w:tr>
    </w:tbl>
    <w:p w:rsidR="00DB5004" w:rsidRPr="003F4147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5862C7" w:rsidRDefault="00DB5004" w:rsidP="005862C7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5862C7">
        <w:rPr>
          <w:rFonts w:asciiTheme="majorBidi" w:hAnsiTheme="majorBidi" w:cstheme="majorBidi"/>
          <w:i w:val="0"/>
          <w:iCs/>
          <w:sz w:val="20"/>
          <w:szCs w:val="20"/>
        </w:rPr>
        <w:t>Notes</w:t>
      </w: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: </w:t>
      </w:r>
    </w:p>
    <w:p w:rsidR="00DB5004" w:rsidRPr="005862C7" w:rsidRDefault="00DB5004" w:rsidP="005862C7">
      <w:pPr>
        <w:pStyle w:val="ListParagraph"/>
        <w:spacing w:line="0" w:lineRule="atLeast"/>
        <w:ind w:left="0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in the above table are close to the nearest integer.</w:t>
      </w:r>
    </w:p>
    <w:p w:rsidR="00DB5004" w:rsidRPr="005862C7" w:rsidRDefault="00DB5004" w:rsidP="005862C7">
      <w:pPr>
        <w:pStyle w:val="ListParagraph"/>
        <w:spacing w:line="0" w:lineRule="atLeast"/>
        <w:ind w:left="0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does not include the value of land owned by non-residents.</w:t>
      </w:r>
    </w:p>
    <w:p w:rsidR="00DB5004" w:rsidRPr="005862C7" w:rsidRDefault="00DB5004" w:rsidP="005862C7">
      <w:pPr>
        <w:spacing w:line="0" w:lineRule="atLeast"/>
        <w:ind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  <w:rtl/>
        </w:rPr>
      </w:pP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 International investment position (net): equals total external assets minus total foreign liabilities.</w:t>
      </w:r>
    </w:p>
    <w:p w:rsidR="00DB5004" w:rsidRPr="005862C7" w:rsidRDefault="00DB5004" w:rsidP="005862C7">
      <w:pPr>
        <w:spacing w:line="0" w:lineRule="atLeast"/>
        <w:ind w:right="-45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 Currency and deposits: Includ</w:t>
      </w:r>
      <w:r w:rsidR="00840C31"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</w:t>
      </w: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</w:t>
      </w:r>
      <w:r w:rsidR="00112F30"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the </w:t>
      </w: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residents deposits in banks abroad, in addition to foreign </w:t>
      </w:r>
      <w:r w:rsidR="00AF576D"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exchange</w:t>
      </w:r>
      <w:r w:rsidR="00112F30"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in Palestinian </w:t>
      </w: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economy.</w:t>
      </w:r>
    </w:p>
    <w:p w:rsidR="00DB5004" w:rsidRPr="005862C7" w:rsidRDefault="00DB5004" w:rsidP="005862C7">
      <w:pPr>
        <w:spacing w:line="0" w:lineRule="atLeast"/>
        <w:ind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5862C7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*** Currency and deposits: Include the deposits of non-residents deposited in resident banks.</w:t>
      </w:r>
    </w:p>
    <w:p w:rsidR="005862C7" w:rsidRDefault="005862C7" w:rsidP="00B6004F">
      <w:pPr>
        <w:contextualSpacing/>
        <w:jc w:val="center"/>
        <w:rPr>
          <w:rFonts w:asciiTheme="majorBidi" w:hAnsiTheme="majorBidi" w:cstheme="majorBidi"/>
          <w:i w:val="0"/>
          <w:iCs/>
        </w:rPr>
      </w:pPr>
    </w:p>
    <w:p w:rsidR="00DB5004" w:rsidRPr="005862C7" w:rsidRDefault="00DB5004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Table 2: Gross External Debt </w:t>
      </w:r>
      <w:r w:rsidR="00B6004F"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Position </w:t>
      </w: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on Palestine, at the </w:t>
      </w:r>
      <w:r w:rsidR="00B6004F"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End </w:t>
      </w: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</w:p>
    <w:p w:rsidR="00DB5004" w:rsidRPr="005862C7" w:rsidRDefault="00885814" w:rsidP="00C50347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5862C7">
        <w:rPr>
          <w:rFonts w:asciiTheme="majorBidi" w:hAnsiTheme="majorBidi" w:cstheme="majorBidi"/>
          <w:i w:val="0"/>
          <w:iCs/>
          <w:sz w:val="26"/>
          <w:szCs w:val="26"/>
        </w:rPr>
        <w:t>Fourth</w:t>
      </w:r>
      <w:r w:rsidR="001570B7"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="00B92512" w:rsidRPr="005862C7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250FBE" w:rsidRPr="005862C7">
        <w:rPr>
          <w:rFonts w:asciiTheme="majorBidi" w:hAnsiTheme="majorBidi" w:cstheme="majorBidi"/>
          <w:i w:val="0"/>
          <w:iCs/>
          <w:sz w:val="26"/>
          <w:szCs w:val="26"/>
        </w:rPr>
        <w:t>s</w:t>
      </w:r>
      <w:r w:rsidR="00D34D3F" w:rsidRPr="005862C7">
        <w:rPr>
          <w:rFonts w:asciiTheme="majorBidi" w:hAnsiTheme="majorBidi" w:cstheme="majorBidi"/>
          <w:i w:val="0"/>
          <w:iCs/>
          <w:sz w:val="26"/>
          <w:szCs w:val="26"/>
        </w:rPr>
        <w:t>, 201</w:t>
      </w:r>
      <w:r w:rsidR="00F77963" w:rsidRPr="005862C7">
        <w:rPr>
          <w:rFonts w:asciiTheme="majorBidi" w:hAnsiTheme="majorBidi" w:cstheme="majorBidi"/>
          <w:i w:val="0"/>
          <w:iCs/>
          <w:sz w:val="26"/>
          <w:szCs w:val="26"/>
        </w:rPr>
        <w:t>9</w:t>
      </w:r>
      <w:r w:rsidR="00C50347" w:rsidRPr="005862C7">
        <w:rPr>
          <w:rFonts w:asciiTheme="majorBidi" w:hAnsiTheme="majorBidi" w:cstheme="majorBidi"/>
          <w:i w:val="0"/>
          <w:iCs/>
          <w:sz w:val="26"/>
          <w:szCs w:val="26"/>
        </w:rPr>
        <w:t xml:space="preserve"> and First Quarters, 2020</w:t>
      </w:r>
    </w:p>
    <w:p w:rsidR="00DB5004" w:rsidRPr="005862C7" w:rsidRDefault="00DB5004" w:rsidP="00DB5004">
      <w:pPr>
        <w:contextualSpacing/>
        <w:rPr>
          <w:rFonts w:asciiTheme="majorBidi" w:hAnsiTheme="majorBidi" w:cstheme="majorBidi"/>
          <w:i w:val="0"/>
          <w:iCs/>
        </w:rPr>
      </w:pPr>
    </w:p>
    <w:p w:rsidR="00DB5004" w:rsidRPr="00CB4B02" w:rsidRDefault="00CB4B02" w:rsidP="00DB5004">
      <w:pPr>
        <w:ind w:left="-284" w:right="3967" w:firstLine="284"/>
        <w:contextualSpacing/>
        <w:rPr>
          <w:rFonts w:asciiTheme="majorBidi" w:hAnsiTheme="majorBidi" w:cstheme="majorBidi"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t xml:space="preserve">  </w:t>
      </w:r>
      <w:r w:rsidR="00DB5004" w:rsidRPr="00CB4B02">
        <w:rPr>
          <w:rFonts w:asciiTheme="majorBidi" w:hAnsiTheme="majorBidi" w:cstheme="majorBidi"/>
          <w:i w:val="0"/>
          <w:iCs/>
        </w:rPr>
        <w:t xml:space="preserve">Value in million USD   </w:t>
      </w:r>
    </w:p>
    <w:tbl>
      <w:tblPr>
        <w:tblpPr w:leftFromText="180" w:rightFromText="180" w:vertAnchor="text" w:tblpXSpec="center" w:tblpY="1"/>
        <w:tblOverlap w:val="never"/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2572"/>
        <w:gridCol w:w="4499"/>
      </w:tblGrid>
      <w:tr w:rsidR="00E741B1" w:rsidRPr="005862C7" w:rsidTr="005862C7">
        <w:trPr>
          <w:trHeight w:val="284"/>
        </w:trPr>
        <w:tc>
          <w:tcPr>
            <w:tcW w:w="1319" w:type="pct"/>
            <w:vAlign w:val="center"/>
          </w:tcPr>
          <w:p w:rsidR="00E741B1" w:rsidRPr="005862C7" w:rsidRDefault="00E741B1" w:rsidP="00E741B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Stock at the end of the  First Quarter 2020</w:t>
            </w:r>
          </w:p>
        </w:tc>
        <w:tc>
          <w:tcPr>
            <w:tcW w:w="1339" w:type="pct"/>
            <w:vAlign w:val="center"/>
          </w:tcPr>
          <w:p w:rsidR="00E741B1" w:rsidRPr="005862C7" w:rsidRDefault="00E741B1" w:rsidP="00E741B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Stock at the end of the  Fourth Quarter 2019</w:t>
            </w:r>
          </w:p>
        </w:tc>
        <w:tc>
          <w:tcPr>
            <w:tcW w:w="2343" w:type="pct"/>
            <w:vAlign w:val="center"/>
          </w:tcPr>
          <w:p w:rsidR="00E741B1" w:rsidRPr="005862C7" w:rsidRDefault="00E741B1" w:rsidP="00E741B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Economic Sector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1,290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1,218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General Government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152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156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</w:t>
            </w: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</w:t>
            </w: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138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1062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719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706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321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306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398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400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36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36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Direct Investment: lending between affiliated companies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Debt liabilities to affiliated companies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5862C7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Debt liabilities to direct investors</w:t>
            </w:r>
          </w:p>
        </w:tc>
      </w:tr>
      <w:tr w:rsidR="00E741B1" w:rsidRPr="005862C7" w:rsidTr="005862C7">
        <w:trPr>
          <w:trHeight w:val="284"/>
        </w:trPr>
        <w:tc>
          <w:tcPr>
            <w:tcW w:w="131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2,051</w:t>
            </w:r>
          </w:p>
        </w:tc>
        <w:tc>
          <w:tcPr>
            <w:tcW w:w="1339" w:type="pct"/>
            <w:vAlign w:val="bottom"/>
          </w:tcPr>
          <w:p w:rsidR="00E741B1" w:rsidRPr="005862C7" w:rsidRDefault="00E741B1" w:rsidP="00E741B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62C7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1,966</w:t>
            </w:r>
          </w:p>
        </w:tc>
        <w:tc>
          <w:tcPr>
            <w:tcW w:w="2343" w:type="pct"/>
            <w:vAlign w:val="bottom"/>
          </w:tcPr>
          <w:p w:rsidR="00E741B1" w:rsidRPr="005862C7" w:rsidRDefault="00E741B1" w:rsidP="00E741B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5862C7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Gross External Debt Position</w:t>
            </w:r>
          </w:p>
        </w:tc>
      </w:tr>
    </w:tbl>
    <w:p w:rsidR="00DB5004" w:rsidRPr="0053342F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91DCF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F2693C" w:rsidRPr="00F91DCF" w:rsidSect="00563108">
      <w:headerReference w:type="default" r:id="rId8"/>
      <w:footerReference w:type="default" r:id="rId9"/>
      <w:pgSz w:w="11907" w:h="16839" w:code="9"/>
      <w:pgMar w:top="720" w:right="1134" w:bottom="72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C0" w:rsidRDefault="00302DC0" w:rsidP="00885BEC">
      <w:r>
        <w:separator/>
      </w:r>
    </w:p>
  </w:endnote>
  <w:endnote w:type="continuationSeparator" w:id="0">
    <w:p w:rsidR="00302DC0" w:rsidRDefault="00302DC0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C5" w:rsidRDefault="007926AF" w:rsidP="00146AE4">
    <w:pPr>
      <w:pStyle w:val="Footer"/>
      <w:tabs>
        <w:tab w:val="clear" w:pos="9360"/>
      </w:tabs>
      <w:jc w:val="center"/>
      <w:rPr>
        <w:rFonts w:asciiTheme="majorBidi" w:hAnsiTheme="majorBidi" w:cstheme="majorBidi"/>
        <w:bCs/>
        <w:i w:val="0"/>
        <w:sz w:val="20"/>
        <w:szCs w:val="20"/>
      </w:rPr>
    </w:pPr>
    <w:sdt>
      <w:sdtPr>
        <w:id w:val="11285779"/>
        <w:docPartObj>
          <w:docPartGallery w:val="Page Numbers (Bottom of Page)"/>
          <w:docPartUnique/>
        </w:docPartObj>
      </w:sdtPr>
      <w:sdtContent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4221C5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221395">
          <w:rPr>
            <w:b w:val="0"/>
            <w:bCs/>
            <w:i w:val="0"/>
            <w:iCs/>
            <w:noProof/>
            <w:sz w:val="20"/>
            <w:szCs w:val="20"/>
          </w:rPr>
          <w:t>2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C0" w:rsidRDefault="00302DC0" w:rsidP="00885BEC">
      <w:r>
        <w:separator/>
      </w:r>
    </w:p>
  </w:footnote>
  <w:footnote w:type="continuationSeparator" w:id="0">
    <w:p w:rsidR="00302DC0" w:rsidRDefault="00302DC0" w:rsidP="0088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D9" w:rsidRPr="000726B5" w:rsidRDefault="00C321D9" w:rsidP="005862C7">
    <w:pPr>
      <w:pStyle w:val="Header"/>
      <w:tabs>
        <w:tab w:val="left" w:pos="3709"/>
      </w:tabs>
      <w:rPr>
        <w:b w:val="0"/>
        <w:bCs/>
        <w:i w:val="0"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59B9"/>
    <w:rsid w:val="00006227"/>
    <w:rsid w:val="000072F1"/>
    <w:rsid w:val="000110B2"/>
    <w:rsid w:val="000115CC"/>
    <w:rsid w:val="0001231A"/>
    <w:rsid w:val="000124A7"/>
    <w:rsid w:val="00013A84"/>
    <w:rsid w:val="000148EC"/>
    <w:rsid w:val="00014C69"/>
    <w:rsid w:val="00022F55"/>
    <w:rsid w:val="00023916"/>
    <w:rsid w:val="00023F63"/>
    <w:rsid w:val="0002627D"/>
    <w:rsid w:val="000271AF"/>
    <w:rsid w:val="00030C2F"/>
    <w:rsid w:val="00032DB0"/>
    <w:rsid w:val="00032E32"/>
    <w:rsid w:val="00035642"/>
    <w:rsid w:val="00037C5E"/>
    <w:rsid w:val="00040BCA"/>
    <w:rsid w:val="00041F63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2644"/>
    <w:rsid w:val="000726B5"/>
    <w:rsid w:val="00077AA7"/>
    <w:rsid w:val="00080709"/>
    <w:rsid w:val="00080765"/>
    <w:rsid w:val="00081BE1"/>
    <w:rsid w:val="00085209"/>
    <w:rsid w:val="00090534"/>
    <w:rsid w:val="00090697"/>
    <w:rsid w:val="00090A98"/>
    <w:rsid w:val="00091661"/>
    <w:rsid w:val="00092663"/>
    <w:rsid w:val="00093458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2406"/>
    <w:rsid w:val="000B4B6A"/>
    <w:rsid w:val="000B638F"/>
    <w:rsid w:val="000B66F2"/>
    <w:rsid w:val="000C0673"/>
    <w:rsid w:val="000C0F4B"/>
    <w:rsid w:val="000C156F"/>
    <w:rsid w:val="000C2CD8"/>
    <w:rsid w:val="000C30EC"/>
    <w:rsid w:val="000C3870"/>
    <w:rsid w:val="000D0B86"/>
    <w:rsid w:val="000D134F"/>
    <w:rsid w:val="000D36E9"/>
    <w:rsid w:val="000D4C84"/>
    <w:rsid w:val="000E57DB"/>
    <w:rsid w:val="000E5A08"/>
    <w:rsid w:val="000E6DC2"/>
    <w:rsid w:val="000E76D1"/>
    <w:rsid w:val="000E77D9"/>
    <w:rsid w:val="000F2F95"/>
    <w:rsid w:val="000F449F"/>
    <w:rsid w:val="000F4C18"/>
    <w:rsid w:val="000F6AD3"/>
    <w:rsid w:val="000F6F0F"/>
    <w:rsid w:val="000F7730"/>
    <w:rsid w:val="00100B52"/>
    <w:rsid w:val="0011238A"/>
    <w:rsid w:val="00112F30"/>
    <w:rsid w:val="00122B0F"/>
    <w:rsid w:val="001243F4"/>
    <w:rsid w:val="001253D2"/>
    <w:rsid w:val="00126E34"/>
    <w:rsid w:val="00130495"/>
    <w:rsid w:val="00130DFC"/>
    <w:rsid w:val="00131018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3718"/>
    <w:rsid w:val="0014579C"/>
    <w:rsid w:val="00146AE4"/>
    <w:rsid w:val="0014725E"/>
    <w:rsid w:val="0014777A"/>
    <w:rsid w:val="00151B5B"/>
    <w:rsid w:val="00151C3B"/>
    <w:rsid w:val="001570B7"/>
    <w:rsid w:val="001573C2"/>
    <w:rsid w:val="00157479"/>
    <w:rsid w:val="001609E2"/>
    <w:rsid w:val="00161954"/>
    <w:rsid w:val="00162E38"/>
    <w:rsid w:val="001646F7"/>
    <w:rsid w:val="00170276"/>
    <w:rsid w:val="00171363"/>
    <w:rsid w:val="00181A2B"/>
    <w:rsid w:val="001823A8"/>
    <w:rsid w:val="00182A59"/>
    <w:rsid w:val="0018395F"/>
    <w:rsid w:val="001844CA"/>
    <w:rsid w:val="0018465B"/>
    <w:rsid w:val="001861B2"/>
    <w:rsid w:val="001862D7"/>
    <w:rsid w:val="00190B3C"/>
    <w:rsid w:val="001933C3"/>
    <w:rsid w:val="001951A5"/>
    <w:rsid w:val="0019579D"/>
    <w:rsid w:val="00196708"/>
    <w:rsid w:val="001A0774"/>
    <w:rsid w:val="001A3990"/>
    <w:rsid w:val="001A75AC"/>
    <w:rsid w:val="001B0FB0"/>
    <w:rsid w:val="001B1110"/>
    <w:rsid w:val="001B2151"/>
    <w:rsid w:val="001B2404"/>
    <w:rsid w:val="001B35EB"/>
    <w:rsid w:val="001B4D6A"/>
    <w:rsid w:val="001B6CC5"/>
    <w:rsid w:val="001B7265"/>
    <w:rsid w:val="001C1307"/>
    <w:rsid w:val="001C161B"/>
    <w:rsid w:val="001C2180"/>
    <w:rsid w:val="001C6697"/>
    <w:rsid w:val="001C7022"/>
    <w:rsid w:val="001C7347"/>
    <w:rsid w:val="001D3642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06D8"/>
    <w:rsid w:val="00211E0E"/>
    <w:rsid w:val="00221395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4E71"/>
    <w:rsid w:val="00246BC1"/>
    <w:rsid w:val="00250FBE"/>
    <w:rsid w:val="00251A59"/>
    <w:rsid w:val="0025216F"/>
    <w:rsid w:val="002523D4"/>
    <w:rsid w:val="002528CB"/>
    <w:rsid w:val="00254E95"/>
    <w:rsid w:val="00254FB5"/>
    <w:rsid w:val="00260883"/>
    <w:rsid w:val="0026165F"/>
    <w:rsid w:val="00262AC2"/>
    <w:rsid w:val="00264A2F"/>
    <w:rsid w:val="00265939"/>
    <w:rsid w:val="00267601"/>
    <w:rsid w:val="00270B06"/>
    <w:rsid w:val="00271538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1980"/>
    <w:rsid w:val="002D2328"/>
    <w:rsid w:val="002D40C1"/>
    <w:rsid w:val="002D5FC8"/>
    <w:rsid w:val="002D7608"/>
    <w:rsid w:val="002E060B"/>
    <w:rsid w:val="002E0670"/>
    <w:rsid w:val="002E20F7"/>
    <w:rsid w:val="002E22CA"/>
    <w:rsid w:val="002E241A"/>
    <w:rsid w:val="002E5E97"/>
    <w:rsid w:val="002E6591"/>
    <w:rsid w:val="002E710B"/>
    <w:rsid w:val="002F1E39"/>
    <w:rsid w:val="002F51DB"/>
    <w:rsid w:val="002F6F48"/>
    <w:rsid w:val="00300B52"/>
    <w:rsid w:val="00301F14"/>
    <w:rsid w:val="00302DC0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2DEF"/>
    <w:rsid w:val="00322FF5"/>
    <w:rsid w:val="00325B26"/>
    <w:rsid w:val="003265DF"/>
    <w:rsid w:val="003267A8"/>
    <w:rsid w:val="003312A1"/>
    <w:rsid w:val="00334D86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229"/>
    <w:rsid w:val="00360975"/>
    <w:rsid w:val="003623FA"/>
    <w:rsid w:val="00364DE2"/>
    <w:rsid w:val="003650EA"/>
    <w:rsid w:val="003713EE"/>
    <w:rsid w:val="00371BAA"/>
    <w:rsid w:val="003742D1"/>
    <w:rsid w:val="00376039"/>
    <w:rsid w:val="00376DA0"/>
    <w:rsid w:val="00377817"/>
    <w:rsid w:val="0038255A"/>
    <w:rsid w:val="00382E41"/>
    <w:rsid w:val="003838AD"/>
    <w:rsid w:val="0038458B"/>
    <w:rsid w:val="00385033"/>
    <w:rsid w:val="003857CD"/>
    <w:rsid w:val="00387A29"/>
    <w:rsid w:val="00390435"/>
    <w:rsid w:val="003916ED"/>
    <w:rsid w:val="00391B60"/>
    <w:rsid w:val="00394B30"/>
    <w:rsid w:val="00397CC6"/>
    <w:rsid w:val="003A1748"/>
    <w:rsid w:val="003A3E2C"/>
    <w:rsid w:val="003A7091"/>
    <w:rsid w:val="003B0C69"/>
    <w:rsid w:val="003B2285"/>
    <w:rsid w:val="003B4EFD"/>
    <w:rsid w:val="003B56C9"/>
    <w:rsid w:val="003C00B9"/>
    <w:rsid w:val="003C22E0"/>
    <w:rsid w:val="003C4844"/>
    <w:rsid w:val="003C5966"/>
    <w:rsid w:val="003C64EA"/>
    <w:rsid w:val="003D1AD0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21C5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4FAC"/>
    <w:rsid w:val="00462347"/>
    <w:rsid w:val="004624A9"/>
    <w:rsid w:val="004636B1"/>
    <w:rsid w:val="00463EB9"/>
    <w:rsid w:val="00463F73"/>
    <w:rsid w:val="0046412B"/>
    <w:rsid w:val="0046623B"/>
    <w:rsid w:val="00466329"/>
    <w:rsid w:val="00466417"/>
    <w:rsid w:val="004706FF"/>
    <w:rsid w:val="00470EB2"/>
    <w:rsid w:val="0047210C"/>
    <w:rsid w:val="00472299"/>
    <w:rsid w:val="004722F3"/>
    <w:rsid w:val="00473BE3"/>
    <w:rsid w:val="00482097"/>
    <w:rsid w:val="00483A1A"/>
    <w:rsid w:val="00485E88"/>
    <w:rsid w:val="00486C03"/>
    <w:rsid w:val="0048744C"/>
    <w:rsid w:val="004908D8"/>
    <w:rsid w:val="00491538"/>
    <w:rsid w:val="00491F13"/>
    <w:rsid w:val="004920F5"/>
    <w:rsid w:val="00492AFA"/>
    <w:rsid w:val="00494846"/>
    <w:rsid w:val="00494AD4"/>
    <w:rsid w:val="004954C4"/>
    <w:rsid w:val="0049585A"/>
    <w:rsid w:val="00496B15"/>
    <w:rsid w:val="004A6FCF"/>
    <w:rsid w:val="004B46C3"/>
    <w:rsid w:val="004B5431"/>
    <w:rsid w:val="004B6088"/>
    <w:rsid w:val="004B65A3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AAC"/>
    <w:rsid w:val="004F4E08"/>
    <w:rsid w:val="004F701E"/>
    <w:rsid w:val="00501ACB"/>
    <w:rsid w:val="0050324C"/>
    <w:rsid w:val="00505632"/>
    <w:rsid w:val="00512E0F"/>
    <w:rsid w:val="00513BB5"/>
    <w:rsid w:val="0051707F"/>
    <w:rsid w:val="00526366"/>
    <w:rsid w:val="00530F49"/>
    <w:rsid w:val="005322B0"/>
    <w:rsid w:val="0053266C"/>
    <w:rsid w:val="00532EFB"/>
    <w:rsid w:val="0053622D"/>
    <w:rsid w:val="00544D08"/>
    <w:rsid w:val="00545118"/>
    <w:rsid w:val="00545C08"/>
    <w:rsid w:val="00550FEB"/>
    <w:rsid w:val="00552DE8"/>
    <w:rsid w:val="00553325"/>
    <w:rsid w:val="005540CE"/>
    <w:rsid w:val="00554D40"/>
    <w:rsid w:val="00557B46"/>
    <w:rsid w:val="00561D22"/>
    <w:rsid w:val="005622E7"/>
    <w:rsid w:val="00563108"/>
    <w:rsid w:val="005643D1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62C7"/>
    <w:rsid w:val="00587861"/>
    <w:rsid w:val="00590575"/>
    <w:rsid w:val="0059372F"/>
    <w:rsid w:val="00594133"/>
    <w:rsid w:val="00595820"/>
    <w:rsid w:val="005A05C8"/>
    <w:rsid w:val="005A4E76"/>
    <w:rsid w:val="005A622B"/>
    <w:rsid w:val="005B47E8"/>
    <w:rsid w:val="005B6A18"/>
    <w:rsid w:val="005C3F38"/>
    <w:rsid w:val="005C500B"/>
    <w:rsid w:val="005C63F0"/>
    <w:rsid w:val="005C6ACB"/>
    <w:rsid w:val="005C7213"/>
    <w:rsid w:val="005C7E82"/>
    <w:rsid w:val="005D0A4B"/>
    <w:rsid w:val="005D1897"/>
    <w:rsid w:val="005D32C1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101E4"/>
    <w:rsid w:val="00612242"/>
    <w:rsid w:val="00613DED"/>
    <w:rsid w:val="00616296"/>
    <w:rsid w:val="006162C8"/>
    <w:rsid w:val="006171D1"/>
    <w:rsid w:val="00617945"/>
    <w:rsid w:val="006211A1"/>
    <w:rsid w:val="006239FE"/>
    <w:rsid w:val="00623A01"/>
    <w:rsid w:val="0062406A"/>
    <w:rsid w:val="006251C6"/>
    <w:rsid w:val="00627303"/>
    <w:rsid w:val="00631A9E"/>
    <w:rsid w:val="00633411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7102F"/>
    <w:rsid w:val="00672923"/>
    <w:rsid w:val="00673220"/>
    <w:rsid w:val="006738B1"/>
    <w:rsid w:val="00681C63"/>
    <w:rsid w:val="006825EB"/>
    <w:rsid w:val="00682D89"/>
    <w:rsid w:val="006845AC"/>
    <w:rsid w:val="0068576E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46B3"/>
    <w:rsid w:val="006C4F86"/>
    <w:rsid w:val="006C5842"/>
    <w:rsid w:val="006C5ED3"/>
    <w:rsid w:val="006D24EE"/>
    <w:rsid w:val="006D4F2F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0C57"/>
    <w:rsid w:val="00734801"/>
    <w:rsid w:val="00737401"/>
    <w:rsid w:val="00741D4C"/>
    <w:rsid w:val="007440AA"/>
    <w:rsid w:val="0074518D"/>
    <w:rsid w:val="007456E6"/>
    <w:rsid w:val="00745DFE"/>
    <w:rsid w:val="00751556"/>
    <w:rsid w:val="007517CE"/>
    <w:rsid w:val="00753738"/>
    <w:rsid w:val="0075703F"/>
    <w:rsid w:val="00757248"/>
    <w:rsid w:val="00760B80"/>
    <w:rsid w:val="0076206A"/>
    <w:rsid w:val="007634C9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26AF"/>
    <w:rsid w:val="00795FD1"/>
    <w:rsid w:val="00796D97"/>
    <w:rsid w:val="00796DF9"/>
    <w:rsid w:val="007971E6"/>
    <w:rsid w:val="007A0A4E"/>
    <w:rsid w:val="007A0E58"/>
    <w:rsid w:val="007A67ED"/>
    <w:rsid w:val="007A705B"/>
    <w:rsid w:val="007B0F66"/>
    <w:rsid w:val="007B1CC5"/>
    <w:rsid w:val="007B438C"/>
    <w:rsid w:val="007C159F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0CD1"/>
    <w:rsid w:val="007E1BD9"/>
    <w:rsid w:val="007E2FA4"/>
    <w:rsid w:val="007E3CEC"/>
    <w:rsid w:val="007E6926"/>
    <w:rsid w:val="007E7CB3"/>
    <w:rsid w:val="007F046C"/>
    <w:rsid w:val="007F34C4"/>
    <w:rsid w:val="007F5618"/>
    <w:rsid w:val="007F5B60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08B7"/>
    <w:rsid w:val="00812AC2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1DB6"/>
    <w:rsid w:val="00883934"/>
    <w:rsid w:val="00883CEF"/>
    <w:rsid w:val="008840BB"/>
    <w:rsid w:val="00885814"/>
    <w:rsid w:val="00885BEC"/>
    <w:rsid w:val="00887793"/>
    <w:rsid w:val="00887DDA"/>
    <w:rsid w:val="0089649C"/>
    <w:rsid w:val="008975DB"/>
    <w:rsid w:val="008A1232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935"/>
    <w:rsid w:val="008C6098"/>
    <w:rsid w:val="008C658E"/>
    <w:rsid w:val="008D3918"/>
    <w:rsid w:val="008D3B4F"/>
    <w:rsid w:val="008D58D0"/>
    <w:rsid w:val="008D6DAC"/>
    <w:rsid w:val="008E5E96"/>
    <w:rsid w:val="008F1AEC"/>
    <w:rsid w:val="008F21DC"/>
    <w:rsid w:val="008F4CEC"/>
    <w:rsid w:val="008F5D45"/>
    <w:rsid w:val="00901CF7"/>
    <w:rsid w:val="00902456"/>
    <w:rsid w:val="0090255C"/>
    <w:rsid w:val="009026ED"/>
    <w:rsid w:val="00902A6A"/>
    <w:rsid w:val="00904219"/>
    <w:rsid w:val="00906711"/>
    <w:rsid w:val="00910D26"/>
    <w:rsid w:val="00911E2C"/>
    <w:rsid w:val="00914274"/>
    <w:rsid w:val="00915218"/>
    <w:rsid w:val="00915AC3"/>
    <w:rsid w:val="00917480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36B96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841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C33E4"/>
    <w:rsid w:val="009D0085"/>
    <w:rsid w:val="009D1130"/>
    <w:rsid w:val="009D3211"/>
    <w:rsid w:val="009D3B48"/>
    <w:rsid w:val="009D486A"/>
    <w:rsid w:val="009D4935"/>
    <w:rsid w:val="009D56B2"/>
    <w:rsid w:val="009D5850"/>
    <w:rsid w:val="009D6BA3"/>
    <w:rsid w:val="009E183D"/>
    <w:rsid w:val="009E359D"/>
    <w:rsid w:val="009E365A"/>
    <w:rsid w:val="009E4139"/>
    <w:rsid w:val="009E531E"/>
    <w:rsid w:val="009E5D63"/>
    <w:rsid w:val="009E5EFA"/>
    <w:rsid w:val="009E617A"/>
    <w:rsid w:val="009E6C02"/>
    <w:rsid w:val="009E6F8A"/>
    <w:rsid w:val="009F0BD8"/>
    <w:rsid w:val="009F2EF7"/>
    <w:rsid w:val="009F6862"/>
    <w:rsid w:val="00A0261D"/>
    <w:rsid w:val="00A05211"/>
    <w:rsid w:val="00A071CF"/>
    <w:rsid w:val="00A11EF4"/>
    <w:rsid w:val="00A13EA4"/>
    <w:rsid w:val="00A14C59"/>
    <w:rsid w:val="00A17436"/>
    <w:rsid w:val="00A22356"/>
    <w:rsid w:val="00A23C3A"/>
    <w:rsid w:val="00A24A69"/>
    <w:rsid w:val="00A259C6"/>
    <w:rsid w:val="00A2669F"/>
    <w:rsid w:val="00A30E49"/>
    <w:rsid w:val="00A32B2A"/>
    <w:rsid w:val="00A32FAD"/>
    <w:rsid w:val="00A34663"/>
    <w:rsid w:val="00A3567B"/>
    <w:rsid w:val="00A36B9C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3B3E"/>
    <w:rsid w:val="00A84C9F"/>
    <w:rsid w:val="00A85A9D"/>
    <w:rsid w:val="00A86274"/>
    <w:rsid w:val="00A864A1"/>
    <w:rsid w:val="00A869C4"/>
    <w:rsid w:val="00A87406"/>
    <w:rsid w:val="00A92509"/>
    <w:rsid w:val="00A93623"/>
    <w:rsid w:val="00A959EE"/>
    <w:rsid w:val="00A96BFE"/>
    <w:rsid w:val="00AA021F"/>
    <w:rsid w:val="00AA1DB3"/>
    <w:rsid w:val="00AA3270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409D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10A3"/>
    <w:rsid w:val="00B43628"/>
    <w:rsid w:val="00B442CF"/>
    <w:rsid w:val="00B47E25"/>
    <w:rsid w:val="00B5657B"/>
    <w:rsid w:val="00B57F82"/>
    <w:rsid w:val="00B6004F"/>
    <w:rsid w:val="00B63C24"/>
    <w:rsid w:val="00B64638"/>
    <w:rsid w:val="00B64C52"/>
    <w:rsid w:val="00B65CDD"/>
    <w:rsid w:val="00B7016D"/>
    <w:rsid w:val="00B7305E"/>
    <w:rsid w:val="00B75768"/>
    <w:rsid w:val="00B81942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39E1"/>
    <w:rsid w:val="00BE7AFD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090"/>
    <w:rsid w:val="00C178DF"/>
    <w:rsid w:val="00C20472"/>
    <w:rsid w:val="00C21CA5"/>
    <w:rsid w:val="00C24535"/>
    <w:rsid w:val="00C256DB"/>
    <w:rsid w:val="00C321D9"/>
    <w:rsid w:val="00C33D58"/>
    <w:rsid w:val="00C36857"/>
    <w:rsid w:val="00C36978"/>
    <w:rsid w:val="00C41CBB"/>
    <w:rsid w:val="00C443A9"/>
    <w:rsid w:val="00C46578"/>
    <w:rsid w:val="00C46679"/>
    <w:rsid w:val="00C46856"/>
    <w:rsid w:val="00C50347"/>
    <w:rsid w:val="00C51098"/>
    <w:rsid w:val="00C51EDB"/>
    <w:rsid w:val="00C51EE7"/>
    <w:rsid w:val="00C52220"/>
    <w:rsid w:val="00C5265D"/>
    <w:rsid w:val="00C5482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E8"/>
    <w:rsid w:val="00C92770"/>
    <w:rsid w:val="00C9485F"/>
    <w:rsid w:val="00C95AD7"/>
    <w:rsid w:val="00C95F13"/>
    <w:rsid w:val="00CA21A4"/>
    <w:rsid w:val="00CA323C"/>
    <w:rsid w:val="00CA332B"/>
    <w:rsid w:val="00CA3332"/>
    <w:rsid w:val="00CA3918"/>
    <w:rsid w:val="00CA3989"/>
    <w:rsid w:val="00CA3E44"/>
    <w:rsid w:val="00CA74CE"/>
    <w:rsid w:val="00CB1059"/>
    <w:rsid w:val="00CB377E"/>
    <w:rsid w:val="00CB3F93"/>
    <w:rsid w:val="00CB4298"/>
    <w:rsid w:val="00CB4B02"/>
    <w:rsid w:val="00CB51E9"/>
    <w:rsid w:val="00CB69DF"/>
    <w:rsid w:val="00CB721E"/>
    <w:rsid w:val="00CB7601"/>
    <w:rsid w:val="00CC2528"/>
    <w:rsid w:val="00CC3528"/>
    <w:rsid w:val="00CC3DA4"/>
    <w:rsid w:val="00CC4912"/>
    <w:rsid w:val="00CC53C1"/>
    <w:rsid w:val="00CD132E"/>
    <w:rsid w:val="00CE0208"/>
    <w:rsid w:val="00CE0DC1"/>
    <w:rsid w:val="00CE1143"/>
    <w:rsid w:val="00CE3CDD"/>
    <w:rsid w:val="00CE5EB9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12348"/>
    <w:rsid w:val="00D13112"/>
    <w:rsid w:val="00D13188"/>
    <w:rsid w:val="00D13AE4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27D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5E68"/>
    <w:rsid w:val="00D56E3B"/>
    <w:rsid w:val="00D57892"/>
    <w:rsid w:val="00D63164"/>
    <w:rsid w:val="00D6597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2BC8"/>
    <w:rsid w:val="00D83E2F"/>
    <w:rsid w:val="00D8421E"/>
    <w:rsid w:val="00D8757B"/>
    <w:rsid w:val="00D9038B"/>
    <w:rsid w:val="00D923AD"/>
    <w:rsid w:val="00D9286F"/>
    <w:rsid w:val="00D93510"/>
    <w:rsid w:val="00D940CB"/>
    <w:rsid w:val="00D94609"/>
    <w:rsid w:val="00D94940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C196A"/>
    <w:rsid w:val="00DC1F91"/>
    <w:rsid w:val="00DC2E42"/>
    <w:rsid w:val="00DC5DC2"/>
    <w:rsid w:val="00DC7F13"/>
    <w:rsid w:val="00DD103D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3ABA"/>
    <w:rsid w:val="00DF62B2"/>
    <w:rsid w:val="00E007BE"/>
    <w:rsid w:val="00E01FA1"/>
    <w:rsid w:val="00E02162"/>
    <w:rsid w:val="00E021E0"/>
    <w:rsid w:val="00E02DCB"/>
    <w:rsid w:val="00E05460"/>
    <w:rsid w:val="00E05B92"/>
    <w:rsid w:val="00E0676A"/>
    <w:rsid w:val="00E06BAE"/>
    <w:rsid w:val="00E077C7"/>
    <w:rsid w:val="00E117D4"/>
    <w:rsid w:val="00E12C55"/>
    <w:rsid w:val="00E16B47"/>
    <w:rsid w:val="00E16D3D"/>
    <w:rsid w:val="00E16D50"/>
    <w:rsid w:val="00E17FE9"/>
    <w:rsid w:val="00E30EFE"/>
    <w:rsid w:val="00E337E2"/>
    <w:rsid w:val="00E34380"/>
    <w:rsid w:val="00E34BA6"/>
    <w:rsid w:val="00E35DA1"/>
    <w:rsid w:val="00E36FA8"/>
    <w:rsid w:val="00E37CCD"/>
    <w:rsid w:val="00E4153C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1B1"/>
    <w:rsid w:val="00E74CB6"/>
    <w:rsid w:val="00E752B6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1EAF"/>
    <w:rsid w:val="00E92125"/>
    <w:rsid w:val="00E948E2"/>
    <w:rsid w:val="00E94F20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050"/>
    <w:rsid w:val="00EC580C"/>
    <w:rsid w:val="00EC6E9B"/>
    <w:rsid w:val="00EC7F16"/>
    <w:rsid w:val="00ED028B"/>
    <w:rsid w:val="00ED0711"/>
    <w:rsid w:val="00ED32C6"/>
    <w:rsid w:val="00ED3FCC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306"/>
    <w:rsid w:val="00F00BF5"/>
    <w:rsid w:val="00F03889"/>
    <w:rsid w:val="00F04D52"/>
    <w:rsid w:val="00F05F1C"/>
    <w:rsid w:val="00F108D7"/>
    <w:rsid w:val="00F111F6"/>
    <w:rsid w:val="00F12823"/>
    <w:rsid w:val="00F13F43"/>
    <w:rsid w:val="00F16F88"/>
    <w:rsid w:val="00F21843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77963"/>
    <w:rsid w:val="00F81583"/>
    <w:rsid w:val="00F82939"/>
    <w:rsid w:val="00F86A73"/>
    <w:rsid w:val="00F90043"/>
    <w:rsid w:val="00F91DCF"/>
    <w:rsid w:val="00F92240"/>
    <w:rsid w:val="00F932AC"/>
    <w:rsid w:val="00F957FD"/>
    <w:rsid w:val="00FA24A7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D4E2D"/>
    <w:rsid w:val="00FD50F5"/>
    <w:rsid w:val="00FD5154"/>
    <w:rsid w:val="00FD574D"/>
    <w:rsid w:val="00FD6A02"/>
    <w:rsid w:val="00FD7ED6"/>
    <w:rsid w:val="00FE1775"/>
    <w:rsid w:val="00FE268E"/>
    <w:rsid w:val="00FE2C16"/>
    <w:rsid w:val="00FE437C"/>
    <w:rsid w:val="00FE5702"/>
    <w:rsid w:val="00FE5EE0"/>
    <w:rsid w:val="00FE6EDE"/>
    <w:rsid w:val="00FE733F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764A-6F8A-46B6-B5FB-D5D1A5DB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loays</cp:lastModifiedBy>
  <cp:revision>10</cp:revision>
  <cp:lastPrinted>2020-06-16T11:39:00Z</cp:lastPrinted>
  <dcterms:created xsi:type="dcterms:W3CDTF">2020-06-16T11:42:00Z</dcterms:created>
  <dcterms:modified xsi:type="dcterms:W3CDTF">2020-06-17T05:26:00Z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