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A08" w:rsidRDefault="00FC7A08" w:rsidP="00E46BF4">
      <w:pPr>
        <w:autoSpaceDE w:val="0"/>
        <w:autoSpaceDN w:val="0"/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</w:p>
    <w:p w:rsidR="00FC7A08" w:rsidRDefault="00FC7A08" w:rsidP="00E46BF4">
      <w:pPr>
        <w:autoSpaceDE w:val="0"/>
        <w:autoSpaceDN w:val="0"/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</w:p>
    <w:p w:rsidR="00FC7A08" w:rsidRDefault="00FC7A08" w:rsidP="00E46BF4">
      <w:pPr>
        <w:autoSpaceDE w:val="0"/>
        <w:autoSpaceDN w:val="0"/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</w:p>
    <w:p w:rsidR="00DB5004" w:rsidRPr="00FC7A08" w:rsidRDefault="004D13BB" w:rsidP="00FC7A08">
      <w:pPr>
        <w:autoSpaceDE w:val="0"/>
        <w:autoSpaceDN w:val="0"/>
        <w:jc w:val="center"/>
        <w:rPr>
          <w:rFonts w:ascii="Arial" w:hAnsi="Arial" w:cs="Arial"/>
          <w:b w:val="0"/>
          <w:bCs/>
          <w:i w:val="0"/>
          <w:iCs/>
          <w:sz w:val="30"/>
          <w:szCs w:val="30"/>
          <w:rtl/>
        </w:rPr>
      </w:pPr>
      <w:r w:rsidRPr="00FC7A08">
        <w:rPr>
          <w:rFonts w:asciiTheme="majorBidi" w:hAnsiTheme="majorBidi" w:cstheme="majorBidi"/>
          <w:i w:val="0"/>
          <w:iCs/>
          <w:sz w:val="30"/>
          <w:szCs w:val="30"/>
        </w:rPr>
        <w:t>Palestinian Central Bureau of Statistics (PCBS) and</w:t>
      </w:r>
      <w:r w:rsidR="00FC7A08" w:rsidRPr="00FC7A08">
        <w:rPr>
          <w:rFonts w:asciiTheme="majorBidi" w:hAnsiTheme="majorBidi" w:cstheme="majorBidi"/>
          <w:i w:val="0"/>
          <w:iCs/>
          <w:sz w:val="30"/>
          <w:szCs w:val="30"/>
        </w:rPr>
        <w:t xml:space="preserve"> </w:t>
      </w:r>
      <w:r w:rsidRPr="00FC7A08">
        <w:rPr>
          <w:rFonts w:asciiTheme="majorBidi" w:hAnsiTheme="majorBidi" w:cstheme="majorBidi"/>
          <w:i w:val="0"/>
          <w:iCs/>
          <w:sz w:val="30"/>
          <w:szCs w:val="30"/>
        </w:rPr>
        <w:t xml:space="preserve"> the Palestine Monetary Authority (PMA)</w:t>
      </w:r>
    </w:p>
    <w:p w:rsidR="00FC7A08" w:rsidRDefault="00FC7A08" w:rsidP="00E46BF4">
      <w:pPr>
        <w:autoSpaceDE w:val="0"/>
        <w:autoSpaceDN w:val="0"/>
        <w:adjustRightInd w:val="0"/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</w:p>
    <w:p w:rsidR="00FC7A08" w:rsidRDefault="00FC7A08" w:rsidP="00E46BF4">
      <w:pPr>
        <w:autoSpaceDE w:val="0"/>
        <w:autoSpaceDN w:val="0"/>
        <w:adjustRightInd w:val="0"/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</w:p>
    <w:p w:rsidR="00FC7A08" w:rsidRDefault="00FC7A08" w:rsidP="00E46BF4">
      <w:pPr>
        <w:autoSpaceDE w:val="0"/>
        <w:autoSpaceDN w:val="0"/>
        <w:adjustRightInd w:val="0"/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</w:p>
    <w:p w:rsidR="00DB5004" w:rsidRPr="000E58D6" w:rsidRDefault="00DB5004" w:rsidP="00E46BF4">
      <w:pPr>
        <w:autoSpaceDE w:val="0"/>
        <w:autoSpaceDN w:val="0"/>
        <w:adjustRightInd w:val="0"/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  <w:r w:rsidRPr="000E58D6">
        <w:rPr>
          <w:rFonts w:asciiTheme="majorBidi" w:hAnsiTheme="majorBidi" w:cstheme="majorBidi"/>
          <w:i w:val="0"/>
          <w:iCs/>
          <w:sz w:val="28"/>
          <w:szCs w:val="28"/>
        </w:rPr>
        <w:t>Results Announcement</w:t>
      </w:r>
    </w:p>
    <w:p w:rsidR="00DB5004" w:rsidRPr="000E58D6" w:rsidRDefault="00DB5004" w:rsidP="00E46BF4">
      <w:pPr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  <w:r w:rsidRPr="000E58D6">
        <w:rPr>
          <w:rFonts w:asciiTheme="majorBidi" w:hAnsiTheme="majorBidi" w:cstheme="majorBidi"/>
          <w:i w:val="0"/>
          <w:iCs/>
          <w:sz w:val="28"/>
          <w:szCs w:val="28"/>
        </w:rPr>
        <w:t>International Investment Position &amp; External Debt</w:t>
      </w:r>
      <w:r>
        <w:rPr>
          <w:rFonts w:asciiTheme="majorBidi" w:hAnsiTheme="majorBidi" w:cstheme="majorBidi"/>
          <w:b w:val="0"/>
          <w:bCs/>
          <w:i w:val="0"/>
          <w:iCs/>
          <w:sz w:val="28"/>
          <w:szCs w:val="28"/>
        </w:rPr>
        <w:t xml:space="preserve"> </w:t>
      </w:r>
      <w:r>
        <w:rPr>
          <w:rFonts w:cs="Simplified Arabic"/>
          <w:b w:val="0"/>
          <w:bCs/>
          <w:sz w:val="28"/>
          <w:szCs w:val="28"/>
          <w:rtl/>
        </w:rPr>
        <w:t>–</w:t>
      </w:r>
      <w:r>
        <w:rPr>
          <w:rFonts w:asciiTheme="majorBidi" w:hAnsiTheme="majorBidi" w:cstheme="majorBidi"/>
          <w:i w:val="0"/>
          <w:iCs/>
          <w:sz w:val="28"/>
          <w:szCs w:val="28"/>
        </w:rPr>
        <w:t xml:space="preserve"> </w:t>
      </w:r>
      <w:r w:rsidR="00E85A96">
        <w:rPr>
          <w:rFonts w:asciiTheme="majorBidi" w:hAnsiTheme="majorBidi" w:cstheme="majorBidi"/>
          <w:i w:val="0"/>
          <w:iCs/>
          <w:sz w:val="28"/>
          <w:szCs w:val="28"/>
        </w:rPr>
        <w:t>F</w:t>
      </w:r>
      <w:r w:rsidR="00D34D3F">
        <w:rPr>
          <w:rFonts w:asciiTheme="majorBidi" w:hAnsiTheme="majorBidi" w:cstheme="majorBidi"/>
          <w:i w:val="0"/>
          <w:iCs/>
          <w:sz w:val="28"/>
          <w:szCs w:val="28"/>
        </w:rPr>
        <w:t>irst</w:t>
      </w:r>
      <w:r>
        <w:rPr>
          <w:rFonts w:asciiTheme="majorBidi" w:hAnsiTheme="majorBidi" w:cstheme="majorBidi"/>
          <w:i w:val="0"/>
          <w:iCs/>
          <w:sz w:val="28"/>
          <w:szCs w:val="28"/>
        </w:rPr>
        <w:t xml:space="preserve"> </w:t>
      </w:r>
      <w:r w:rsidRPr="000E58D6">
        <w:rPr>
          <w:rFonts w:asciiTheme="majorBidi" w:hAnsiTheme="majorBidi" w:cstheme="majorBidi"/>
          <w:i w:val="0"/>
          <w:iCs/>
          <w:sz w:val="28"/>
          <w:szCs w:val="28"/>
        </w:rPr>
        <w:t>Quarter</w:t>
      </w:r>
      <w:r w:rsidR="00E85A96">
        <w:rPr>
          <w:rFonts w:asciiTheme="majorBidi" w:hAnsiTheme="majorBidi" w:cstheme="majorBidi"/>
          <w:i w:val="0"/>
          <w:iCs/>
          <w:sz w:val="28"/>
          <w:szCs w:val="28"/>
        </w:rPr>
        <w:t xml:space="preserve">, </w:t>
      </w:r>
      <w:r>
        <w:rPr>
          <w:rFonts w:asciiTheme="majorBidi" w:hAnsiTheme="majorBidi" w:cstheme="majorBidi"/>
          <w:i w:val="0"/>
          <w:iCs/>
          <w:sz w:val="28"/>
          <w:szCs w:val="28"/>
        </w:rPr>
        <w:t>201</w:t>
      </w:r>
      <w:r w:rsidR="00D34D3F">
        <w:rPr>
          <w:rFonts w:asciiTheme="majorBidi" w:hAnsiTheme="majorBidi" w:cstheme="majorBidi"/>
          <w:i w:val="0"/>
          <w:iCs/>
          <w:sz w:val="28"/>
          <w:szCs w:val="28"/>
        </w:rPr>
        <w:t>8</w:t>
      </w:r>
    </w:p>
    <w:p w:rsidR="00DB5004" w:rsidRPr="00E23D7F" w:rsidRDefault="00DB5004" w:rsidP="00E46BF4">
      <w:pPr>
        <w:pStyle w:val="BodyText3"/>
        <w:ind w:right="70"/>
        <w:rPr>
          <w:rFonts w:asciiTheme="majorBidi" w:hAnsiTheme="majorBidi" w:cstheme="majorBidi"/>
          <w:i w:val="0"/>
          <w:iCs/>
          <w:sz w:val="24"/>
          <w:szCs w:val="24"/>
        </w:rPr>
      </w:pPr>
    </w:p>
    <w:p w:rsidR="00DB5004" w:rsidRPr="00E23D7F" w:rsidRDefault="00DB5004" w:rsidP="00E46BF4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Palestinian Central Bureau of Statistics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(PCBS)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and the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Palestine Monetary Authority (PMA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)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announced the preliminary results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of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0E58D6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International Investment Position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(IIP), and External Debt statistics for Palestine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as of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end of</w:t>
      </w:r>
      <w:r w:rsidR="00E85A96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the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D469B3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f</w:t>
      </w:r>
      <w:r w:rsidR="00D34D3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irst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quarter 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201</w:t>
      </w:r>
      <w:r w:rsidR="00D34D3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8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.</w:t>
      </w:r>
    </w:p>
    <w:p w:rsidR="00DB5004" w:rsidRPr="00E46BF4" w:rsidRDefault="00DB5004" w:rsidP="00E46BF4">
      <w:pPr>
        <w:pStyle w:val="BodyText3"/>
        <w:spacing w:after="0"/>
        <w:rPr>
          <w:rFonts w:asciiTheme="majorBidi" w:hAnsiTheme="majorBidi" w:cstheme="majorBidi"/>
          <w:b w:val="0"/>
          <w:bCs/>
          <w:i w:val="0"/>
          <w:iCs/>
        </w:rPr>
      </w:pPr>
    </w:p>
    <w:p w:rsidR="00DB5004" w:rsidRPr="00E04202" w:rsidRDefault="00DB5004" w:rsidP="00E46BF4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The primary results of the IIP (external assets – foreign liabilities) for Palestine at the end of </w:t>
      </w:r>
      <w:r w:rsidR="00D469B3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f</w:t>
      </w:r>
      <w:r w:rsidR="00D34D3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irst</w:t>
      </w:r>
      <w:r w:rsidR="000110B2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quarter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201</w:t>
      </w:r>
      <w:r w:rsidR="00A32FAD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8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revealed that the net IIP amounted to about USD </w:t>
      </w:r>
      <w:r w:rsidR="003143C8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1,</w:t>
      </w:r>
      <w:r w:rsidR="00A32FAD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054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million, which means that the Palestinian economy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’s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investment</w:t>
      </w:r>
      <w:r w:rsidR="00E909E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outside Palestine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outweighs investmen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</w:t>
      </w:r>
      <w:r w:rsidR="00E909E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in Palestine from abroad.  The </w:t>
      </w:r>
      <w:r w:rsidR="004B7C0D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r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esident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cash deposits in foreign banks and foreign exchange in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the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Palestinian economy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accounted for the bulk of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the external assets, 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constituting </w:t>
      </w:r>
      <w:r w:rsidR="003143C8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6</w:t>
      </w:r>
      <w:r w:rsidR="00A32FAD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2</w:t>
      </w:r>
      <w:r w:rsidR="003143C8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.2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</w:t>
      </w:r>
      <w:r w:rsidRPr="00E04202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of the total value of external assets.</w:t>
      </w:r>
    </w:p>
    <w:p w:rsidR="00DB5004" w:rsidRPr="00E46BF4" w:rsidRDefault="00DB5004" w:rsidP="00E46BF4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</w:rPr>
      </w:pPr>
    </w:p>
    <w:p w:rsidR="00DB5004" w:rsidRPr="0034603E" w:rsidRDefault="00DB5004" w:rsidP="00E46BF4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total stocks of External Assets for Palestin</w:t>
      </w:r>
      <w:r w:rsidR="00E85A96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ian economy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amounted to USD 6,</w:t>
      </w:r>
      <w:r w:rsidR="00A32FAD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211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million, </w:t>
      </w:r>
      <w:r w:rsidR="004B7C0D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he Foreign Direct Investment </w:t>
      </w:r>
      <w:r w:rsidR="006054E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A</w:t>
      </w:r>
      <w:r w:rsidR="006054EE"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broad 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contributed to 6.</w:t>
      </w:r>
      <w:r w:rsidR="00A32FAD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2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%, Portfolio Investments abroad reached </w:t>
      </w:r>
      <w:r w:rsidR="00A32FAD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18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%, while Other Foreign Investments </w:t>
      </w:r>
      <w:r w:rsidR="006054E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A</w:t>
      </w:r>
      <w:r w:rsidR="006054EE"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broad 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(mainly currency and deposits) reached </w:t>
      </w:r>
      <w:r w:rsidR="00A32FAD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66.8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% and Reserve Assets amounted to </w:t>
      </w:r>
      <w:r w:rsidR="00CD132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9</w:t>
      </w:r>
      <w:r w:rsidR="004073E4"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</w:t>
      </w:r>
      <w:r w:rsidR="004073E4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,</w:t>
      </w:r>
      <w:r w:rsidR="004073E4"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6054E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a</w:t>
      </w:r>
      <w:r w:rsidR="006054EE"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 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sectoral lev</w:t>
      </w:r>
      <w:r w:rsidR="006251C6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el, the external investments of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banks sector represented a large share of the external assets, standing at </w:t>
      </w:r>
      <w:r w:rsidR="007A705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72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 of the total value of external assets</w:t>
      </w:r>
      <w:r w:rsidR="00CD132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for</w:t>
      </w:r>
      <w:r w:rsidR="00CD132E" w:rsidRPr="00CD132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CD132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Palestinian economy</w:t>
      </w:r>
      <w:r w:rsidRPr="0034603E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.</w:t>
      </w:r>
    </w:p>
    <w:p w:rsidR="00DB5004" w:rsidRPr="00E46BF4" w:rsidRDefault="00DB5004" w:rsidP="00E46BF4">
      <w:pPr>
        <w:pStyle w:val="BodyText3"/>
        <w:spacing w:after="0"/>
        <w:rPr>
          <w:rFonts w:asciiTheme="majorBidi" w:hAnsiTheme="majorBidi" w:cstheme="majorBidi"/>
          <w:b w:val="0"/>
          <w:bCs/>
          <w:i w:val="0"/>
          <w:iCs/>
        </w:rPr>
      </w:pPr>
    </w:p>
    <w:p w:rsidR="00DB5004" w:rsidRPr="00E23D7F" w:rsidRDefault="00DB5004" w:rsidP="00E46BF4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The total stocks of Foreign Liabilities in Palestine (Stocks of non-residents invested in Palestine) amounted to USD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5</w:t>
      </w:r>
      <w:r w:rsidRPr="003B3326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,</w:t>
      </w:r>
      <w:r w:rsidR="007A705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157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million, t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he Foreign Direct Investment in Palestine contributed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to </w:t>
      </w:r>
      <w:r w:rsidR="003143C8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52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%, Portfolio Investments in Palestine reached </w:t>
      </w:r>
      <w:r w:rsidR="007A705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16.3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and Other Investments in Palestine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(mainly loans and deposits from abroad)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amounted to </w:t>
      </w:r>
      <w:r w:rsidR="007A705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31.7</w:t>
      </w:r>
      <w:r w:rsidR="004073E4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%, </w:t>
      </w:r>
      <w:r w:rsidR="000E5A08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at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sectoral level, the foreign investments in bank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sector contributed a major value in the foreign liabilities, represented by </w:t>
      </w:r>
      <w:r w:rsidR="007A705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37.3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 of the total value of foreign liabilities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on Palestinian economy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.</w:t>
      </w:r>
    </w:p>
    <w:p w:rsidR="00DB5004" w:rsidRPr="00E46BF4" w:rsidRDefault="00DB5004" w:rsidP="00E46BF4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</w:rPr>
      </w:pPr>
    </w:p>
    <w:p w:rsidR="00DB5004" w:rsidRPr="00F33016" w:rsidRDefault="00DB5004" w:rsidP="00E46BF4">
      <w:pPr>
        <w:pStyle w:val="BodyText3"/>
        <w:spacing w:after="0"/>
        <w:jc w:val="both"/>
        <w:rPr>
          <w:rFonts w:ascii="Times New Roman" w:hAnsi="Times New Roman"/>
          <w:b w:val="0"/>
          <w:bCs/>
          <w:i w:val="0"/>
          <w:iCs/>
          <w:sz w:val="24"/>
          <w:szCs w:val="24"/>
          <w:rtl/>
        </w:rPr>
      </w:pP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Gross External Debt on the Palestinian econom</w:t>
      </w:r>
      <w:r w:rsidR="00F33016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ic sectors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reached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USD 1,</w:t>
      </w:r>
      <w:r w:rsidR="007A705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640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million,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6251C6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t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he debt on government sector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represented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7A705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63.4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%, while debt on bank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sector reached </w:t>
      </w:r>
      <w:r w:rsidR="003143C8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3</w:t>
      </w:r>
      <w:r w:rsidR="007A705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2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%, and debt on other sectors (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Nonbank financial corporations, non-financial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corporations,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NGOs and household</w:t>
      </w:r>
      <w:r w:rsidR="00AF576D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sector) amounted to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3143C8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4.</w:t>
      </w:r>
      <w:r w:rsidR="007A705B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3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%,</w:t>
      </w:r>
      <w:r w:rsidRPr="00F12038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8C3935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and </w:t>
      </w:r>
      <w:r w:rsidRPr="00F12038">
        <w:rPr>
          <w:rFonts w:ascii="Times New Roman" w:hAnsi="Times New Roman"/>
          <w:b w:val="0"/>
          <w:bCs/>
          <w:i w:val="0"/>
          <w:iCs/>
          <w:sz w:val="24"/>
          <w:szCs w:val="24"/>
        </w:rPr>
        <w:t xml:space="preserve">the lending between affiliated companies </w:t>
      </w:r>
      <w:r>
        <w:rPr>
          <w:rFonts w:ascii="Times New Roman" w:hAnsi="Times New Roman"/>
          <w:b w:val="0"/>
          <w:bCs/>
          <w:i w:val="0"/>
          <w:iCs/>
          <w:sz w:val="24"/>
          <w:szCs w:val="24"/>
        </w:rPr>
        <w:t>reached</w:t>
      </w:r>
      <w:r w:rsidRPr="00F12038">
        <w:rPr>
          <w:rFonts w:ascii="Times New Roman" w:hAnsi="Times New Roman"/>
          <w:b w:val="0"/>
          <w:bCs/>
          <w:i w:val="0"/>
          <w:iCs/>
          <w:sz w:val="24"/>
          <w:szCs w:val="24"/>
        </w:rPr>
        <w:t xml:space="preserve"> 0.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>3</w:t>
      </w:r>
      <w:r w:rsidRPr="00F12038">
        <w:rPr>
          <w:rFonts w:ascii="Times New Roman" w:hAnsi="Times New Roman"/>
          <w:b w:val="0"/>
          <w:bCs/>
          <w:i w:val="0"/>
          <w:iCs/>
          <w:sz w:val="24"/>
          <w:szCs w:val="24"/>
        </w:rPr>
        <w:t>%.</w:t>
      </w:r>
    </w:p>
    <w:p w:rsidR="00DB5004" w:rsidRPr="00E46BF4" w:rsidRDefault="00DB5004" w:rsidP="00E46BF4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</w:rPr>
      </w:pPr>
    </w:p>
    <w:p w:rsidR="00DB5004" w:rsidRDefault="00DB5004" w:rsidP="00E46BF4">
      <w:pPr>
        <w:pStyle w:val="BodyText3"/>
        <w:spacing w:after="0"/>
        <w:jc w:val="both"/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International Investment Position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(IIP) is a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n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accounting 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sheet </w:t>
      </w:r>
      <w:r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that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record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s the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investments stocks for the residents in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Palestine (individuals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, institutions and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government)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invested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 the rest of the world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(abroad)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under the name of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(assets)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, 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and compares them to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the investments stocks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owned by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residents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outside Palestine (individuals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, institutions and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government)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invested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 Palestine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under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 name of (liabilities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)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.</w:t>
      </w:r>
    </w:p>
    <w:p w:rsidR="00DB5004" w:rsidRPr="00E46BF4" w:rsidRDefault="00DB5004" w:rsidP="00DB5004">
      <w:pPr>
        <w:pStyle w:val="BodyText3"/>
        <w:jc w:val="both"/>
        <w:rPr>
          <w:rFonts w:asciiTheme="majorBidi" w:hAnsiTheme="majorBidi" w:cstheme="majorBidi"/>
          <w:b w:val="0"/>
          <w:bCs/>
          <w:i w:val="0"/>
          <w:iCs/>
        </w:rPr>
      </w:pPr>
    </w:p>
    <w:p w:rsidR="00E46BF4" w:rsidRDefault="00DB5004" w:rsidP="00E46BF4">
      <w:pPr>
        <w:pStyle w:val="BodyText3"/>
        <w:spacing w:after="0"/>
        <w:jc w:val="both"/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  <w:shd w:val="clear" w:color="auto" w:fill="FFFFFF"/>
        </w:rPr>
        <w:t xml:space="preserve">The Balance of Payments Manual - fifth edition, issued by the International Monetary Fund in 1993, divides the assets and liabilities </w:t>
      </w:r>
      <w:r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  <w:shd w:val="clear" w:color="auto" w:fill="FFFFFF"/>
        </w:rPr>
        <w:t>in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  <w:shd w:val="clear" w:color="auto" w:fill="FFFFFF"/>
        </w:rPr>
        <w:t>to direct investment (investment by 10% and more in the non-resident capital), and portfolio investment (investment less than 10% in the non-resident capital as well as investment in bonds</w:t>
      </w:r>
      <w:r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), and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other investments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.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DC1F91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 divides these other investments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into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stocks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of trade credit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, loans, currency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and deposits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and any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other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assets or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liabilities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), in addition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to the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Reserve Assets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, </w:t>
      </w:r>
      <w:r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i.e.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Stocks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held by</w:t>
      </w:r>
      <w:r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the</w:t>
      </w: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Central </w:t>
      </w:r>
    </w:p>
    <w:p w:rsidR="00E46BF4" w:rsidRDefault="00E46BF4" w:rsidP="00E46BF4">
      <w:pPr>
        <w:pStyle w:val="BodyText3"/>
        <w:spacing w:after="0"/>
        <w:jc w:val="both"/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</w:p>
    <w:p w:rsidR="00E46BF4" w:rsidRDefault="00E46BF4" w:rsidP="00E46BF4">
      <w:pPr>
        <w:pStyle w:val="BodyText3"/>
        <w:spacing w:after="0"/>
        <w:jc w:val="both"/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</w:p>
    <w:p w:rsidR="00DB5004" w:rsidRDefault="00DC1F91" w:rsidP="00E46BF4">
      <w:pPr>
        <w:pStyle w:val="BodyText3"/>
        <w:spacing w:after="0"/>
        <w:jc w:val="both"/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  <w:r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lastRenderedPageBreak/>
        <w:t>B</w:t>
      </w:r>
      <w:r w:rsidR="00DB5004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anks/</w:t>
      </w:r>
      <w:r w:rsidR="00DB5004"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Monetary Authorit</w:t>
      </w:r>
      <w:r w:rsidR="00DB5004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ies</w:t>
      </w:r>
      <w:r w:rsidR="00DB5004"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DB5004"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to address the</w:t>
      </w:r>
      <w:r w:rsidR="00DB5004"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DB5004"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imbalances</w:t>
      </w:r>
      <w:r w:rsidR="00DB5004" w:rsidRPr="00E23D7F">
        <w:rPr>
          <w:rStyle w:val="longtext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</w:t>
      </w:r>
      <w:r w:rsidR="00DB5004"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>in the balance of</w:t>
      </w:r>
      <w:r w:rsidR="00DB5004" w:rsidRPr="00E23D7F">
        <w:rPr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 payments, </w:t>
      </w:r>
      <w:r w:rsidR="00DB5004" w:rsidRPr="00E23D7F"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  <w:t xml:space="preserve">it is worth mentioning that the reserve assets are only included in the asset side. </w:t>
      </w:r>
    </w:p>
    <w:p w:rsidR="00FC7A08" w:rsidRDefault="00FC7A08" w:rsidP="00E46BF4">
      <w:pPr>
        <w:pStyle w:val="BodyText3"/>
        <w:spacing w:after="0"/>
        <w:jc w:val="both"/>
        <w:rPr>
          <w:rStyle w:val="hps"/>
          <w:rFonts w:asciiTheme="majorBidi" w:hAnsiTheme="majorBidi" w:cstheme="majorBidi"/>
          <w:b w:val="0"/>
          <w:bCs/>
          <w:i w:val="0"/>
          <w:iCs/>
          <w:sz w:val="24"/>
          <w:szCs w:val="24"/>
        </w:rPr>
      </w:pPr>
    </w:p>
    <w:p w:rsidR="00DB5004" w:rsidRPr="00E46BF4" w:rsidRDefault="00DB5004" w:rsidP="00E46BF4">
      <w:pPr>
        <w:pStyle w:val="BodyText3"/>
        <w:spacing w:after="0"/>
        <w:jc w:val="both"/>
        <w:rPr>
          <w:rStyle w:val="hps"/>
          <w:rFonts w:asciiTheme="majorBidi" w:hAnsiTheme="majorBidi" w:cstheme="majorBidi"/>
          <w:b w:val="0"/>
          <w:bCs/>
          <w:i w:val="0"/>
          <w:iCs/>
        </w:rPr>
      </w:pPr>
    </w:p>
    <w:p w:rsidR="00DB5004" w:rsidRDefault="00DB5004" w:rsidP="00AF576D">
      <w:pPr>
        <w:pStyle w:val="BodyText"/>
        <w:bidi w:val="0"/>
        <w:jc w:val="both"/>
        <w:rPr>
          <w:rFonts w:asciiTheme="majorBidi" w:hAnsiTheme="majorBidi" w:cstheme="majorBidi"/>
          <w:bCs/>
          <w:iCs/>
          <w:szCs w:val="24"/>
        </w:rPr>
      </w:pPr>
      <w:r w:rsidRPr="00E23D7F">
        <w:rPr>
          <w:rStyle w:val="hps"/>
          <w:rFonts w:asciiTheme="majorBidi" w:hAnsiTheme="majorBidi" w:cstheme="majorBidi"/>
          <w:bCs/>
          <w:iCs/>
          <w:szCs w:val="24"/>
        </w:rPr>
        <w:t>The External Debt is a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n accounting sheet </w:t>
      </w:r>
      <w:r>
        <w:rPr>
          <w:rFonts w:asciiTheme="majorBidi" w:hAnsiTheme="majorBidi" w:cstheme="majorBidi"/>
          <w:bCs/>
          <w:iCs/>
          <w:szCs w:val="24"/>
        </w:rPr>
        <w:t xml:space="preserve">that </w:t>
      </w:r>
      <w:r w:rsidRPr="00E23D7F">
        <w:rPr>
          <w:rFonts w:asciiTheme="majorBidi" w:hAnsiTheme="majorBidi" w:cstheme="majorBidi"/>
          <w:bCs/>
          <w:iCs/>
          <w:szCs w:val="24"/>
        </w:rPr>
        <w:t>records the debt stocks on Palestinian econom</w:t>
      </w:r>
      <w:r>
        <w:rPr>
          <w:rFonts w:asciiTheme="majorBidi" w:hAnsiTheme="majorBidi" w:cstheme="majorBidi"/>
          <w:bCs/>
          <w:iCs/>
          <w:szCs w:val="24"/>
        </w:rPr>
        <w:t>ic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 sectors due to non</w:t>
      </w:r>
      <w:r>
        <w:rPr>
          <w:rFonts w:asciiTheme="majorBidi" w:hAnsiTheme="majorBidi" w:cstheme="majorBidi"/>
          <w:bCs/>
          <w:iCs/>
          <w:szCs w:val="24"/>
        </w:rPr>
        <w:t>-</w:t>
      </w:r>
      <w:r w:rsidRPr="00E23D7F">
        <w:rPr>
          <w:rFonts w:asciiTheme="majorBidi" w:hAnsiTheme="majorBidi" w:cstheme="majorBidi"/>
          <w:bCs/>
          <w:iCs/>
          <w:szCs w:val="24"/>
        </w:rPr>
        <w:t>residents</w:t>
      </w:r>
      <w:r>
        <w:rPr>
          <w:rFonts w:asciiTheme="majorBidi" w:hAnsiTheme="majorBidi" w:cstheme="majorBidi"/>
          <w:bCs/>
          <w:iCs/>
          <w:szCs w:val="24"/>
        </w:rPr>
        <w:t>.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 </w:t>
      </w:r>
      <w:r>
        <w:rPr>
          <w:rFonts w:asciiTheme="majorBidi" w:hAnsiTheme="majorBidi" w:cstheme="majorBidi"/>
          <w:bCs/>
          <w:iCs/>
          <w:szCs w:val="24"/>
        </w:rPr>
        <w:t>These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 include (loans from non</w:t>
      </w:r>
      <w:r>
        <w:rPr>
          <w:rFonts w:asciiTheme="majorBidi" w:hAnsiTheme="majorBidi" w:cstheme="majorBidi"/>
          <w:bCs/>
          <w:iCs/>
          <w:szCs w:val="24"/>
        </w:rPr>
        <w:t>-</w:t>
      </w:r>
      <w:r w:rsidRPr="00E23D7F">
        <w:rPr>
          <w:rFonts w:asciiTheme="majorBidi" w:hAnsiTheme="majorBidi" w:cstheme="majorBidi"/>
          <w:bCs/>
          <w:iCs/>
          <w:szCs w:val="24"/>
        </w:rPr>
        <w:t>resident</w:t>
      </w:r>
      <w:r>
        <w:rPr>
          <w:rFonts w:asciiTheme="majorBidi" w:hAnsiTheme="majorBidi" w:cstheme="majorBidi"/>
          <w:bCs/>
          <w:iCs/>
          <w:szCs w:val="24"/>
        </w:rPr>
        <w:t xml:space="preserve">s, </w:t>
      </w:r>
      <w:r w:rsidRPr="00E23D7F">
        <w:rPr>
          <w:rFonts w:asciiTheme="majorBidi" w:hAnsiTheme="majorBidi" w:cstheme="majorBidi"/>
          <w:bCs/>
          <w:iCs/>
          <w:szCs w:val="24"/>
        </w:rPr>
        <w:t>the</w:t>
      </w:r>
      <w:r w:rsidR="00DC1F91">
        <w:rPr>
          <w:rFonts w:asciiTheme="majorBidi" w:hAnsiTheme="majorBidi" w:cstheme="majorBidi"/>
          <w:bCs/>
          <w:iCs/>
          <w:szCs w:val="24"/>
        </w:rPr>
        <w:t xml:space="preserve"> deposit</w:t>
      </w:r>
      <w:r w:rsidR="00260883">
        <w:rPr>
          <w:rFonts w:asciiTheme="majorBidi" w:hAnsiTheme="majorBidi" w:cstheme="majorBidi"/>
          <w:bCs/>
          <w:iCs/>
          <w:szCs w:val="24"/>
        </w:rPr>
        <w:t>s</w:t>
      </w:r>
      <w:r w:rsidR="00DC1F91">
        <w:rPr>
          <w:rFonts w:asciiTheme="majorBidi" w:hAnsiTheme="majorBidi" w:cstheme="majorBidi"/>
          <w:bCs/>
          <w:iCs/>
          <w:szCs w:val="24"/>
        </w:rPr>
        <w:t xml:space="preserve"> of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 </w:t>
      </w:r>
      <w:r w:rsidR="000C0673">
        <w:rPr>
          <w:rFonts w:asciiTheme="majorBidi" w:hAnsiTheme="majorBidi" w:cstheme="majorBidi"/>
          <w:bCs/>
          <w:iCs/>
          <w:szCs w:val="24"/>
        </w:rPr>
        <w:t xml:space="preserve">the </w:t>
      </w:r>
      <w:r w:rsidRPr="00E23D7F">
        <w:rPr>
          <w:rFonts w:asciiTheme="majorBidi" w:hAnsiTheme="majorBidi" w:cstheme="majorBidi"/>
          <w:bCs/>
          <w:iCs/>
          <w:szCs w:val="24"/>
        </w:rPr>
        <w:t>non</w:t>
      </w:r>
      <w:r>
        <w:rPr>
          <w:rFonts w:asciiTheme="majorBidi" w:hAnsiTheme="majorBidi" w:cstheme="majorBidi"/>
          <w:bCs/>
          <w:iCs/>
          <w:szCs w:val="24"/>
        </w:rPr>
        <w:t>-</w:t>
      </w:r>
      <w:r w:rsidRPr="00E23D7F">
        <w:rPr>
          <w:rFonts w:asciiTheme="majorBidi" w:hAnsiTheme="majorBidi" w:cstheme="majorBidi"/>
          <w:bCs/>
          <w:iCs/>
          <w:szCs w:val="24"/>
        </w:rPr>
        <w:t>residents deposited in the banks sector in Palestine, the Palestinian bonds purchased by non</w:t>
      </w:r>
      <w:r>
        <w:rPr>
          <w:rFonts w:asciiTheme="majorBidi" w:hAnsiTheme="majorBidi" w:cstheme="majorBidi"/>
          <w:bCs/>
          <w:iCs/>
          <w:szCs w:val="24"/>
        </w:rPr>
        <w:t>-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residents, debt transactions between the non-resident enterprises and fellow enterprises in </w:t>
      </w:r>
      <w:r>
        <w:rPr>
          <w:rFonts w:asciiTheme="majorBidi" w:hAnsiTheme="majorBidi" w:cstheme="majorBidi"/>
          <w:bCs/>
          <w:iCs/>
          <w:szCs w:val="24"/>
        </w:rPr>
        <w:t>Palestine. They encompass as well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 any other liabilities on Palestinian economy) the data of external debt have been extracted from the liabilities side in the international investment </w:t>
      </w:r>
      <w:r>
        <w:rPr>
          <w:rFonts w:asciiTheme="majorBidi" w:hAnsiTheme="majorBidi" w:cstheme="majorBidi"/>
          <w:bCs/>
          <w:iCs/>
          <w:szCs w:val="24"/>
        </w:rPr>
        <w:t xml:space="preserve">position matrix (debt items). 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Preparing, classifying and publishing of the data </w:t>
      </w:r>
      <w:r w:rsidR="00770755">
        <w:rPr>
          <w:rFonts w:asciiTheme="majorBidi" w:hAnsiTheme="majorBidi" w:cstheme="majorBidi"/>
          <w:bCs/>
          <w:iCs/>
          <w:szCs w:val="24"/>
        </w:rPr>
        <w:t xml:space="preserve">are 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based on (External Debt Statistics Manual) issued by IMF in 2003, this manual is harmonized with </w:t>
      </w:r>
      <w:r w:rsidR="00E85A96">
        <w:rPr>
          <w:rFonts w:asciiTheme="majorBidi" w:hAnsiTheme="majorBidi" w:cstheme="majorBidi"/>
          <w:bCs/>
          <w:iCs/>
          <w:szCs w:val="24"/>
        </w:rPr>
        <w:t xml:space="preserve">the </w:t>
      </w:r>
      <w:r w:rsidR="00AF576D">
        <w:rPr>
          <w:rFonts w:asciiTheme="majorBidi" w:hAnsiTheme="majorBidi" w:cstheme="majorBidi"/>
          <w:bCs/>
          <w:iCs/>
          <w:szCs w:val="24"/>
        </w:rPr>
        <w:t>fifth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 edition of Balance of Payments Man</w:t>
      </w:r>
      <w:bookmarkStart w:id="0" w:name="_GoBack"/>
      <w:bookmarkEnd w:id="0"/>
      <w:r w:rsidRPr="00E23D7F">
        <w:rPr>
          <w:rFonts w:asciiTheme="majorBidi" w:hAnsiTheme="majorBidi" w:cstheme="majorBidi"/>
          <w:bCs/>
          <w:iCs/>
          <w:szCs w:val="24"/>
        </w:rPr>
        <w:t>ual</w:t>
      </w:r>
      <w:r w:rsidR="00E85A96">
        <w:rPr>
          <w:rFonts w:asciiTheme="majorBidi" w:hAnsiTheme="majorBidi" w:cstheme="majorBidi"/>
          <w:bCs/>
          <w:iCs/>
          <w:szCs w:val="24"/>
        </w:rPr>
        <w:t>.</w:t>
      </w:r>
      <w:r w:rsidRPr="00E23D7F">
        <w:rPr>
          <w:rFonts w:asciiTheme="majorBidi" w:hAnsiTheme="majorBidi" w:cstheme="majorBidi"/>
          <w:bCs/>
          <w:iCs/>
          <w:szCs w:val="24"/>
        </w:rPr>
        <w:t xml:space="preserve">  </w:t>
      </w:r>
    </w:p>
    <w:p w:rsidR="00E46BF4" w:rsidRDefault="00E46BF4" w:rsidP="00DB5004">
      <w:pPr>
        <w:pStyle w:val="BodyText"/>
        <w:bidi w:val="0"/>
        <w:jc w:val="both"/>
        <w:rPr>
          <w:rFonts w:asciiTheme="majorBidi" w:hAnsiTheme="majorBidi" w:cstheme="majorBidi"/>
          <w:bCs/>
          <w:iCs/>
          <w:sz w:val="16"/>
          <w:szCs w:val="16"/>
        </w:rPr>
      </w:pPr>
    </w:p>
    <w:p w:rsidR="00E46BF4" w:rsidRDefault="00E46BF4" w:rsidP="00E46BF4">
      <w:pPr>
        <w:pStyle w:val="BodyText"/>
        <w:bidi w:val="0"/>
        <w:jc w:val="both"/>
        <w:rPr>
          <w:rFonts w:asciiTheme="majorBidi" w:hAnsiTheme="majorBidi" w:cstheme="majorBidi"/>
          <w:bCs/>
          <w:iCs/>
          <w:sz w:val="16"/>
          <w:szCs w:val="16"/>
        </w:rPr>
      </w:pPr>
    </w:p>
    <w:p w:rsidR="00E46BF4" w:rsidRDefault="00E46BF4" w:rsidP="00E46BF4">
      <w:pPr>
        <w:pStyle w:val="BodyText"/>
        <w:bidi w:val="0"/>
        <w:jc w:val="both"/>
        <w:rPr>
          <w:rFonts w:asciiTheme="majorBidi" w:hAnsiTheme="majorBidi" w:cstheme="majorBidi"/>
          <w:bCs/>
          <w:iCs/>
          <w:sz w:val="16"/>
          <w:szCs w:val="16"/>
        </w:rPr>
      </w:pPr>
    </w:p>
    <w:p w:rsidR="00E46BF4" w:rsidRDefault="00E46BF4" w:rsidP="00E46BF4">
      <w:pPr>
        <w:pStyle w:val="BodyText"/>
        <w:bidi w:val="0"/>
        <w:jc w:val="both"/>
        <w:rPr>
          <w:rFonts w:asciiTheme="majorBidi" w:hAnsiTheme="majorBidi" w:cstheme="majorBidi"/>
          <w:bCs/>
          <w:iCs/>
          <w:sz w:val="16"/>
          <w:szCs w:val="16"/>
        </w:rPr>
      </w:pPr>
    </w:p>
    <w:p w:rsidR="00E46BF4" w:rsidRDefault="00E46BF4" w:rsidP="00E46BF4">
      <w:pPr>
        <w:pStyle w:val="BodyText"/>
        <w:bidi w:val="0"/>
        <w:jc w:val="both"/>
        <w:rPr>
          <w:rFonts w:asciiTheme="majorBidi" w:hAnsiTheme="majorBidi" w:cstheme="majorBidi"/>
          <w:bCs/>
          <w:iCs/>
          <w:sz w:val="16"/>
          <w:szCs w:val="16"/>
        </w:rPr>
      </w:pPr>
    </w:p>
    <w:p w:rsidR="00FC7A08" w:rsidRDefault="00FC7A08" w:rsidP="00DB5004">
      <w:pPr>
        <w:spacing w:before="120" w:after="120" w:line="276" w:lineRule="auto"/>
        <w:jc w:val="right"/>
        <w:rPr>
          <w:rFonts w:asciiTheme="majorBidi" w:hAnsiTheme="majorBidi" w:cstheme="majorBidi"/>
          <w:b w:val="0"/>
          <w:bCs/>
          <w:i w:val="0"/>
          <w:iCs/>
        </w:rPr>
      </w:pPr>
    </w:p>
    <w:p w:rsidR="00DB5004" w:rsidRDefault="00DB5004" w:rsidP="00DB5004">
      <w:pPr>
        <w:spacing w:before="120" w:after="120" w:line="276" w:lineRule="auto"/>
        <w:jc w:val="right"/>
        <w:rPr>
          <w:rFonts w:asciiTheme="majorBidi" w:hAnsiTheme="majorBidi" w:cstheme="majorBidi"/>
          <w:b w:val="0"/>
          <w:bCs/>
          <w:i w:val="0"/>
          <w:iCs/>
        </w:rPr>
      </w:pPr>
      <w:r>
        <w:rPr>
          <w:rFonts w:asciiTheme="majorBidi" w:hAnsiTheme="majorBidi" w:cstheme="majorBidi"/>
          <w:b w:val="0"/>
          <w:bCs/>
          <w:i w:val="0"/>
          <w:iCs/>
        </w:rPr>
        <w:br w:type="page"/>
      </w:r>
    </w:p>
    <w:p w:rsidR="00E46BF4" w:rsidRDefault="00E46BF4" w:rsidP="00D34D3F">
      <w:pPr>
        <w:contextualSpacing/>
        <w:jc w:val="center"/>
        <w:rPr>
          <w:rFonts w:asciiTheme="majorBidi" w:hAnsiTheme="majorBidi" w:cstheme="majorBidi"/>
          <w:i w:val="0"/>
          <w:iCs/>
          <w:sz w:val="22"/>
          <w:szCs w:val="22"/>
        </w:rPr>
      </w:pPr>
    </w:p>
    <w:p w:rsidR="00E46BF4" w:rsidRDefault="00E46BF4" w:rsidP="00D34D3F">
      <w:pPr>
        <w:contextualSpacing/>
        <w:jc w:val="center"/>
        <w:rPr>
          <w:rFonts w:asciiTheme="majorBidi" w:hAnsiTheme="majorBidi" w:cstheme="majorBidi"/>
          <w:i w:val="0"/>
          <w:iCs/>
          <w:sz w:val="22"/>
          <w:szCs w:val="22"/>
        </w:rPr>
      </w:pPr>
    </w:p>
    <w:p w:rsidR="00E46BF4" w:rsidRDefault="00E46BF4" w:rsidP="00D34D3F">
      <w:pPr>
        <w:contextualSpacing/>
        <w:jc w:val="center"/>
        <w:rPr>
          <w:rFonts w:asciiTheme="majorBidi" w:hAnsiTheme="majorBidi" w:cstheme="majorBidi"/>
          <w:i w:val="0"/>
          <w:iCs/>
          <w:sz w:val="22"/>
          <w:szCs w:val="22"/>
        </w:rPr>
      </w:pPr>
    </w:p>
    <w:p w:rsidR="00E46BF4" w:rsidRDefault="00E46BF4" w:rsidP="00D34D3F">
      <w:pPr>
        <w:contextualSpacing/>
        <w:jc w:val="center"/>
        <w:rPr>
          <w:rFonts w:asciiTheme="majorBidi" w:hAnsiTheme="majorBidi" w:cstheme="majorBidi"/>
          <w:i w:val="0"/>
          <w:iCs/>
          <w:sz w:val="22"/>
          <w:szCs w:val="22"/>
        </w:rPr>
      </w:pPr>
    </w:p>
    <w:p w:rsidR="00E46BF4" w:rsidRDefault="00DB5004" w:rsidP="00D34D3F">
      <w:pPr>
        <w:contextualSpacing/>
        <w:jc w:val="center"/>
        <w:rPr>
          <w:rFonts w:asciiTheme="majorBidi" w:hAnsiTheme="majorBidi" w:cstheme="majorBidi"/>
          <w:i w:val="0"/>
          <w:iCs/>
          <w:sz w:val="22"/>
          <w:szCs w:val="22"/>
        </w:rPr>
      </w:pPr>
      <w:r w:rsidRPr="00E46BF4">
        <w:rPr>
          <w:rFonts w:asciiTheme="majorBidi" w:hAnsiTheme="majorBidi" w:cstheme="majorBidi"/>
          <w:i w:val="0"/>
          <w:iCs/>
          <w:sz w:val="22"/>
          <w:szCs w:val="22"/>
        </w:rPr>
        <w:t xml:space="preserve">Table 1: International Investment Position (IIP) </w:t>
      </w:r>
      <w:r w:rsidR="006D61E4" w:rsidRPr="00E46BF4">
        <w:rPr>
          <w:rFonts w:asciiTheme="majorBidi" w:hAnsiTheme="majorBidi" w:cstheme="majorBidi"/>
          <w:i w:val="0"/>
          <w:iCs/>
          <w:sz w:val="22"/>
          <w:szCs w:val="22"/>
        </w:rPr>
        <w:t xml:space="preserve">Stock </w:t>
      </w:r>
      <w:r w:rsidRPr="00E46BF4">
        <w:rPr>
          <w:rFonts w:asciiTheme="majorBidi" w:hAnsiTheme="majorBidi" w:cstheme="majorBidi"/>
          <w:i w:val="0"/>
          <w:iCs/>
          <w:sz w:val="22"/>
          <w:szCs w:val="22"/>
        </w:rPr>
        <w:t xml:space="preserve">by Economic Sectors </w:t>
      </w:r>
      <w:r w:rsidR="006D61E4" w:rsidRPr="00E46BF4">
        <w:rPr>
          <w:rFonts w:asciiTheme="majorBidi" w:hAnsiTheme="majorBidi" w:cstheme="majorBidi"/>
          <w:i w:val="0"/>
          <w:iCs/>
          <w:sz w:val="22"/>
          <w:szCs w:val="22"/>
        </w:rPr>
        <w:t xml:space="preserve">for </w:t>
      </w:r>
      <w:r w:rsidRPr="00E46BF4">
        <w:rPr>
          <w:rFonts w:asciiTheme="majorBidi" w:hAnsiTheme="majorBidi" w:cstheme="majorBidi"/>
          <w:i w:val="0"/>
          <w:iCs/>
          <w:sz w:val="22"/>
          <w:szCs w:val="22"/>
        </w:rPr>
        <w:t xml:space="preserve">Palestine, </w:t>
      </w:r>
    </w:p>
    <w:p w:rsidR="00DB5004" w:rsidRPr="00E46BF4" w:rsidRDefault="00DB5004" w:rsidP="00D34D3F">
      <w:pPr>
        <w:contextualSpacing/>
        <w:jc w:val="center"/>
        <w:rPr>
          <w:rFonts w:asciiTheme="majorBidi" w:hAnsiTheme="majorBidi" w:cstheme="majorBidi"/>
          <w:i w:val="0"/>
          <w:iCs/>
          <w:sz w:val="22"/>
          <w:szCs w:val="22"/>
        </w:rPr>
      </w:pPr>
      <w:r w:rsidRPr="00E46BF4">
        <w:rPr>
          <w:rFonts w:asciiTheme="majorBidi" w:hAnsiTheme="majorBidi" w:cstheme="majorBidi"/>
          <w:i w:val="0"/>
          <w:iCs/>
          <w:sz w:val="22"/>
          <w:szCs w:val="22"/>
        </w:rPr>
        <w:t xml:space="preserve">at the </w:t>
      </w:r>
      <w:r w:rsidR="006D61E4" w:rsidRPr="00E46BF4">
        <w:rPr>
          <w:rFonts w:asciiTheme="majorBidi" w:hAnsiTheme="majorBidi" w:cstheme="majorBidi"/>
          <w:i w:val="0"/>
          <w:iCs/>
          <w:sz w:val="22"/>
          <w:szCs w:val="22"/>
        </w:rPr>
        <w:t xml:space="preserve">End </w:t>
      </w:r>
      <w:r w:rsidRPr="00E46BF4">
        <w:rPr>
          <w:rFonts w:asciiTheme="majorBidi" w:hAnsiTheme="majorBidi" w:cstheme="majorBidi"/>
          <w:i w:val="0"/>
          <w:iCs/>
          <w:sz w:val="22"/>
          <w:szCs w:val="22"/>
        </w:rPr>
        <w:t xml:space="preserve">of the </w:t>
      </w:r>
      <w:r w:rsidR="00E85A96" w:rsidRPr="00E46BF4">
        <w:rPr>
          <w:rFonts w:asciiTheme="majorBidi" w:hAnsiTheme="majorBidi" w:cstheme="majorBidi"/>
          <w:i w:val="0"/>
          <w:iCs/>
          <w:sz w:val="22"/>
          <w:szCs w:val="22"/>
        </w:rPr>
        <w:t>F</w:t>
      </w:r>
      <w:r w:rsidR="00D34D3F" w:rsidRPr="00E46BF4">
        <w:rPr>
          <w:rFonts w:asciiTheme="majorBidi" w:hAnsiTheme="majorBidi" w:cstheme="majorBidi"/>
          <w:i w:val="0"/>
          <w:iCs/>
          <w:sz w:val="22"/>
          <w:szCs w:val="22"/>
        </w:rPr>
        <w:t>irst</w:t>
      </w:r>
      <w:r w:rsidRPr="00E46BF4">
        <w:rPr>
          <w:rFonts w:asciiTheme="majorBidi" w:hAnsiTheme="majorBidi" w:cstheme="majorBidi"/>
          <w:i w:val="0"/>
          <w:iCs/>
          <w:sz w:val="22"/>
          <w:szCs w:val="22"/>
        </w:rPr>
        <w:t xml:space="preserve"> Quarter</w:t>
      </w:r>
      <w:r w:rsidR="00E85A96" w:rsidRPr="00E46BF4">
        <w:rPr>
          <w:rFonts w:asciiTheme="majorBidi" w:hAnsiTheme="majorBidi" w:cstheme="majorBidi"/>
          <w:i w:val="0"/>
          <w:iCs/>
          <w:sz w:val="22"/>
          <w:szCs w:val="22"/>
        </w:rPr>
        <w:t>,</w:t>
      </w:r>
      <w:r w:rsidRPr="00E46BF4">
        <w:rPr>
          <w:rFonts w:asciiTheme="majorBidi" w:hAnsiTheme="majorBidi" w:cstheme="majorBidi"/>
          <w:i w:val="0"/>
          <w:iCs/>
          <w:sz w:val="22"/>
          <w:szCs w:val="22"/>
        </w:rPr>
        <w:t xml:space="preserve"> 201</w:t>
      </w:r>
      <w:r w:rsidR="00D34D3F" w:rsidRPr="00E46BF4">
        <w:rPr>
          <w:rFonts w:asciiTheme="majorBidi" w:hAnsiTheme="majorBidi" w:cstheme="majorBidi"/>
          <w:i w:val="0"/>
          <w:iCs/>
          <w:sz w:val="22"/>
          <w:szCs w:val="22"/>
        </w:rPr>
        <w:t>8</w:t>
      </w:r>
    </w:p>
    <w:p w:rsidR="00DB5004" w:rsidRPr="00E46BF4" w:rsidRDefault="00DB5004" w:rsidP="00DB5004">
      <w:pPr>
        <w:contextualSpacing/>
        <w:jc w:val="center"/>
        <w:rPr>
          <w:rFonts w:asciiTheme="majorBidi" w:hAnsiTheme="majorBidi" w:cstheme="majorBidi"/>
          <w:i w:val="0"/>
          <w:iCs/>
          <w:sz w:val="22"/>
          <w:szCs w:val="22"/>
        </w:rPr>
      </w:pPr>
    </w:p>
    <w:p w:rsidR="00DB5004" w:rsidRPr="00E46BF4" w:rsidRDefault="00F00306" w:rsidP="00E46BF4">
      <w:pPr>
        <w:ind w:left="-142" w:right="3631"/>
        <w:contextualSpacing/>
        <w:rPr>
          <w:rFonts w:asciiTheme="majorBidi" w:hAnsiTheme="majorBidi" w:cstheme="majorBidi"/>
          <w:i w:val="0"/>
          <w:iCs/>
          <w:sz w:val="20"/>
          <w:szCs w:val="20"/>
        </w:rPr>
      </w:pPr>
      <w:r w:rsidRPr="00E46BF4">
        <w:rPr>
          <w:rFonts w:asciiTheme="majorBidi" w:hAnsiTheme="majorBidi" w:cstheme="majorBidi"/>
          <w:i w:val="0"/>
          <w:iCs/>
          <w:sz w:val="20"/>
          <w:szCs w:val="20"/>
        </w:rPr>
        <w:t xml:space="preserve">  </w:t>
      </w:r>
      <w:r w:rsidR="00DB5004" w:rsidRPr="00E46BF4">
        <w:rPr>
          <w:rFonts w:asciiTheme="majorBidi" w:hAnsiTheme="majorBidi" w:cstheme="majorBidi"/>
          <w:i w:val="0"/>
          <w:iCs/>
          <w:sz w:val="20"/>
          <w:szCs w:val="20"/>
        </w:rPr>
        <w:t xml:space="preserve"> Value in million USD</w:t>
      </w:r>
    </w:p>
    <w:tbl>
      <w:tblPr>
        <w:bidiVisual/>
        <w:tblW w:w="10822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"/>
        <w:gridCol w:w="991"/>
        <w:gridCol w:w="1985"/>
        <w:gridCol w:w="991"/>
        <w:gridCol w:w="1277"/>
        <w:gridCol w:w="1418"/>
        <w:gridCol w:w="3154"/>
      </w:tblGrid>
      <w:tr w:rsidR="00DB5004" w:rsidRPr="00E46BF4" w:rsidTr="00E46BF4">
        <w:trPr>
          <w:trHeight w:val="284"/>
          <w:jc w:val="center"/>
        </w:trPr>
        <w:tc>
          <w:tcPr>
            <w:tcW w:w="465" w:type="pct"/>
            <w:vMerge w:val="restart"/>
            <w:vAlign w:val="center"/>
          </w:tcPr>
          <w:p w:rsidR="00DB5004" w:rsidRPr="00E46BF4" w:rsidRDefault="00DB5004" w:rsidP="002D40C1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E46BF4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TOTAL</w:t>
            </w:r>
          </w:p>
        </w:tc>
        <w:tc>
          <w:tcPr>
            <w:tcW w:w="1375" w:type="pct"/>
            <w:gridSpan w:val="2"/>
            <w:vAlign w:val="center"/>
          </w:tcPr>
          <w:p w:rsidR="00DB5004" w:rsidRPr="00E46BF4" w:rsidRDefault="00DB5004" w:rsidP="002D40C1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E46BF4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Other Sectors</w:t>
            </w:r>
          </w:p>
        </w:tc>
        <w:tc>
          <w:tcPr>
            <w:tcW w:w="458" w:type="pct"/>
            <w:vMerge w:val="restart"/>
            <w:vAlign w:val="center"/>
          </w:tcPr>
          <w:p w:rsidR="00DB5004" w:rsidRPr="00E46BF4" w:rsidRDefault="00DB5004" w:rsidP="002D40C1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E46BF4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Banks Sector</w:t>
            </w:r>
          </w:p>
        </w:tc>
        <w:tc>
          <w:tcPr>
            <w:tcW w:w="590" w:type="pct"/>
            <w:vMerge w:val="restart"/>
            <w:vAlign w:val="center"/>
          </w:tcPr>
          <w:p w:rsidR="00DB5004" w:rsidRPr="00E46BF4" w:rsidRDefault="00DB5004" w:rsidP="002D40C1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E46BF4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Government Sector</w:t>
            </w:r>
          </w:p>
        </w:tc>
        <w:tc>
          <w:tcPr>
            <w:tcW w:w="655" w:type="pct"/>
            <w:vMerge w:val="restart"/>
            <w:vAlign w:val="center"/>
          </w:tcPr>
          <w:p w:rsidR="00DB5004" w:rsidRPr="00E46BF4" w:rsidRDefault="00DB5004" w:rsidP="002D40C1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E46BF4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Monetary Authorities (PMA)</w:t>
            </w:r>
          </w:p>
        </w:tc>
        <w:tc>
          <w:tcPr>
            <w:tcW w:w="1457" w:type="pct"/>
            <w:vMerge w:val="restart"/>
          </w:tcPr>
          <w:p w:rsidR="00DB5004" w:rsidRPr="00E46BF4" w:rsidRDefault="00082DD1" w:rsidP="002D40C1">
            <w:pPr>
              <w:spacing w:line="0" w:lineRule="atLeast"/>
              <w:rPr>
                <w:rFonts w:asciiTheme="majorBidi" w:hAnsiTheme="majorBidi" w:cstheme="majorBidi"/>
                <w:i w:val="0"/>
                <w:iCs/>
              </w:rPr>
            </w:pPr>
            <w:r w:rsidRPr="00082DD1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2.2pt;margin-top:4.05pt;width:155.15pt;height:94.4pt;z-index:251663360;mso-position-horizontal-relative:text;mso-position-vertical-relative:text" o:connectortype="straight">
                  <w10:wrap anchorx="page"/>
                </v:shape>
              </w:pict>
            </w:r>
            <w:r w:rsidR="00DB5004" w:rsidRPr="00E46BF4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 xml:space="preserve">            Economic Sector</w:t>
            </w:r>
            <w:r w:rsidR="00DB5004" w:rsidRPr="00E46BF4">
              <w:rPr>
                <w:rFonts w:asciiTheme="majorBidi" w:hAnsiTheme="majorBidi" w:cstheme="majorBidi"/>
                <w:i w:val="0"/>
                <w:iCs/>
                <w:sz w:val="22"/>
                <w:szCs w:val="22"/>
                <w:rtl/>
              </w:rPr>
              <w:t xml:space="preserve">   </w:t>
            </w:r>
          </w:p>
          <w:p w:rsidR="00DB5004" w:rsidRPr="00E46BF4" w:rsidRDefault="00DB5004" w:rsidP="002D40C1">
            <w:pPr>
              <w:rPr>
                <w:rFonts w:asciiTheme="majorBidi" w:hAnsiTheme="majorBidi" w:cstheme="majorBidi"/>
                <w:i w:val="0"/>
                <w:iCs/>
                <w:rtl/>
              </w:rPr>
            </w:pPr>
          </w:p>
          <w:p w:rsidR="00DB5004" w:rsidRPr="00E46BF4" w:rsidRDefault="00DB5004" w:rsidP="002D40C1">
            <w:pPr>
              <w:rPr>
                <w:rFonts w:asciiTheme="majorBidi" w:hAnsiTheme="majorBidi" w:cstheme="majorBidi"/>
                <w:i w:val="0"/>
                <w:iCs/>
                <w:rtl/>
              </w:rPr>
            </w:pPr>
          </w:p>
          <w:p w:rsidR="00DB5004" w:rsidRPr="00E46BF4" w:rsidRDefault="00DB5004" w:rsidP="002D40C1">
            <w:pPr>
              <w:rPr>
                <w:rFonts w:asciiTheme="majorBidi" w:hAnsiTheme="majorBidi" w:cstheme="majorBidi"/>
                <w:i w:val="0"/>
                <w:iCs/>
                <w:rtl/>
              </w:rPr>
            </w:pPr>
          </w:p>
          <w:p w:rsidR="00DB5004" w:rsidRPr="00E46BF4" w:rsidRDefault="00DB5004" w:rsidP="002D40C1">
            <w:pPr>
              <w:tabs>
                <w:tab w:val="left" w:pos="3067"/>
              </w:tabs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E46BF4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 xml:space="preserve">               </w:t>
            </w:r>
          </w:p>
          <w:p w:rsidR="00DB5004" w:rsidRPr="00E46BF4" w:rsidRDefault="00DB5004" w:rsidP="002D40C1">
            <w:pPr>
              <w:tabs>
                <w:tab w:val="left" w:pos="3067"/>
              </w:tabs>
              <w:rPr>
                <w:rFonts w:asciiTheme="majorBidi" w:hAnsiTheme="majorBidi" w:cstheme="majorBidi"/>
                <w:i w:val="0"/>
                <w:iCs/>
              </w:rPr>
            </w:pPr>
          </w:p>
          <w:p w:rsidR="00DB5004" w:rsidRPr="00E46BF4" w:rsidRDefault="00DB5004" w:rsidP="002D40C1">
            <w:pPr>
              <w:tabs>
                <w:tab w:val="left" w:pos="3067"/>
              </w:tabs>
              <w:rPr>
                <w:rFonts w:asciiTheme="majorBidi" w:hAnsiTheme="majorBidi" w:cstheme="majorBidi"/>
                <w:i w:val="0"/>
                <w:iCs/>
              </w:rPr>
            </w:pPr>
            <w:r w:rsidRPr="00E46BF4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 xml:space="preserve">Investments Stocks by </w:t>
            </w:r>
          </w:p>
          <w:p w:rsidR="00DB5004" w:rsidRPr="00E46BF4" w:rsidRDefault="00DB5004" w:rsidP="002D40C1">
            <w:pPr>
              <w:tabs>
                <w:tab w:val="left" w:pos="3067"/>
              </w:tabs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E46BF4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Type of Investment</w:t>
            </w:r>
          </w:p>
        </w:tc>
      </w:tr>
      <w:tr w:rsidR="00DB5004" w:rsidRPr="00E46BF4" w:rsidTr="00E46BF4">
        <w:trPr>
          <w:trHeight w:val="1492"/>
          <w:jc w:val="center"/>
        </w:trPr>
        <w:tc>
          <w:tcPr>
            <w:tcW w:w="465" w:type="pct"/>
            <w:vMerge/>
            <w:vAlign w:val="center"/>
          </w:tcPr>
          <w:p w:rsidR="00DB5004" w:rsidRPr="00E46BF4" w:rsidRDefault="00DB5004" w:rsidP="002D40C1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</w:p>
        </w:tc>
        <w:tc>
          <w:tcPr>
            <w:tcW w:w="458" w:type="pct"/>
            <w:vAlign w:val="center"/>
          </w:tcPr>
          <w:p w:rsidR="00DB5004" w:rsidRPr="00E46BF4" w:rsidRDefault="00DB5004" w:rsidP="002D40C1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E46BF4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House- Holds Sector</w:t>
            </w:r>
          </w:p>
        </w:tc>
        <w:tc>
          <w:tcPr>
            <w:tcW w:w="917" w:type="pct"/>
            <w:vAlign w:val="center"/>
          </w:tcPr>
          <w:p w:rsidR="00DB5004" w:rsidRPr="00E46BF4" w:rsidRDefault="00DB5004" w:rsidP="002D40C1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E46BF4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Nonbank Financial Corporations, Non-Financial Corporations, and NGOs Sector</w:t>
            </w:r>
          </w:p>
        </w:tc>
        <w:tc>
          <w:tcPr>
            <w:tcW w:w="458" w:type="pct"/>
            <w:vMerge/>
          </w:tcPr>
          <w:p w:rsidR="00DB5004" w:rsidRPr="00E46BF4" w:rsidRDefault="00DB5004" w:rsidP="002D40C1">
            <w:pPr>
              <w:spacing w:line="0" w:lineRule="atLeast"/>
              <w:jc w:val="center"/>
              <w:rPr>
                <w:rFonts w:asciiTheme="majorBidi" w:hAnsiTheme="majorBidi" w:cstheme="majorBidi"/>
                <w:b w:val="0"/>
                <w:bCs/>
                <w:rtl/>
              </w:rPr>
            </w:pPr>
          </w:p>
        </w:tc>
        <w:tc>
          <w:tcPr>
            <w:tcW w:w="590" w:type="pct"/>
            <w:vMerge/>
          </w:tcPr>
          <w:p w:rsidR="00DB5004" w:rsidRPr="00E46BF4" w:rsidRDefault="00DB5004" w:rsidP="002D40C1">
            <w:pPr>
              <w:spacing w:line="0" w:lineRule="atLeast"/>
              <w:jc w:val="center"/>
              <w:rPr>
                <w:rFonts w:asciiTheme="majorBidi" w:hAnsiTheme="majorBidi" w:cstheme="majorBidi"/>
                <w:b w:val="0"/>
                <w:bCs/>
                <w:rtl/>
              </w:rPr>
            </w:pPr>
          </w:p>
        </w:tc>
        <w:tc>
          <w:tcPr>
            <w:tcW w:w="655" w:type="pct"/>
            <w:vMerge/>
            <w:vAlign w:val="center"/>
          </w:tcPr>
          <w:p w:rsidR="00DB5004" w:rsidRPr="00E46BF4" w:rsidRDefault="00DB5004" w:rsidP="002D40C1">
            <w:pPr>
              <w:spacing w:line="0" w:lineRule="atLeast"/>
              <w:jc w:val="center"/>
              <w:rPr>
                <w:rFonts w:asciiTheme="majorBidi" w:hAnsiTheme="majorBidi" w:cstheme="majorBidi"/>
                <w:b w:val="0"/>
                <w:bCs/>
                <w:rtl/>
              </w:rPr>
            </w:pPr>
          </w:p>
        </w:tc>
        <w:tc>
          <w:tcPr>
            <w:tcW w:w="1457" w:type="pct"/>
            <w:vMerge/>
          </w:tcPr>
          <w:p w:rsidR="00DB5004" w:rsidRPr="00E46BF4" w:rsidRDefault="00DB5004" w:rsidP="002D40C1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rtl/>
              </w:rPr>
            </w:pPr>
          </w:p>
        </w:tc>
      </w:tr>
      <w:tr w:rsidR="007A705B" w:rsidRPr="00E46BF4" w:rsidTr="00E46BF4">
        <w:trPr>
          <w:trHeight w:val="284"/>
          <w:jc w:val="center"/>
        </w:trPr>
        <w:tc>
          <w:tcPr>
            <w:tcW w:w="465" w:type="pct"/>
            <w:vAlign w:val="center"/>
          </w:tcPr>
          <w:p w:rsidR="007A705B" w:rsidRPr="00E46BF4" w:rsidRDefault="007A705B" w:rsidP="00E46BF4">
            <w:pPr>
              <w:ind w:firstLineChars="100" w:firstLine="221"/>
              <w:jc w:val="center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1,054</w:t>
            </w:r>
          </w:p>
        </w:tc>
        <w:tc>
          <w:tcPr>
            <w:tcW w:w="458" w:type="pct"/>
            <w:vAlign w:val="center"/>
          </w:tcPr>
          <w:p w:rsidR="007A705B" w:rsidRPr="00E46BF4" w:rsidRDefault="007A705B" w:rsidP="00E46BF4">
            <w:pPr>
              <w:ind w:firstLineChars="100" w:firstLine="221"/>
              <w:jc w:val="center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-917</w:t>
            </w:r>
          </w:p>
        </w:tc>
        <w:tc>
          <w:tcPr>
            <w:tcW w:w="917" w:type="pct"/>
            <w:vAlign w:val="center"/>
          </w:tcPr>
          <w:p w:rsidR="007A705B" w:rsidRPr="00E46BF4" w:rsidRDefault="007A705B" w:rsidP="00E46BF4">
            <w:pPr>
              <w:ind w:firstLineChars="100" w:firstLine="221"/>
              <w:jc w:val="center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-557</w:t>
            </w:r>
          </w:p>
        </w:tc>
        <w:tc>
          <w:tcPr>
            <w:tcW w:w="458" w:type="pct"/>
            <w:vAlign w:val="center"/>
          </w:tcPr>
          <w:p w:rsidR="007A705B" w:rsidRPr="00E46BF4" w:rsidRDefault="007A705B" w:rsidP="00E46BF4">
            <w:pPr>
              <w:ind w:firstLineChars="100" w:firstLine="221"/>
              <w:jc w:val="center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2,548</w:t>
            </w:r>
          </w:p>
        </w:tc>
        <w:tc>
          <w:tcPr>
            <w:tcW w:w="590" w:type="pct"/>
            <w:vAlign w:val="bottom"/>
          </w:tcPr>
          <w:p w:rsidR="007A705B" w:rsidRPr="00E46BF4" w:rsidRDefault="007A705B" w:rsidP="00C24923">
            <w:pPr>
              <w:jc w:val="center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-994</w:t>
            </w:r>
          </w:p>
        </w:tc>
        <w:tc>
          <w:tcPr>
            <w:tcW w:w="655" w:type="pct"/>
            <w:vAlign w:val="bottom"/>
          </w:tcPr>
          <w:p w:rsidR="007A705B" w:rsidRPr="00E46BF4" w:rsidRDefault="007A705B" w:rsidP="00C24923">
            <w:pPr>
              <w:jc w:val="center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974</w:t>
            </w:r>
          </w:p>
        </w:tc>
        <w:tc>
          <w:tcPr>
            <w:tcW w:w="1457" w:type="pct"/>
            <w:vAlign w:val="center"/>
          </w:tcPr>
          <w:p w:rsidR="007A705B" w:rsidRPr="00E46BF4" w:rsidRDefault="007A705B" w:rsidP="002D40C1">
            <w:pPr>
              <w:spacing w:line="0" w:lineRule="atLeast"/>
              <w:rPr>
                <w:rFonts w:asciiTheme="majorBidi" w:hAnsiTheme="majorBidi" w:cstheme="majorBidi"/>
                <w:i w:val="0"/>
                <w:iCs/>
              </w:rPr>
            </w:pPr>
            <w:r w:rsidRPr="00E46BF4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International Investment Position (net)*</w:t>
            </w:r>
          </w:p>
        </w:tc>
      </w:tr>
      <w:tr w:rsidR="007A705B" w:rsidRPr="00E46BF4" w:rsidTr="00E46BF4">
        <w:trPr>
          <w:trHeight w:val="284"/>
          <w:jc w:val="center"/>
        </w:trPr>
        <w:tc>
          <w:tcPr>
            <w:tcW w:w="465" w:type="pct"/>
            <w:vAlign w:val="center"/>
          </w:tcPr>
          <w:p w:rsidR="007A705B" w:rsidRPr="00E46BF4" w:rsidRDefault="007A705B" w:rsidP="00E46BF4">
            <w:pPr>
              <w:ind w:firstLineChars="100" w:firstLine="221"/>
              <w:jc w:val="center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6,211</w:t>
            </w:r>
          </w:p>
        </w:tc>
        <w:tc>
          <w:tcPr>
            <w:tcW w:w="458" w:type="pct"/>
            <w:vAlign w:val="center"/>
          </w:tcPr>
          <w:p w:rsidR="007A705B" w:rsidRPr="00E46BF4" w:rsidRDefault="007A705B" w:rsidP="00E46BF4">
            <w:pPr>
              <w:ind w:firstLineChars="100" w:firstLine="221"/>
              <w:jc w:val="center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917" w:type="pct"/>
            <w:vAlign w:val="center"/>
          </w:tcPr>
          <w:p w:rsidR="007A705B" w:rsidRPr="00E46BF4" w:rsidRDefault="007A705B" w:rsidP="00E46BF4">
            <w:pPr>
              <w:ind w:firstLineChars="100" w:firstLine="221"/>
              <w:jc w:val="center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655</w:t>
            </w:r>
          </w:p>
        </w:tc>
        <w:tc>
          <w:tcPr>
            <w:tcW w:w="458" w:type="pct"/>
            <w:vAlign w:val="center"/>
          </w:tcPr>
          <w:p w:rsidR="007A705B" w:rsidRPr="00E46BF4" w:rsidRDefault="007A705B" w:rsidP="00E46BF4">
            <w:pPr>
              <w:ind w:firstLineChars="100" w:firstLine="221"/>
              <w:jc w:val="center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4,470</w:t>
            </w:r>
          </w:p>
        </w:tc>
        <w:tc>
          <w:tcPr>
            <w:tcW w:w="590" w:type="pct"/>
            <w:vAlign w:val="bottom"/>
          </w:tcPr>
          <w:p w:rsidR="007A705B" w:rsidRPr="00E46BF4" w:rsidRDefault="007A705B" w:rsidP="00C24923">
            <w:pPr>
              <w:jc w:val="center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655" w:type="pct"/>
            <w:vAlign w:val="bottom"/>
          </w:tcPr>
          <w:p w:rsidR="007A705B" w:rsidRPr="00E46BF4" w:rsidRDefault="007A705B" w:rsidP="00C24923">
            <w:pPr>
              <w:jc w:val="center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974</w:t>
            </w:r>
          </w:p>
        </w:tc>
        <w:tc>
          <w:tcPr>
            <w:tcW w:w="1457" w:type="pct"/>
            <w:vAlign w:val="center"/>
          </w:tcPr>
          <w:p w:rsidR="007A705B" w:rsidRPr="00E46BF4" w:rsidRDefault="007A705B" w:rsidP="002D40C1">
            <w:pPr>
              <w:spacing w:line="0" w:lineRule="atLeast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E46BF4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 xml:space="preserve">Total External Assets </w:t>
            </w:r>
          </w:p>
        </w:tc>
      </w:tr>
      <w:tr w:rsidR="007A705B" w:rsidRPr="00E46BF4" w:rsidTr="00E46BF4">
        <w:trPr>
          <w:trHeight w:val="284"/>
          <w:jc w:val="center"/>
        </w:trPr>
        <w:tc>
          <w:tcPr>
            <w:tcW w:w="465" w:type="pct"/>
            <w:vAlign w:val="center"/>
          </w:tcPr>
          <w:p w:rsidR="007A705B" w:rsidRPr="00E46BF4" w:rsidRDefault="007A705B" w:rsidP="00E46BF4">
            <w:pPr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388</w:t>
            </w:r>
          </w:p>
        </w:tc>
        <w:tc>
          <w:tcPr>
            <w:tcW w:w="458" w:type="pct"/>
            <w:vAlign w:val="center"/>
          </w:tcPr>
          <w:p w:rsidR="007A705B" w:rsidRPr="00E46BF4" w:rsidRDefault="007A705B" w:rsidP="00E46BF4">
            <w:pPr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917" w:type="pct"/>
            <w:vAlign w:val="center"/>
          </w:tcPr>
          <w:p w:rsidR="007A705B" w:rsidRPr="00E46BF4" w:rsidRDefault="007A705B" w:rsidP="00E46BF4">
            <w:pPr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345</w:t>
            </w:r>
          </w:p>
        </w:tc>
        <w:tc>
          <w:tcPr>
            <w:tcW w:w="458" w:type="pct"/>
            <w:vAlign w:val="center"/>
          </w:tcPr>
          <w:p w:rsidR="007A705B" w:rsidRPr="00E46BF4" w:rsidRDefault="007A705B" w:rsidP="00E46BF4">
            <w:pPr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90" w:type="pct"/>
            <w:vAlign w:val="bottom"/>
          </w:tcPr>
          <w:p w:rsidR="007A705B" w:rsidRPr="00E46BF4" w:rsidRDefault="007A705B" w:rsidP="00C24923">
            <w:pPr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55" w:type="pct"/>
            <w:vAlign w:val="bottom"/>
          </w:tcPr>
          <w:p w:rsidR="007A705B" w:rsidRPr="00E46BF4" w:rsidRDefault="007A705B" w:rsidP="00C24923">
            <w:pPr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57" w:type="pct"/>
            <w:vAlign w:val="center"/>
          </w:tcPr>
          <w:p w:rsidR="007A705B" w:rsidRPr="00E46BF4" w:rsidRDefault="007A705B" w:rsidP="002D40C1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Foreign Direct Investment Abroad</w:t>
            </w:r>
          </w:p>
        </w:tc>
      </w:tr>
      <w:tr w:rsidR="007A705B" w:rsidRPr="00E46BF4" w:rsidTr="00E46BF4">
        <w:trPr>
          <w:trHeight w:val="284"/>
          <w:jc w:val="center"/>
        </w:trPr>
        <w:tc>
          <w:tcPr>
            <w:tcW w:w="465" w:type="pct"/>
            <w:vAlign w:val="center"/>
          </w:tcPr>
          <w:p w:rsidR="007A705B" w:rsidRPr="00E46BF4" w:rsidRDefault="007A705B" w:rsidP="00E46BF4">
            <w:pPr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1,122</w:t>
            </w:r>
          </w:p>
        </w:tc>
        <w:tc>
          <w:tcPr>
            <w:tcW w:w="458" w:type="pct"/>
            <w:vAlign w:val="center"/>
          </w:tcPr>
          <w:p w:rsidR="007A705B" w:rsidRPr="00E46BF4" w:rsidRDefault="007A705B" w:rsidP="00E46BF4">
            <w:pPr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17" w:type="pct"/>
            <w:vAlign w:val="center"/>
          </w:tcPr>
          <w:p w:rsidR="007A705B" w:rsidRPr="00E46BF4" w:rsidRDefault="007A705B" w:rsidP="00E46BF4">
            <w:pPr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153</w:t>
            </w:r>
          </w:p>
        </w:tc>
        <w:tc>
          <w:tcPr>
            <w:tcW w:w="458" w:type="pct"/>
            <w:vAlign w:val="center"/>
          </w:tcPr>
          <w:p w:rsidR="007A705B" w:rsidRPr="00E46BF4" w:rsidRDefault="007A705B" w:rsidP="00E46BF4">
            <w:pPr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886</w:t>
            </w:r>
          </w:p>
        </w:tc>
        <w:tc>
          <w:tcPr>
            <w:tcW w:w="590" w:type="pct"/>
            <w:vAlign w:val="bottom"/>
          </w:tcPr>
          <w:p w:rsidR="007A705B" w:rsidRPr="00E46BF4" w:rsidRDefault="007A705B" w:rsidP="00C24923">
            <w:pPr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55" w:type="pct"/>
            <w:vAlign w:val="bottom"/>
          </w:tcPr>
          <w:p w:rsidR="007A705B" w:rsidRPr="00E46BF4" w:rsidRDefault="007A705B" w:rsidP="00C24923">
            <w:pPr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83</w:t>
            </w:r>
          </w:p>
        </w:tc>
        <w:tc>
          <w:tcPr>
            <w:tcW w:w="1457" w:type="pct"/>
            <w:vAlign w:val="center"/>
          </w:tcPr>
          <w:p w:rsidR="007A705B" w:rsidRPr="00E46BF4" w:rsidRDefault="007A705B" w:rsidP="002D40C1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Portfolio Investments Abroad</w:t>
            </w:r>
          </w:p>
        </w:tc>
      </w:tr>
      <w:tr w:rsidR="007A705B" w:rsidRPr="00E46BF4" w:rsidTr="00E46BF4">
        <w:trPr>
          <w:trHeight w:val="284"/>
          <w:jc w:val="center"/>
        </w:trPr>
        <w:tc>
          <w:tcPr>
            <w:tcW w:w="465" w:type="pct"/>
            <w:vAlign w:val="center"/>
          </w:tcPr>
          <w:p w:rsidR="007A705B" w:rsidRPr="00E46BF4" w:rsidRDefault="007A705B" w:rsidP="00E46BF4">
            <w:pPr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4,148</w:t>
            </w:r>
          </w:p>
        </w:tc>
        <w:tc>
          <w:tcPr>
            <w:tcW w:w="458" w:type="pct"/>
            <w:vAlign w:val="center"/>
          </w:tcPr>
          <w:p w:rsidR="007A705B" w:rsidRPr="00E46BF4" w:rsidRDefault="007A705B" w:rsidP="00E46BF4">
            <w:pPr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917" w:type="pct"/>
            <w:vAlign w:val="center"/>
          </w:tcPr>
          <w:p w:rsidR="007A705B" w:rsidRPr="00E46BF4" w:rsidRDefault="007A705B" w:rsidP="00E46BF4">
            <w:pPr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157</w:t>
            </w:r>
          </w:p>
        </w:tc>
        <w:tc>
          <w:tcPr>
            <w:tcW w:w="458" w:type="pct"/>
            <w:vAlign w:val="center"/>
          </w:tcPr>
          <w:p w:rsidR="007A705B" w:rsidRPr="00E46BF4" w:rsidRDefault="007A705B" w:rsidP="00E46BF4">
            <w:pPr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3,584</w:t>
            </w:r>
          </w:p>
        </w:tc>
        <w:tc>
          <w:tcPr>
            <w:tcW w:w="590" w:type="pct"/>
            <w:vAlign w:val="bottom"/>
          </w:tcPr>
          <w:p w:rsidR="007A705B" w:rsidRPr="00E46BF4" w:rsidRDefault="007A705B" w:rsidP="00C24923">
            <w:pPr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655" w:type="pct"/>
            <w:vAlign w:val="bottom"/>
          </w:tcPr>
          <w:p w:rsidR="007A705B" w:rsidRPr="00E46BF4" w:rsidRDefault="007A705B" w:rsidP="00C24923">
            <w:pPr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338</w:t>
            </w:r>
          </w:p>
        </w:tc>
        <w:tc>
          <w:tcPr>
            <w:tcW w:w="1457" w:type="pct"/>
            <w:vAlign w:val="center"/>
          </w:tcPr>
          <w:p w:rsidR="007A705B" w:rsidRPr="00E46BF4" w:rsidRDefault="007A705B" w:rsidP="002D40C1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Other Investments Abroad</w:t>
            </w:r>
          </w:p>
        </w:tc>
      </w:tr>
      <w:tr w:rsidR="007A705B" w:rsidRPr="00E46BF4" w:rsidTr="00E46BF4">
        <w:trPr>
          <w:trHeight w:val="284"/>
          <w:jc w:val="center"/>
        </w:trPr>
        <w:tc>
          <w:tcPr>
            <w:tcW w:w="465" w:type="pct"/>
            <w:vAlign w:val="center"/>
          </w:tcPr>
          <w:p w:rsidR="007A705B" w:rsidRPr="00E46BF4" w:rsidRDefault="007A705B" w:rsidP="00E46BF4">
            <w:pPr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3,865</w:t>
            </w:r>
          </w:p>
        </w:tc>
        <w:tc>
          <w:tcPr>
            <w:tcW w:w="458" w:type="pct"/>
            <w:vAlign w:val="center"/>
          </w:tcPr>
          <w:p w:rsidR="007A705B" w:rsidRPr="00E46BF4" w:rsidRDefault="007A705B" w:rsidP="00E46BF4">
            <w:pPr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917" w:type="pct"/>
            <w:vAlign w:val="center"/>
          </w:tcPr>
          <w:p w:rsidR="007A705B" w:rsidRPr="00E46BF4" w:rsidRDefault="007A705B" w:rsidP="00E46BF4">
            <w:pPr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58" w:type="pct"/>
            <w:vAlign w:val="center"/>
          </w:tcPr>
          <w:p w:rsidR="007A705B" w:rsidRPr="00E46BF4" w:rsidRDefault="007A705B" w:rsidP="00E46BF4">
            <w:pPr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3,504</w:t>
            </w:r>
          </w:p>
        </w:tc>
        <w:tc>
          <w:tcPr>
            <w:tcW w:w="590" w:type="pct"/>
            <w:vAlign w:val="bottom"/>
          </w:tcPr>
          <w:p w:rsidR="007A705B" w:rsidRPr="00E46BF4" w:rsidRDefault="007A705B" w:rsidP="00C24923">
            <w:pPr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55" w:type="pct"/>
            <w:vAlign w:val="bottom"/>
          </w:tcPr>
          <w:p w:rsidR="007A705B" w:rsidRPr="00E46BF4" w:rsidRDefault="007A705B" w:rsidP="00C24923">
            <w:pPr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338</w:t>
            </w:r>
          </w:p>
        </w:tc>
        <w:tc>
          <w:tcPr>
            <w:tcW w:w="1457" w:type="pct"/>
            <w:vAlign w:val="center"/>
          </w:tcPr>
          <w:p w:rsidR="007A705B" w:rsidRPr="00E46BF4" w:rsidRDefault="007A705B" w:rsidP="002D40C1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rtl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sz w:val="22"/>
                <w:szCs w:val="22"/>
              </w:rPr>
              <w:t xml:space="preserve">     Of which: currency and deposits**</w:t>
            </w:r>
          </w:p>
        </w:tc>
      </w:tr>
      <w:tr w:rsidR="007A705B" w:rsidRPr="00E46BF4" w:rsidTr="00E46BF4">
        <w:trPr>
          <w:trHeight w:val="284"/>
          <w:jc w:val="center"/>
        </w:trPr>
        <w:tc>
          <w:tcPr>
            <w:tcW w:w="465" w:type="pct"/>
            <w:vAlign w:val="center"/>
          </w:tcPr>
          <w:p w:rsidR="007A705B" w:rsidRPr="00E46BF4" w:rsidRDefault="007A705B" w:rsidP="00E46BF4">
            <w:pPr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553</w:t>
            </w:r>
          </w:p>
        </w:tc>
        <w:tc>
          <w:tcPr>
            <w:tcW w:w="458" w:type="pct"/>
            <w:vAlign w:val="center"/>
          </w:tcPr>
          <w:p w:rsidR="007A705B" w:rsidRPr="00E46BF4" w:rsidRDefault="007A705B" w:rsidP="00E46BF4">
            <w:pPr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17" w:type="pct"/>
            <w:vAlign w:val="center"/>
          </w:tcPr>
          <w:p w:rsidR="007A705B" w:rsidRPr="00E46BF4" w:rsidRDefault="007A705B" w:rsidP="00E46BF4">
            <w:pPr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58" w:type="pct"/>
            <w:vAlign w:val="center"/>
          </w:tcPr>
          <w:p w:rsidR="007A705B" w:rsidRPr="00E46BF4" w:rsidRDefault="007A705B" w:rsidP="00E46BF4">
            <w:pPr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90" w:type="pct"/>
            <w:vAlign w:val="bottom"/>
          </w:tcPr>
          <w:p w:rsidR="007A705B" w:rsidRPr="00E46BF4" w:rsidRDefault="007A705B" w:rsidP="00C24923">
            <w:pPr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55" w:type="pct"/>
            <w:vAlign w:val="bottom"/>
          </w:tcPr>
          <w:p w:rsidR="007A705B" w:rsidRPr="00E46BF4" w:rsidRDefault="007A705B" w:rsidP="00C24923">
            <w:pPr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553</w:t>
            </w:r>
          </w:p>
        </w:tc>
        <w:tc>
          <w:tcPr>
            <w:tcW w:w="1457" w:type="pct"/>
            <w:vAlign w:val="center"/>
          </w:tcPr>
          <w:p w:rsidR="007A705B" w:rsidRPr="00E46BF4" w:rsidRDefault="007A705B" w:rsidP="002D40C1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Reserve Assets</w:t>
            </w:r>
          </w:p>
        </w:tc>
      </w:tr>
      <w:tr w:rsidR="007A705B" w:rsidRPr="00E46BF4" w:rsidTr="00E46BF4">
        <w:trPr>
          <w:trHeight w:val="284"/>
          <w:jc w:val="center"/>
        </w:trPr>
        <w:tc>
          <w:tcPr>
            <w:tcW w:w="465" w:type="pct"/>
            <w:vAlign w:val="center"/>
          </w:tcPr>
          <w:p w:rsidR="007A705B" w:rsidRPr="00E46BF4" w:rsidRDefault="007A705B" w:rsidP="00E46BF4">
            <w:pPr>
              <w:ind w:firstLineChars="100" w:firstLine="221"/>
              <w:jc w:val="center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5,157</w:t>
            </w:r>
          </w:p>
        </w:tc>
        <w:tc>
          <w:tcPr>
            <w:tcW w:w="458" w:type="pct"/>
            <w:vAlign w:val="center"/>
          </w:tcPr>
          <w:p w:rsidR="007A705B" w:rsidRPr="00E46BF4" w:rsidRDefault="007A705B" w:rsidP="00E46BF4">
            <w:pPr>
              <w:ind w:firstLineChars="100" w:firstLine="221"/>
              <w:jc w:val="center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983</w:t>
            </w:r>
          </w:p>
        </w:tc>
        <w:tc>
          <w:tcPr>
            <w:tcW w:w="917" w:type="pct"/>
            <w:vAlign w:val="center"/>
          </w:tcPr>
          <w:p w:rsidR="007A705B" w:rsidRPr="00E46BF4" w:rsidRDefault="007A705B" w:rsidP="00E46BF4">
            <w:pPr>
              <w:ind w:firstLineChars="100" w:firstLine="221"/>
              <w:jc w:val="center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1,212</w:t>
            </w:r>
          </w:p>
        </w:tc>
        <w:tc>
          <w:tcPr>
            <w:tcW w:w="458" w:type="pct"/>
            <w:vAlign w:val="center"/>
          </w:tcPr>
          <w:p w:rsidR="007A705B" w:rsidRPr="00E46BF4" w:rsidRDefault="007A705B" w:rsidP="00E46BF4">
            <w:pPr>
              <w:ind w:firstLineChars="100" w:firstLine="221"/>
              <w:jc w:val="center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1,922</w:t>
            </w:r>
          </w:p>
        </w:tc>
        <w:tc>
          <w:tcPr>
            <w:tcW w:w="590" w:type="pct"/>
            <w:vAlign w:val="bottom"/>
          </w:tcPr>
          <w:p w:rsidR="007A705B" w:rsidRPr="00E46BF4" w:rsidRDefault="007A705B" w:rsidP="00C24923">
            <w:pPr>
              <w:jc w:val="center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1</w:t>
            </w:r>
            <w:r w:rsidR="00953141" w:rsidRPr="00E46BF4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,</w:t>
            </w:r>
            <w:r w:rsidRPr="00E46BF4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040</w:t>
            </w:r>
          </w:p>
        </w:tc>
        <w:tc>
          <w:tcPr>
            <w:tcW w:w="655" w:type="pct"/>
            <w:vAlign w:val="bottom"/>
          </w:tcPr>
          <w:p w:rsidR="007A705B" w:rsidRPr="00E46BF4" w:rsidRDefault="007A705B" w:rsidP="00C24923">
            <w:pPr>
              <w:jc w:val="center"/>
              <w:rPr>
                <w:rFonts w:asciiTheme="majorBidi" w:hAnsiTheme="majorBidi" w:cstheme="majorBidi"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57" w:type="pct"/>
            <w:vAlign w:val="center"/>
          </w:tcPr>
          <w:p w:rsidR="007A705B" w:rsidRPr="00E46BF4" w:rsidRDefault="007A705B" w:rsidP="002D40C1">
            <w:pPr>
              <w:spacing w:line="0" w:lineRule="atLeast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E46BF4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 xml:space="preserve">Total Foreign Liabilities </w:t>
            </w:r>
          </w:p>
        </w:tc>
      </w:tr>
      <w:tr w:rsidR="007A705B" w:rsidRPr="00E46BF4" w:rsidTr="00E46BF4">
        <w:trPr>
          <w:trHeight w:val="284"/>
          <w:jc w:val="center"/>
        </w:trPr>
        <w:tc>
          <w:tcPr>
            <w:tcW w:w="465" w:type="pct"/>
            <w:vAlign w:val="center"/>
          </w:tcPr>
          <w:p w:rsidR="007A705B" w:rsidRPr="00E46BF4" w:rsidRDefault="007A705B" w:rsidP="00E46BF4">
            <w:pPr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2,683</w:t>
            </w:r>
          </w:p>
        </w:tc>
        <w:tc>
          <w:tcPr>
            <w:tcW w:w="458" w:type="pct"/>
            <w:vAlign w:val="center"/>
          </w:tcPr>
          <w:p w:rsidR="007A705B" w:rsidRPr="00E46BF4" w:rsidRDefault="007A705B" w:rsidP="00E46BF4">
            <w:pPr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983</w:t>
            </w:r>
          </w:p>
        </w:tc>
        <w:tc>
          <w:tcPr>
            <w:tcW w:w="917" w:type="pct"/>
            <w:vAlign w:val="center"/>
          </w:tcPr>
          <w:p w:rsidR="007A705B" w:rsidRPr="00E46BF4" w:rsidRDefault="007A705B" w:rsidP="00E46BF4">
            <w:pPr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745</w:t>
            </w:r>
          </w:p>
        </w:tc>
        <w:tc>
          <w:tcPr>
            <w:tcW w:w="458" w:type="pct"/>
            <w:vAlign w:val="center"/>
          </w:tcPr>
          <w:p w:rsidR="007A705B" w:rsidRPr="00E46BF4" w:rsidRDefault="007A705B" w:rsidP="00E46BF4">
            <w:pPr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955</w:t>
            </w:r>
          </w:p>
        </w:tc>
        <w:tc>
          <w:tcPr>
            <w:tcW w:w="590" w:type="pct"/>
            <w:vAlign w:val="bottom"/>
          </w:tcPr>
          <w:p w:rsidR="007A705B" w:rsidRPr="00E46BF4" w:rsidRDefault="007A705B" w:rsidP="00C24923">
            <w:pPr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55" w:type="pct"/>
            <w:vAlign w:val="bottom"/>
          </w:tcPr>
          <w:p w:rsidR="007A705B" w:rsidRPr="00E46BF4" w:rsidRDefault="007A705B" w:rsidP="00C24923">
            <w:pPr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57" w:type="pct"/>
            <w:vAlign w:val="center"/>
          </w:tcPr>
          <w:p w:rsidR="007A705B" w:rsidRPr="00E46BF4" w:rsidRDefault="007A705B" w:rsidP="002D40C1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Foreign Direct Investment in Palestine</w:t>
            </w:r>
          </w:p>
        </w:tc>
      </w:tr>
      <w:tr w:rsidR="007A705B" w:rsidRPr="00E46BF4" w:rsidTr="00E46BF4">
        <w:trPr>
          <w:trHeight w:val="284"/>
          <w:jc w:val="center"/>
        </w:trPr>
        <w:tc>
          <w:tcPr>
            <w:tcW w:w="465" w:type="pct"/>
            <w:vAlign w:val="center"/>
          </w:tcPr>
          <w:p w:rsidR="007A705B" w:rsidRPr="00E46BF4" w:rsidRDefault="007A705B" w:rsidP="00E46BF4">
            <w:pPr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839</w:t>
            </w:r>
          </w:p>
        </w:tc>
        <w:tc>
          <w:tcPr>
            <w:tcW w:w="458" w:type="pct"/>
            <w:vAlign w:val="center"/>
          </w:tcPr>
          <w:p w:rsidR="007A705B" w:rsidRPr="00E46BF4" w:rsidRDefault="007A705B" w:rsidP="00E46BF4">
            <w:pPr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17" w:type="pct"/>
            <w:vAlign w:val="center"/>
          </w:tcPr>
          <w:p w:rsidR="007A705B" w:rsidRPr="00E46BF4" w:rsidRDefault="007A705B" w:rsidP="00E46BF4">
            <w:pPr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397</w:t>
            </w:r>
          </w:p>
        </w:tc>
        <w:tc>
          <w:tcPr>
            <w:tcW w:w="458" w:type="pct"/>
            <w:vAlign w:val="center"/>
          </w:tcPr>
          <w:p w:rsidR="007A705B" w:rsidRPr="00E46BF4" w:rsidRDefault="007A705B" w:rsidP="00E46BF4">
            <w:pPr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442</w:t>
            </w:r>
          </w:p>
        </w:tc>
        <w:tc>
          <w:tcPr>
            <w:tcW w:w="590" w:type="pct"/>
            <w:vAlign w:val="bottom"/>
          </w:tcPr>
          <w:p w:rsidR="007A705B" w:rsidRPr="00E46BF4" w:rsidRDefault="007A705B" w:rsidP="00C24923">
            <w:pPr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55" w:type="pct"/>
            <w:vAlign w:val="bottom"/>
          </w:tcPr>
          <w:p w:rsidR="007A705B" w:rsidRPr="00E46BF4" w:rsidRDefault="007A705B" w:rsidP="00C24923">
            <w:pPr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57" w:type="pct"/>
            <w:vAlign w:val="center"/>
          </w:tcPr>
          <w:p w:rsidR="007A705B" w:rsidRPr="00E46BF4" w:rsidRDefault="007A705B" w:rsidP="002D40C1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Foreign Portfolio Investments in Palestine</w:t>
            </w:r>
          </w:p>
        </w:tc>
      </w:tr>
      <w:tr w:rsidR="007A705B" w:rsidRPr="00E46BF4" w:rsidTr="00E46BF4">
        <w:trPr>
          <w:trHeight w:val="284"/>
          <w:jc w:val="center"/>
        </w:trPr>
        <w:tc>
          <w:tcPr>
            <w:tcW w:w="465" w:type="pct"/>
            <w:vAlign w:val="center"/>
          </w:tcPr>
          <w:p w:rsidR="007A705B" w:rsidRPr="00E46BF4" w:rsidRDefault="007A705B" w:rsidP="00E46BF4">
            <w:pPr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1,635</w:t>
            </w:r>
          </w:p>
        </w:tc>
        <w:tc>
          <w:tcPr>
            <w:tcW w:w="458" w:type="pct"/>
            <w:vAlign w:val="center"/>
          </w:tcPr>
          <w:p w:rsidR="007A705B" w:rsidRPr="00E46BF4" w:rsidRDefault="007A705B" w:rsidP="00E46BF4">
            <w:pPr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17" w:type="pct"/>
            <w:vAlign w:val="center"/>
          </w:tcPr>
          <w:p w:rsidR="007A705B" w:rsidRPr="00E46BF4" w:rsidRDefault="007A705B" w:rsidP="00E46BF4">
            <w:pPr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458" w:type="pct"/>
            <w:vAlign w:val="center"/>
          </w:tcPr>
          <w:p w:rsidR="007A705B" w:rsidRPr="00E46BF4" w:rsidRDefault="007A705B" w:rsidP="00E46BF4">
            <w:pPr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525</w:t>
            </w:r>
          </w:p>
        </w:tc>
        <w:tc>
          <w:tcPr>
            <w:tcW w:w="590" w:type="pct"/>
            <w:vAlign w:val="bottom"/>
          </w:tcPr>
          <w:p w:rsidR="007A705B" w:rsidRPr="00E46BF4" w:rsidRDefault="007A705B" w:rsidP="00C24923">
            <w:pPr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1</w:t>
            </w:r>
            <w:r w:rsidR="00953141"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,</w:t>
            </w: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040</w:t>
            </w:r>
          </w:p>
        </w:tc>
        <w:tc>
          <w:tcPr>
            <w:tcW w:w="655" w:type="pct"/>
            <w:vAlign w:val="bottom"/>
          </w:tcPr>
          <w:p w:rsidR="007A705B" w:rsidRPr="00E46BF4" w:rsidRDefault="007A705B" w:rsidP="00C24923">
            <w:pPr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57" w:type="pct"/>
            <w:vAlign w:val="center"/>
          </w:tcPr>
          <w:p w:rsidR="007A705B" w:rsidRPr="00E46BF4" w:rsidRDefault="007A705B" w:rsidP="002D40C1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Foreign Other Investments in Palestine</w:t>
            </w:r>
            <w:r w:rsidR="00F00306"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:</w:t>
            </w:r>
          </w:p>
        </w:tc>
      </w:tr>
      <w:tr w:rsidR="007A705B" w:rsidRPr="00E46BF4" w:rsidTr="00E46BF4">
        <w:trPr>
          <w:trHeight w:val="284"/>
          <w:jc w:val="center"/>
        </w:trPr>
        <w:tc>
          <w:tcPr>
            <w:tcW w:w="465" w:type="pct"/>
            <w:vAlign w:val="center"/>
          </w:tcPr>
          <w:p w:rsidR="007A705B" w:rsidRPr="00E46BF4" w:rsidRDefault="007A705B" w:rsidP="00E46BF4">
            <w:pPr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1,083</w:t>
            </w:r>
          </w:p>
        </w:tc>
        <w:tc>
          <w:tcPr>
            <w:tcW w:w="458" w:type="pct"/>
            <w:vAlign w:val="center"/>
          </w:tcPr>
          <w:p w:rsidR="007A705B" w:rsidRPr="00E46BF4" w:rsidRDefault="007A705B" w:rsidP="00E46BF4">
            <w:pPr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17" w:type="pct"/>
            <w:vAlign w:val="center"/>
          </w:tcPr>
          <w:p w:rsidR="007A705B" w:rsidRPr="00E46BF4" w:rsidRDefault="007A705B" w:rsidP="00E46BF4">
            <w:pPr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458" w:type="pct"/>
            <w:vAlign w:val="center"/>
          </w:tcPr>
          <w:p w:rsidR="007A705B" w:rsidRPr="00E46BF4" w:rsidRDefault="007A705B" w:rsidP="00E46BF4">
            <w:pPr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90" w:type="pct"/>
            <w:vAlign w:val="bottom"/>
          </w:tcPr>
          <w:p w:rsidR="007A705B" w:rsidRPr="00E46BF4" w:rsidRDefault="007A705B" w:rsidP="00C24923">
            <w:pPr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1</w:t>
            </w:r>
            <w:r w:rsidR="00953141"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,</w:t>
            </w: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040</w:t>
            </w:r>
          </w:p>
        </w:tc>
        <w:tc>
          <w:tcPr>
            <w:tcW w:w="655" w:type="pct"/>
            <w:vAlign w:val="bottom"/>
          </w:tcPr>
          <w:p w:rsidR="007A705B" w:rsidRPr="00E46BF4" w:rsidRDefault="007A705B" w:rsidP="00C24923">
            <w:pPr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57" w:type="pct"/>
            <w:vAlign w:val="center"/>
          </w:tcPr>
          <w:p w:rsidR="007A705B" w:rsidRPr="00E46BF4" w:rsidRDefault="007A705B" w:rsidP="00B6004F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 xml:space="preserve">     Of which: loans from abroad</w:t>
            </w:r>
          </w:p>
        </w:tc>
      </w:tr>
      <w:tr w:rsidR="007A705B" w:rsidRPr="00E46BF4" w:rsidTr="00E46BF4">
        <w:trPr>
          <w:trHeight w:val="284"/>
          <w:jc w:val="center"/>
        </w:trPr>
        <w:tc>
          <w:tcPr>
            <w:tcW w:w="465" w:type="pct"/>
            <w:tcBorders>
              <w:bottom w:val="single" w:sz="4" w:space="0" w:color="auto"/>
            </w:tcBorders>
            <w:vAlign w:val="center"/>
          </w:tcPr>
          <w:p w:rsidR="007A705B" w:rsidRPr="00E46BF4" w:rsidRDefault="007A705B" w:rsidP="00E46BF4">
            <w:pPr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525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:rsidR="007A705B" w:rsidRPr="00E46BF4" w:rsidRDefault="007A705B" w:rsidP="00E46BF4">
            <w:pPr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17" w:type="pct"/>
            <w:tcBorders>
              <w:bottom w:val="single" w:sz="4" w:space="0" w:color="auto"/>
            </w:tcBorders>
            <w:vAlign w:val="center"/>
          </w:tcPr>
          <w:p w:rsidR="007A705B" w:rsidRPr="00E46BF4" w:rsidRDefault="007A705B" w:rsidP="00E46BF4">
            <w:pPr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:rsidR="007A705B" w:rsidRPr="00E46BF4" w:rsidRDefault="007A705B" w:rsidP="00E46BF4">
            <w:pPr>
              <w:ind w:firstLineChars="100" w:firstLine="22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525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vAlign w:val="bottom"/>
          </w:tcPr>
          <w:p w:rsidR="007A705B" w:rsidRPr="00E46BF4" w:rsidRDefault="007A705B" w:rsidP="00C24923">
            <w:pPr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55" w:type="pct"/>
            <w:tcBorders>
              <w:bottom w:val="single" w:sz="4" w:space="0" w:color="auto"/>
            </w:tcBorders>
            <w:vAlign w:val="bottom"/>
          </w:tcPr>
          <w:p w:rsidR="007A705B" w:rsidRPr="00E46BF4" w:rsidRDefault="007A705B" w:rsidP="00C24923">
            <w:pPr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57" w:type="pct"/>
            <w:tcBorders>
              <w:bottom w:val="single" w:sz="4" w:space="0" w:color="auto"/>
            </w:tcBorders>
            <w:vAlign w:val="center"/>
          </w:tcPr>
          <w:p w:rsidR="007A705B" w:rsidRPr="00E46BF4" w:rsidRDefault="007A705B" w:rsidP="002D40C1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 xml:space="preserve">    Of which: currency and deposits***</w:t>
            </w:r>
          </w:p>
        </w:tc>
      </w:tr>
    </w:tbl>
    <w:p w:rsidR="00DB5004" w:rsidRPr="003F4147" w:rsidRDefault="00DB5004" w:rsidP="00DB5004">
      <w:pPr>
        <w:contextualSpacing/>
        <w:jc w:val="center"/>
        <w:rPr>
          <w:rFonts w:ascii="Arial" w:hAnsi="Arial"/>
          <w:i w:val="0"/>
          <w:iCs/>
          <w:sz w:val="22"/>
          <w:szCs w:val="22"/>
        </w:rPr>
      </w:pPr>
    </w:p>
    <w:p w:rsidR="00DB5004" w:rsidRPr="00E46BF4" w:rsidRDefault="00DB5004" w:rsidP="00E46BF4">
      <w:pPr>
        <w:spacing w:line="0" w:lineRule="atLeast"/>
        <w:ind w:right="142"/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</w:pPr>
      <w:r w:rsidRPr="00E46BF4">
        <w:rPr>
          <w:rFonts w:asciiTheme="majorBidi" w:hAnsiTheme="majorBidi" w:cstheme="majorBidi"/>
          <w:i w:val="0"/>
          <w:iCs/>
          <w:sz w:val="20"/>
          <w:szCs w:val="20"/>
        </w:rPr>
        <w:t>Notes</w:t>
      </w:r>
      <w:r w:rsidRPr="00E46BF4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 xml:space="preserve">: </w:t>
      </w:r>
    </w:p>
    <w:p w:rsidR="00DB5004" w:rsidRPr="00E46BF4" w:rsidRDefault="00DB5004" w:rsidP="00E46BF4">
      <w:pPr>
        <w:pStyle w:val="ListParagraph"/>
        <w:spacing w:line="0" w:lineRule="atLeast"/>
        <w:ind w:left="0" w:right="142"/>
        <w:jc w:val="both"/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</w:pPr>
      <w:r w:rsidRPr="00E46BF4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>- The data in the above table are close to the nearest integer.</w:t>
      </w:r>
    </w:p>
    <w:p w:rsidR="00DB5004" w:rsidRPr="00E46BF4" w:rsidRDefault="00DB5004" w:rsidP="00E46BF4">
      <w:pPr>
        <w:pStyle w:val="ListParagraph"/>
        <w:spacing w:line="0" w:lineRule="atLeast"/>
        <w:ind w:left="0" w:right="142"/>
        <w:jc w:val="both"/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</w:pPr>
      <w:r w:rsidRPr="00E46BF4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>- The data does not include the value of land owned by non-residents.</w:t>
      </w:r>
    </w:p>
    <w:p w:rsidR="00DB5004" w:rsidRPr="00E46BF4" w:rsidRDefault="00DB5004" w:rsidP="00E46BF4">
      <w:pPr>
        <w:spacing w:line="0" w:lineRule="atLeast"/>
        <w:ind w:right="142"/>
        <w:jc w:val="both"/>
        <w:rPr>
          <w:rFonts w:asciiTheme="majorBidi" w:hAnsiTheme="majorBidi" w:cstheme="majorBidi"/>
          <w:b w:val="0"/>
          <w:bCs/>
          <w:i w:val="0"/>
          <w:iCs/>
          <w:sz w:val="20"/>
          <w:szCs w:val="20"/>
          <w:rtl/>
        </w:rPr>
      </w:pPr>
      <w:r w:rsidRPr="00E46BF4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>* International investment position (net): equals total external assets minus total foreign liabilities.</w:t>
      </w:r>
    </w:p>
    <w:p w:rsidR="00DB5004" w:rsidRPr="00E46BF4" w:rsidRDefault="00DB5004" w:rsidP="00E46BF4">
      <w:pPr>
        <w:spacing w:line="0" w:lineRule="atLeast"/>
        <w:ind w:right="142" w:hanging="142"/>
        <w:jc w:val="both"/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</w:pPr>
      <w:r w:rsidRPr="00E46BF4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 xml:space="preserve">** Currency and deposits: Including residents deposits in banks abroad, in addition to foreign </w:t>
      </w:r>
      <w:r w:rsidR="00AF576D" w:rsidRPr="00E46BF4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>exchange</w:t>
      </w:r>
      <w:r w:rsidRPr="00E46BF4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 xml:space="preserve"> in Palestinian  economy.</w:t>
      </w:r>
    </w:p>
    <w:p w:rsidR="00DB5004" w:rsidRPr="00E46BF4" w:rsidRDefault="00DB5004" w:rsidP="00E46BF4">
      <w:pPr>
        <w:spacing w:line="0" w:lineRule="atLeast"/>
        <w:ind w:right="142"/>
        <w:jc w:val="both"/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</w:pPr>
      <w:r w:rsidRPr="00E46BF4">
        <w:rPr>
          <w:rFonts w:asciiTheme="majorBidi" w:hAnsiTheme="majorBidi" w:cstheme="majorBidi"/>
          <w:b w:val="0"/>
          <w:bCs/>
          <w:i w:val="0"/>
          <w:iCs/>
          <w:sz w:val="20"/>
          <w:szCs w:val="20"/>
        </w:rPr>
        <w:t>*** Currency and deposits: Include the deposits of non-residents deposited in resident banks.</w:t>
      </w:r>
    </w:p>
    <w:p w:rsidR="00DB5004" w:rsidRDefault="00DB5004" w:rsidP="00DB5004">
      <w:pPr>
        <w:spacing w:before="120" w:after="120" w:line="276" w:lineRule="auto"/>
        <w:jc w:val="right"/>
        <w:rPr>
          <w:rFonts w:asciiTheme="majorBidi" w:hAnsiTheme="majorBidi" w:cstheme="majorBidi"/>
          <w:b w:val="0"/>
          <w:bCs/>
          <w:i w:val="0"/>
          <w:iCs/>
        </w:rPr>
      </w:pPr>
      <w:r>
        <w:rPr>
          <w:rFonts w:asciiTheme="majorBidi" w:hAnsiTheme="majorBidi" w:cstheme="majorBidi"/>
          <w:bCs/>
          <w:iCs/>
        </w:rPr>
        <w:br w:type="page"/>
      </w:r>
    </w:p>
    <w:p w:rsidR="00E46BF4" w:rsidRDefault="00E46BF4" w:rsidP="00B6004F">
      <w:pPr>
        <w:contextualSpacing/>
        <w:jc w:val="center"/>
        <w:rPr>
          <w:rFonts w:asciiTheme="majorBidi" w:hAnsiTheme="majorBidi" w:cstheme="majorBidi"/>
          <w:i w:val="0"/>
          <w:iCs/>
          <w:sz w:val="25"/>
          <w:szCs w:val="25"/>
        </w:rPr>
      </w:pPr>
    </w:p>
    <w:p w:rsidR="00E46BF4" w:rsidRDefault="00E46BF4" w:rsidP="00B6004F">
      <w:pPr>
        <w:contextualSpacing/>
        <w:jc w:val="center"/>
        <w:rPr>
          <w:rFonts w:asciiTheme="majorBidi" w:hAnsiTheme="majorBidi" w:cstheme="majorBidi"/>
          <w:i w:val="0"/>
          <w:iCs/>
          <w:sz w:val="25"/>
          <w:szCs w:val="25"/>
        </w:rPr>
      </w:pPr>
    </w:p>
    <w:p w:rsidR="00DB5004" w:rsidRPr="00E46BF4" w:rsidRDefault="00DB5004" w:rsidP="00B6004F">
      <w:pPr>
        <w:contextualSpacing/>
        <w:jc w:val="center"/>
        <w:rPr>
          <w:rFonts w:asciiTheme="majorBidi" w:hAnsiTheme="majorBidi" w:cstheme="majorBidi"/>
          <w:i w:val="0"/>
          <w:iCs/>
          <w:sz w:val="22"/>
          <w:szCs w:val="22"/>
        </w:rPr>
      </w:pPr>
      <w:r w:rsidRPr="00E46BF4">
        <w:rPr>
          <w:rFonts w:asciiTheme="majorBidi" w:hAnsiTheme="majorBidi" w:cstheme="majorBidi"/>
          <w:i w:val="0"/>
          <w:iCs/>
          <w:sz w:val="22"/>
          <w:szCs w:val="22"/>
        </w:rPr>
        <w:t xml:space="preserve">Table 2: Gross External Debt </w:t>
      </w:r>
      <w:r w:rsidR="00B6004F" w:rsidRPr="00E46BF4">
        <w:rPr>
          <w:rFonts w:asciiTheme="majorBidi" w:hAnsiTheme="majorBidi" w:cstheme="majorBidi"/>
          <w:i w:val="0"/>
          <w:iCs/>
          <w:sz w:val="22"/>
          <w:szCs w:val="22"/>
        </w:rPr>
        <w:t xml:space="preserve">Position </w:t>
      </w:r>
      <w:r w:rsidRPr="00E46BF4">
        <w:rPr>
          <w:rFonts w:asciiTheme="majorBidi" w:hAnsiTheme="majorBidi" w:cstheme="majorBidi"/>
          <w:i w:val="0"/>
          <w:iCs/>
          <w:sz w:val="22"/>
          <w:szCs w:val="22"/>
        </w:rPr>
        <w:t xml:space="preserve">on Palestine, at the </w:t>
      </w:r>
      <w:r w:rsidR="00B6004F" w:rsidRPr="00E46BF4">
        <w:rPr>
          <w:rFonts w:asciiTheme="majorBidi" w:hAnsiTheme="majorBidi" w:cstheme="majorBidi"/>
          <w:i w:val="0"/>
          <w:iCs/>
          <w:sz w:val="22"/>
          <w:szCs w:val="22"/>
        </w:rPr>
        <w:t xml:space="preserve">End </w:t>
      </w:r>
      <w:r w:rsidRPr="00E46BF4">
        <w:rPr>
          <w:rFonts w:asciiTheme="majorBidi" w:hAnsiTheme="majorBidi" w:cstheme="majorBidi"/>
          <w:i w:val="0"/>
          <w:iCs/>
          <w:sz w:val="22"/>
          <w:szCs w:val="22"/>
        </w:rPr>
        <w:t xml:space="preserve">of the </w:t>
      </w:r>
    </w:p>
    <w:p w:rsidR="00DB5004" w:rsidRPr="00E46BF4" w:rsidRDefault="00E85A96" w:rsidP="00D34D3F">
      <w:pPr>
        <w:contextualSpacing/>
        <w:jc w:val="center"/>
        <w:rPr>
          <w:rFonts w:asciiTheme="majorBidi" w:hAnsiTheme="majorBidi" w:cstheme="majorBidi"/>
          <w:i w:val="0"/>
          <w:iCs/>
          <w:sz w:val="22"/>
          <w:szCs w:val="22"/>
        </w:rPr>
      </w:pPr>
      <w:r w:rsidRPr="00E46BF4">
        <w:rPr>
          <w:rFonts w:asciiTheme="majorBidi" w:hAnsiTheme="majorBidi" w:cstheme="majorBidi"/>
          <w:i w:val="0"/>
          <w:iCs/>
          <w:sz w:val="22"/>
          <w:szCs w:val="22"/>
        </w:rPr>
        <w:t>F</w:t>
      </w:r>
      <w:r w:rsidR="00D469B3" w:rsidRPr="00E46BF4">
        <w:rPr>
          <w:rFonts w:asciiTheme="majorBidi" w:hAnsiTheme="majorBidi" w:cstheme="majorBidi"/>
          <w:i w:val="0"/>
          <w:iCs/>
          <w:sz w:val="22"/>
          <w:szCs w:val="22"/>
        </w:rPr>
        <w:t>ourth</w:t>
      </w:r>
      <w:r w:rsidR="00B92512" w:rsidRPr="00E46BF4">
        <w:rPr>
          <w:rFonts w:asciiTheme="majorBidi" w:hAnsiTheme="majorBidi" w:cstheme="majorBidi"/>
          <w:i w:val="0"/>
          <w:iCs/>
          <w:sz w:val="22"/>
          <w:szCs w:val="22"/>
        </w:rPr>
        <w:t xml:space="preserve"> Quarter</w:t>
      </w:r>
      <w:r w:rsidRPr="00E46BF4">
        <w:rPr>
          <w:rFonts w:asciiTheme="majorBidi" w:hAnsiTheme="majorBidi" w:cstheme="majorBidi"/>
          <w:i w:val="0"/>
          <w:iCs/>
          <w:sz w:val="22"/>
          <w:szCs w:val="22"/>
        </w:rPr>
        <w:t xml:space="preserve">, </w:t>
      </w:r>
      <w:r w:rsidR="00DB5004" w:rsidRPr="00E46BF4">
        <w:rPr>
          <w:rFonts w:asciiTheme="majorBidi" w:hAnsiTheme="majorBidi" w:cstheme="majorBidi"/>
          <w:i w:val="0"/>
          <w:iCs/>
          <w:sz w:val="22"/>
          <w:szCs w:val="22"/>
        </w:rPr>
        <w:t>2017</w:t>
      </w:r>
      <w:r w:rsidR="00B92512" w:rsidRPr="00E46BF4">
        <w:rPr>
          <w:rFonts w:asciiTheme="majorBidi" w:hAnsiTheme="majorBidi" w:cstheme="majorBidi"/>
          <w:i w:val="0"/>
          <w:iCs/>
          <w:sz w:val="22"/>
          <w:szCs w:val="22"/>
        </w:rPr>
        <w:t xml:space="preserve"> and First Quarter</w:t>
      </w:r>
      <w:r w:rsidR="00D34D3F" w:rsidRPr="00E46BF4">
        <w:rPr>
          <w:rFonts w:asciiTheme="majorBidi" w:hAnsiTheme="majorBidi" w:cstheme="majorBidi"/>
          <w:i w:val="0"/>
          <w:iCs/>
          <w:sz w:val="22"/>
          <w:szCs w:val="22"/>
        </w:rPr>
        <w:t>, 2018</w:t>
      </w:r>
    </w:p>
    <w:p w:rsidR="00E46BF4" w:rsidRPr="00E46BF4" w:rsidRDefault="00E46BF4" w:rsidP="00D34D3F">
      <w:pPr>
        <w:contextualSpacing/>
        <w:jc w:val="center"/>
        <w:rPr>
          <w:rFonts w:asciiTheme="majorBidi" w:hAnsiTheme="majorBidi" w:cstheme="majorBidi"/>
          <w:i w:val="0"/>
          <w:iCs/>
          <w:sz w:val="22"/>
          <w:szCs w:val="22"/>
        </w:rPr>
      </w:pPr>
    </w:p>
    <w:p w:rsidR="00E46BF4" w:rsidRDefault="00E46BF4" w:rsidP="00DB5004">
      <w:pPr>
        <w:ind w:left="-284" w:right="3967" w:firstLine="284"/>
        <w:contextualSpacing/>
        <w:rPr>
          <w:rFonts w:ascii="Arial" w:hAnsi="Arial"/>
          <w:i w:val="0"/>
          <w:iCs/>
          <w:sz w:val="22"/>
          <w:szCs w:val="22"/>
        </w:rPr>
      </w:pPr>
    </w:p>
    <w:p w:rsidR="00E46BF4" w:rsidRDefault="00E46BF4" w:rsidP="00DB5004">
      <w:pPr>
        <w:ind w:left="-284" w:right="3967" w:firstLine="284"/>
        <w:contextualSpacing/>
        <w:rPr>
          <w:rFonts w:asciiTheme="majorBidi" w:hAnsiTheme="majorBidi"/>
          <w:i w:val="0"/>
          <w:iCs/>
          <w:sz w:val="20"/>
          <w:szCs w:val="20"/>
        </w:rPr>
      </w:pPr>
    </w:p>
    <w:p w:rsidR="00DB5004" w:rsidRPr="00E46BF4" w:rsidRDefault="00DB5004" w:rsidP="00DB5004">
      <w:pPr>
        <w:ind w:left="-284" w:right="3967" w:firstLine="284"/>
        <w:contextualSpacing/>
        <w:rPr>
          <w:rFonts w:asciiTheme="majorBidi" w:hAnsiTheme="majorBidi" w:cstheme="majorBidi"/>
          <w:i w:val="0"/>
          <w:iCs/>
          <w:sz w:val="20"/>
          <w:szCs w:val="20"/>
        </w:rPr>
      </w:pPr>
      <w:r w:rsidRPr="00E46BF4">
        <w:rPr>
          <w:rFonts w:asciiTheme="majorBidi" w:hAnsiTheme="majorBidi" w:cstheme="majorBidi"/>
          <w:i w:val="0"/>
          <w:iCs/>
          <w:sz w:val="20"/>
          <w:szCs w:val="20"/>
        </w:rPr>
        <w:t xml:space="preserve">Value in million USD   </w:t>
      </w:r>
    </w:p>
    <w:tbl>
      <w:tblPr>
        <w:tblpPr w:leftFromText="180" w:rightFromText="180" w:vertAnchor="text" w:tblpXSpec="center" w:tblpY="1"/>
        <w:tblOverlap w:val="never"/>
        <w:bidiVisual/>
        <w:tblW w:w="10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08"/>
        <w:gridCol w:w="2692"/>
        <w:gridCol w:w="4679"/>
      </w:tblGrid>
      <w:tr w:rsidR="00A7421B" w:rsidRPr="00E46BF4" w:rsidTr="00E46BF4">
        <w:trPr>
          <w:trHeight w:val="284"/>
        </w:trPr>
        <w:tc>
          <w:tcPr>
            <w:tcW w:w="1449" w:type="pct"/>
            <w:vAlign w:val="center"/>
          </w:tcPr>
          <w:p w:rsidR="00A7421B" w:rsidRPr="00E46BF4" w:rsidRDefault="00A7421B" w:rsidP="00D34D3F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E46BF4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 xml:space="preserve">Stock at the end of the </w:t>
            </w:r>
            <w:r w:rsidR="00D34D3F" w:rsidRPr="00E46BF4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First</w:t>
            </w:r>
            <w:r w:rsidRPr="00E46BF4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 xml:space="preserve"> Quarter 201</w:t>
            </w:r>
            <w:r w:rsidR="00D34D3F" w:rsidRPr="00E46BF4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8</w:t>
            </w:r>
          </w:p>
        </w:tc>
        <w:tc>
          <w:tcPr>
            <w:tcW w:w="1297" w:type="pct"/>
            <w:vAlign w:val="center"/>
          </w:tcPr>
          <w:p w:rsidR="00A7421B" w:rsidRPr="00E46BF4" w:rsidRDefault="00D34D3F" w:rsidP="00D34D3F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E46BF4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Stock at the end of the Fourth Quarter 2017</w:t>
            </w:r>
          </w:p>
        </w:tc>
        <w:tc>
          <w:tcPr>
            <w:tcW w:w="2254" w:type="pct"/>
            <w:vAlign w:val="center"/>
          </w:tcPr>
          <w:p w:rsidR="00A7421B" w:rsidRPr="00E46BF4" w:rsidRDefault="00A7421B" w:rsidP="00A7421B">
            <w:pPr>
              <w:spacing w:line="0" w:lineRule="atLeast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E46BF4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Economic Sector</w:t>
            </w:r>
          </w:p>
        </w:tc>
      </w:tr>
      <w:tr w:rsidR="007A705B" w:rsidRPr="00E46BF4" w:rsidTr="00E46BF4">
        <w:trPr>
          <w:trHeight w:val="284"/>
        </w:trPr>
        <w:tc>
          <w:tcPr>
            <w:tcW w:w="1449" w:type="pct"/>
            <w:vAlign w:val="bottom"/>
          </w:tcPr>
          <w:p w:rsidR="007A705B" w:rsidRPr="00E46BF4" w:rsidRDefault="007A705B" w:rsidP="007A705B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1,040</w:t>
            </w:r>
          </w:p>
        </w:tc>
        <w:tc>
          <w:tcPr>
            <w:tcW w:w="1297" w:type="pct"/>
            <w:vAlign w:val="bottom"/>
          </w:tcPr>
          <w:p w:rsidR="007A705B" w:rsidRPr="00E46BF4" w:rsidRDefault="007A705B" w:rsidP="007A705B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1,042</w:t>
            </w:r>
          </w:p>
        </w:tc>
        <w:tc>
          <w:tcPr>
            <w:tcW w:w="2254" w:type="pct"/>
            <w:vAlign w:val="bottom"/>
          </w:tcPr>
          <w:p w:rsidR="007A705B" w:rsidRPr="00E46BF4" w:rsidRDefault="007A705B" w:rsidP="007A705B">
            <w:pPr>
              <w:spacing w:line="0" w:lineRule="atLeast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E46BF4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General Government</w:t>
            </w:r>
          </w:p>
        </w:tc>
      </w:tr>
      <w:tr w:rsidR="007A705B" w:rsidRPr="00E46BF4" w:rsidTr="00E46BF4">
        <w:trPr>
          <w:trHeight w:val="284"/>
        </w:trPr>
        <w:tc>
          <w:tcPr>
            <w:tcW w:w="1449" w:type="pct"/>
            <w:vAlign w:val="bottom"/>
          </w:tcPr>
          <w:p w:rsidR="007A705B" w:rsidRPr="00E46BF4" w:rsidRDefault="007A705B" w:rsidP="007A705B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E46BF4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81</w:t>
            </w:r>
          </w:p>
        </w:tc>
        <w:tc>
          <w:tcPr>
            <w:tcW w:w="1297" w:type="pct"/>
            <w:vAlign w:val="bottom"/>
          </w:tcPr>
          <w:p w:rsidR="007A705B" w:rsidRPr="00E46BF4" w:rsidRDefault="007A705B" w:rsidP="007A705B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E46BF4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77</w:t>
            </w:r>
          </w:p>
        </w:tc>
        <w:tc>
          <w:tcPr>
            <w:tcW w:w="2254" w:type="pct"/>
            <w:vAlign w:val="bottom"/>
          </w:tcPr>
          <w:p w:rsidR="007A705B" w:rsidRPr="00E46BF4" w:rsidRDefault="007A705B" w:rsidP="007A705B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Short-term</w:t>
            </w:r>
          </w:p>
        </w:tc>
      </w:tr>
      <w:tr w:rsidR="007A705B" w:rsidRPr="00E46BF4" w:rsidTr="00E46BF4">
        <w:trPr>
          <w:trHeight w:val="284"/>
        </w:trPr>
        <w:tc>
          <w:tcPr>
            <w:tcW w:w="1449" w:type="pct"/>
            <w:vAlign w:val="bottom"/>
          </w:tcPr>
          <w:p w:rsidR="007A705B" w:rsidRPr="00E46BF4" w:rsidRDefault="007A705B" w:rsidP="007A705B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E46BF4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959</w:t>
            </w:r>
          </w:p>
        </w:tc>
        <w:tc>
          <w:tcPr>
            <w:tcW w:w="1297" w:type="pct"/>
            <w:vAlign w:val="bottom"/>
          </w:tcPr>
          <w:p w:rsidR="007A705B" w:rsidRPr="00E46BF4" w:rsidRDefault="007A705B" w:rsidP="007A705B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E46BF4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965</w:t>
            </w:r>
          </w:p>
        </w:tc>
        <w:tc>
          <w:tcPr>
            <w:tcW w:w="2254" w:type="pct"/>
            <w:vAlign w:val="bottom"/>
          </w:tcPr>
          <w:p w:rsidR="007A705B" w:rsidRPr="00E46BF4" w:rsidRDefault="007A705B" w:rsidP="007A705B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Long-term</w:t>
            </w:r>
          </w:p>
        </w:tc>
      </w:tr>
      <w:tr w:rsidR="007A705B" w:rsidRPr="00E46BF4" w:rsidTr="00E46BF4">
        <w:trPr>
          <w:trHeight w:val="284"/>
        </w:trPr>
        <w:tc>
          <w:tcPr>
            <w:tcW w:w="1449" w:type="pct"/>
            <w:vAlign w:val="bottom"/>
          </w:tcPr>
          <w:p w:rsidR="007A705B" w:rsidRPr="00E46BF4" w:rsidRDefault="007A705B" w:rsidP="007A705B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1297" w:type="pct"/>
            <w:vAlign w:val="bottom"/>
          </w:tcPr>
          <w:p w:rsidR="007A705B" w:rsidRPr="00E46BF4" w:rsidRDefault="007A705B" w:rsidP="007A705B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2254" w:type="pct"/>
            <w:vAlign w:val="bottom"/>
          </w:tcPr>
          <w:p w:rsidR="007A705B" w:rsidRPr="00E46BF4" w:rsidRDefault="007A705B" w:rsidP="007A705B">
            <w:pPr>
              <w:spacing w:line="0" w:lineRule="atLeast"/>
              <w:rPr>
                <w:rFonts w:asciiTheme="majorBidi" w:hAnsiTheme="majorBidi" w:cstheme="majorBidi"/>
                <w:i w:val="0"/>
                <w:iCs/>
              </w:rPr>
            </w:pPr>
            <w:r w:rsidRPr="00E46BF4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Monetary Authorities</w:t>
            </w:r>
          </w:p>
        </w:tc>
      </w:tr>
      <w:tr w:rsidR="007A705B" w:rsidRPr="00E46BF4" w:rsidTr="00E46BF4">
        <w:trPr>
          <w:trHeight w:val="284"/>
        </w:trPr>
        <w:tc>
          <w:tcPr>
            <w:tcW w:w="1449" w:type="pct"/>
            <w:vAlign w:val="bottom"/>
          </w:tcPr>
          <w:p w:rsidR="007A705B" w:rsidRPr="00E46BF4" w:rsidRDefault="007A705B" w:rsidP="007A705B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E46BF4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1297" w:type="pct"/>
            <w:vAlign w:val="bottom"/>
          </w:tcPr>
          <w:p w:rsidR="007A705B" w:rsidRPr="00E46BF4" w:rsidRDefault="007A705B" w:rsidP="007A705B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E46BF4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2254" w:type="pct"/>
            <w:vAlign w:val="bottom"/>
          </w:tcPr>
          <w:p w:rsidR="007A705B" w:rsidRPr="00E46BF4" w:rsidRDefault="007A705B" w:rsidP="007A705B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Short-term</w:t>
            </w:r>
          </w:p>
        </w:tc>
      </w:tr>
      <w:tr w:rsidR="007A705B" w:rsidRPr="00E46BF4" w:rsidTr="00E46BF4">
        <w:trPr>
          <w:trHeight w:val="284"/>
        </w:trPr>
        <w:tc>
          <w:tcPr>
            <w:tcW w:w="1449" w:type="pct"/>
            <w:vAlign w:val="bottom"/>
          </w:tcPr>
          <w:p w:rsidR="007A705B" w:rsidRPr="00E46BF4" w:rsidRDefault="007A705B" w:rsidP="007A705B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E46BF4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1297" w:type="pct"/>
            <w:vAlign w:val="bottom"/>
          </w:tcPr>
          <w:p w:rsidR="007A705B" w:rsidRPr="00E46BF4" w:rsidRDefault="007A705B" w:rsidP="007A705B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E46BF4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2254" w:type="pct"/>
            <w:vAlign w:val="bottom"/>
          </w:tcPr>
          <w:p w:rsidR="007A705B" w:rsidRPr="00E46BF4" w:rsidRDefault="007A705B" w:rsidP="007A705B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Long-term</w:t>
            </w:r>
          </w:p>
        </w:tc>
      </w:tr>
      <w:tr w:rsidR="007A705B" w:rsidRPr="00E46BF4" w:rsidTr="00E46BF4">
        <w:trPr>
          <w:trHeight w:val="284"/>
        </w:trPr>
        <w:tc>
          <w:tcPr>
            <w:tcW w:w="1449" w:type="pct"/>
            <w:vAlign w:val="bottom"/>
          </w:tcPr>
          <w:p w:rsidR="007A705B" w:rsidRPr="00E46BF4" w:rsidRDefault="007A705B" w:rsidP="007A705B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525</w:t>
            </w:r>
          </w:p>
        </w:tc>
        <w:tc>
          <w:tcPr>
            <w:tcW w:w="1297" w:type="pct"/>
            <w:vAlign w:val="bottom"/>
          </w:tcPr>
          <w:p w:rsidR="007A705B" w:rsidRPr="00E46BF4" w:rsidRDefault="007A705B" w:rsidP="007A705B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603</w:t>
            </w:r>
          </w:p>
        </w:tc>
        <w:tc>
          <w:tcPr>
            <w:tcW w:w="2254" w:type="pct"/>
            <w:vAlign w:val="bottom"/>
          </w:tcPr>
          <w:p w:rsidR="007A705B" w:rsidRPr="00E46BF4" w:rsidRDefault="007A705B" w:rsidP="007A705B">
            <w:pPr>
              <w:spacing w:line="0" w:lineRule="atLeast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E46BF4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Banks</w:t>
            </w:r>
          </w:p>
        </w:tc>
      </w:tr>
      <w:tr w:rsidR="007A705B" w:rsidRPr="00E46BF4" w:rsidTr="00E46BF4">
        <w:trPr>
          <w:trHeight w:val="284"/>
        </w:trPr>
        <w:tc>
          <w:tcPr>
            <w:tcW w:w="1449" w:type="pct"/>
            <w:vAlign w:val="bottom"/>
          </w:tcPr>
          <w:p w:rsidR="007A705B" w:rsidRPr="00E46BF4" w:rsidRDefault="007A705B" w:rsidP="007A705B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E46BF4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297</w:t>
            </w:r>
          </w:p>
        </w:tc>
        <w:tc>
          <w:tcPr>
            <w:tcW w:w="1297" w:type="pct"/>
            <w:vAlign w:val="bottom"/>
          </w:tcPr>
          <w:p w:rsidR="007A705B" w:rsidRPr="00E46BF4" w:rsidRDefault="007A705B" w:rsidP="007A705B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E46BF4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368</w:t>
            </w:r>
          </w:p>
        </w:tc>
        <w:tc>
          <w:tcPr>
            <w:tcW w:w="2254" w:type="pct"/>
            <w:vAlign w:val="bottom"/>
          </w:tcPr>
          <w:p w:rsidR="007A705B" w:rsidRPr="00E46BF4" w:rsidRDefault="007A705B" w:rsidP="007A705B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Short-term</w:t>
            </w:r>
          </w:p>
        </w:tc>
      </w:tr>
      <w:tr w:rsidR="007A705B" w:rsidRPr="00E46BF4" w:rsidTr="00E46BF4">
        <w:trPr>
          <w:trHeight w:val="284"/>
        </w:trPr>
        <w:tc>
          <w:tcPr>
            <w:tcW w:w="1449" w:type="pct"/>
            <w:vAlign w:val="bottom"/>
          </w:tcPr>
          <w:p w:rsidR="007A705B" w:rsidRPr="00E46BF4" w:rsidRDefault="007A705B" w:rsidP="007A705B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E46BF4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228</w:t>
            </w:r>
          </w:p>
        </w:tc>
        <w:tc>
          <w:tcPr>
            <w:tcW w:w="1297" w:type="pct"/>
            <w:vAlign w:val="bottom"/>
          </w:tcPr>
          <w:p w:rsidR="007A705B" w:rsidRPr="00E46BF4" w:rsidRDefault="007A705B" w:rsidP="007A705B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E46BF4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235</w:t>
            </w:r>
          </w:p>
        </w:tc>
        <w:tc>
          <w:tcPr>
            <w:tcW w:w="2254" w:type="pct"/>
            <w:vAlign w:val="bottom"/>
          </w:tcPr>
          <w:p w:rsidR="007A705B" w:rsidRPr="00E46BF4" w:rsidRDefault="007A705B" w:rsidP="007A705B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Long-term</w:t>
            </w:r>
          </w:p>
        </w:tc>
      </w:tr>
      <w:tr w:rsidR="007A705B" w:rsidRPr="00E46BF4" w:rsidTr="00E46BF4">
        <w:trPr>
          <w:trHeight w:val="284"/>
        </w:trPr>
        <w:tc>
          <w:tcPr>
            <w:tcW w:w="1449" w:type="pct"/>
            <w:vAlign w:val="bottom"/>
          </w:tcPr>
          <w:p w:rsidR="007A705B" w:rsidRPr="00E46BF4" w:rsidRDefault="007A705B" w:rsidP="007A705B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70</w:t>
            </w:r>
          </w:p>
        </w:tc>
        <w:tc>
          <w:tcPr>
            <w:tcW w:w="1297" w:type="pct"/>
            <w:vAlign w:val="bottom"/>
          </w:tcPr>
          <w:p w:rsidR="007A705B" w:rsidRPr="00E46BF4" w:rsidRDefault="007A705B" w:rsidP="007A705B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70</w:t>
            </w:r>
          </w:p>
        </w:tc>
        <w:tc>
          <w:tcPr>
            <w:tcW w:w="2254" w:type="pct"/>
            <w:vAlign w:val="bottom"/>
          </w:tcPr>
          <w:p w:rsidR="007A705B" w:rsidRPr="00E46BF4" w:rsidRDefault="007A705B" w:rsidP="007A705B">
            <w:pPr>
              <w:spacing w:line="0" w:lineRule="atLeast"/>
              <w:rPr>
                <w:rFonts w:asciiTheme="majorBidi" w:hAnsiTheme="majorBidi" w:cstheme="majorBidi"/>
                <w:i w:val="0"/>
                <w:iCs/>
              </w:rPr>
            </w:pPr>
            <w:r w:rsidRPr="00E46BF4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Other Sectors</w:t>
            </w:r>
          </w:p>
        </w:tc>
      </w:tr>
      <w:tr w:rsidR="007A705B" w:rsidRPr="00E46BF4" w:rsidTr="00E46BF4">
        <w:trPr>
          <w:trHeight w:val="284"/>
        </w:trPr>
        <w:tc>
          <w:tcPr>
            <w:tcW w:w="1449" w:type="pct"/>
            <w:vAlign w:val="bottom"/>
          </w:tcPr>
          <w:p w:rsidR="007A705B" w:rsidRPr="00E46BF4" w:rsidRDefault="007A705B" w:rsidP="007A705B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E46BF4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1297" w:type="pct"/>
            <w:vAlign w:val="bottom"/>
          </w:tcPr>
          <w:p w:rsidR="007A705B" w:rsidRPr="00E46BF4" w:rsidRDefault="007A705B" w:rsidP="007A705B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E46BF4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2254" w:type="pct"/>
            <w:vAlign w:val="bottom"/>
          </w:tcPr>
          <w:p w:rsidR="007A705B" w:rsidRPr="00E46BF4" w:rsidRDefault="007A705B" w:rsidP="007A705B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Short-term</w:t>
            </w:r>
          </w:p>
        </w:tc>
      </w:tr>
      <w:tr w:rsidR="007A705B" w:rsidRPr="00E46BF4" w:rsidTr="00E46BF4">
        <w:trPr>
          <w:trHeight w:val="284"/>
        </w:trPr>
        <w:tc>
          <w:tcPr>
            <w:tcW w:w="1449" w:type="pct"/>
            <w:vAlign w:val="bottom"/>
          </w:tcPr>
          <w:p w:rsidR="007A705B" w:rsidRPr="00E46BF4" w:rsidRDefault="007A705B" w:rsidP="007A705B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E46BF4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67</w:t>
            </w:r>
          </w:p>
        </w:tc>
        <w:tc>
          <w:tcPr>
            <w:tcW w:w="1297" w:type="pct"/>
            <w:vAlign w:val="bottom"/>
          </w:tcPr>
          <w:p w:rsidR="007A705B" w:rsidRPr="00E46BF4" w:rsidRDefault="007A705B" w:rsidP="007A705B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E46BF4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67</w:t>
            </w:r>
          </w:p>
        </w:tc>
        <w:tc>
          <w:tcPr>
            <w:tcW w:w="2254" w:type="pct"/>
            <w:vAlign w:val="bottom"/>
          </w:tcPr>
          <w:p w:rsidR="007A705B" w:rsidRPr="00E46BF4" w:rsidRDefault="007A705B" w:rsidP="007A705B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Long-term</w:t>
            </w:r>
          </w:p>
        </w:tc>
      </w:tr>
      <w:tr w:rsidR="007A705B" w:rsidRPr="00E46BF4" w:rsidTr="00E46BF4">
        <w:trPr>
          <w:trHeight w:val="284"/>
        </w:trPr>
        <w:tc>
          <w:tcPr>
            <w:tcW w:w="1449" w:type="pct"/>
            <w:vAlign w:val="bottom"/>
          </w:tcPr>
          <w:p w:rsidR="007A705B" w:rsidRPr="00E46BF4" w:rsidRDefault="007A705B" w:rsidP="007A705B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5</w:t>
            </w:r>
          </w:p>
        </w:tc>
        <w:tc>
          <w:tcPr>
            <w:tcW w:w="1297" w:type="pct"/>
            <w:vAlign w:val="bottom"/>
          </w:tcPr>
          <w:p w:rsidR="007A705B" w:rsidRPr="00E46BF4" w:rsidRDefault="007A705B" w:rsidP="007A705B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5</w:t>
            </w:r>
          </w:p>
        </w:tc>
        <w:tc>
          <w:tcPr>
            <w:tcW w:w="2254" w:type="pct"/>
            <w:vAlign w:val="bottom"/>
          </w:tcPr>
          <w:p w:rsidR="007A705B" w:rsidRPr="00E46BF4" w:rsidRDefault="007A705B" w:rsidP="007A705B">
            <w:pPr>
              <w:spacing w:line="0" w:lineRule="atLeast"/>
              <w:rPr>
                <w:rFonts w:asciiTheme="majorBidi" w:hAnsiTheme="majorBidi" w:cstheme="majorBidi"/>
                <w:i w:val="0"/>
                <w:iCs/>
              </w:rPr>
            </w:pPr>
            <w:r w:rsidRPr="00E46BF4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Direct Investment: lending between affiliated companies</w:t>
            </w:r>
          </w:p>
        </w:tc>
      </w:tr>
      <w:tr w:rsidR="007A705B" w:rsidRPr="00E46BF4" w:rsidTr="00E46BF4">
        <w:trPr>
          <w:trHeight w:val="284"/>
        </w:trPr>
        <w:tc>
          <w:tcPr>
            <w:tcW w:w="1449" w:type="pct"/>
            <w:vAlign w:val="bottom"/>
          </w:tcPr>
          <w:p w:rsidR="007A705B" w:rsidRPr="00E46BF4" w:rsidRDefault="007A705B" w:rsidP="007A705B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E46BF4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1297" w:type="pct"/>
            <w:vAlign w:val="bottom"/>
          </w:tcPr>
          <w:p w:rsidR="007A705B" w:rsidRPr="00E46BF4" w:rsidRDefault="007A705B" w:rsidP="007A705B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E46BF4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0</w:t>
            </w:r>
          </w:p>
        </w:tc>
        <w:tc>
          <w:tcPr>
            <w:tcW w:w="2254" w:type="pct"/>
            <w:vAlign w:val="bottom"/>
          </w:tcPr>
          <w:p w:rsidR="007A705B" w:rsidRPr="00E46BF4" w:rsidRDefault="007A705B" w:rsidP="007A705B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Debt liabilities to affiliated enterprises</w:t>
            </w:r>
          </w:p>
        </w:tc>
      </w:tr>
      <w:tr w:rsidR="007A705B" w:rsidRPr="00E46BF4" w:rsidTr="00E46BF4">
        <w:trPr>
          <w:trHeight w:val="284"/>
        </w:trPr>
        <w:tc>
          <w:tcPr>
            <w:tcW w:w="1449" w:type="pct"/>
            <w:vAlign w:val="bottom"/>
          </w:tcPr>
          <w:p w:rsidR="007A705B" w:rsidRPr="00E46BF4" w:rsidRDefault="007A705B" w:rsidP="007A705B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E46BF4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5</w:t>
            </w:r>
          </w:p>
        </w:tc>
        <w:tc>
          <w:tcPr>
            <w:tcW w:w="1297" w:type="pct"/>
            <w:vAlign w:val="bottom"/>
          </w:tcPr>
          <w:p w:rsidR="007A705B" w:rsidRPr="00E46BF4" w:rsidRDefault="007A705B" w:rsidP="007A705B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E46BF4">
              <w:rPr>
                <w:rFonts w:asciiTheme="majorBidi" w:hAnsiTheme="majorBidi" w:cstheme="majorBidi"/>
                <w:color w:val="000000"/>
                <w:sz w:val="22"/>
                <w:szCs w:val="22"/>
                <w:rtl/>
              </w:rPr>
              <w:t>5</w:t>
            </w:r>
          </w:p>
        </w:tc>
        <w:tc>
          <w:tcPr>
            <w:tcW w:w="2254" w:type="pct"/>
            <w:vAlign w:val="bottom"/>
          </w:tcPr>
          <w:p w:rsidR="007A705B" w:rsidRPr="00E46BF4" w:rsidRDefault="007A705B" w:rsidP="007A705B">
            <w:pPr>
              <w:spacing w:line="0" w:lineRule="atLeast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Debt liabilities to direct investors</w:t>
            </w:r>
          </w:p>
        </w:tc>
      </w:tr>
      <w:tr w:rsidR="007A705B" w:rsidRPr="00E46BF4" w:rsidTr="00E46BF4">
        <w:trPr>
          <w:trHeight w:val="284"/>
        </w:trPr>
        <w:tc>
          <w:tcPr>
            <w:tcW w:w="1449" w:type="pct"/>
            <w:vAlign w:val="bottom"/>
          </w:tcPr>
          <w:p w:rsidR="007A705B" w:rsidRPr="00E46BF4" w:rsidRDefault="007A705B" w:rsidP="007A705B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1,640</w:t>
            </w:r>
          </w:p>
        </w:tc>
        <w:tc>
          <w:tcPr>
            <w:tcW w:w="1297" w:type="pct"/>
            <w:vAlign w:val="bottom"/>
          </w:tcPr>
          <w:p w:rsidR="007A705B" w:rsidRPr="00E46BF4" w:rsidRDefault="007A705B" w:rsidP="007A705B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E46BF4">
              <w:rPr>
                <w:rFonts w:asciiTheme="majorBidi" w:hAnsiTheme="majorBidi" w:cstheme="majorBidi"/>
                <w:b w:val="0"/>
                <w:bCs/>
                <w:color w:val="000000"/>
                <w:sz w:val="22"/>
                <w:szCs w:val="22"/>
                <w:rtl/>
              </w:rPr>
              <w:t>1,720</w:t>
            </w:r>
          </w:p>
        </w:tc>
        <w:tc>
          <w:tcPr>
            <w:tcW w:w="2254" w:type="pct"/>
            <w:vAlign w:val="bottom"/>
          </w:tcPr>
          <w:p w:rsidR="007A705B" w:rsidRPr="00E46BF4" w:rsidRDefault="007A705B" w:rsidP="007A705B">
            <w:pPr>
              <w:spacing w:line="0" w:lineRule="atLeast"/>
              <w:rPr>
                <w:rFonts w:asciiTheme="majorBidi" w:hAnsiTheme="majorBidi" w:cstheme="majorBidi"/>
                <w:i w:val="0"/>
                <w:iCs/>
              </w:rPr>
            </w:pPr>
            <w:r w:rsidRPr="00E46BF4">
              <w:rPr>
                <w:rFonts w:asciiTheme="majorBidi" w:hAnsiTheme="majorBidi" w:cstheme="majorBidi"/>
                <w:i w:val="0"/>
                <w:iCs/>
                <w:sz w:val="22"/>
                <w:szCs w:val="22"/>
              </w:rPr>
              <w:t>Gross External Debt Position</w:t>
            </w:r>
          </w:p>
        </w:tc>
      </w:tr>
    </w:tbl>
    <w:p w:rsidR="00DB5004" w:rsidRPr="0053342F" w:rsidRDefault="00DB5004" w:rsidP="00DB5004">
      <w:pPr>
        <w:contextualSpacing/>
        <w:jc w:val="center"/>
        <w:rPr>
          <w:rFonts w:ascii="Arial" w:hAnsi="Arial"/>
          <w:i w:val="0"/>
          <w:iCs/>
          <w:sz w:val="22"/>
          <w:szCs w:val="22"/>
          <w:rtl/>
        </w:rPr>
      </w:pPr>
    </w:p>
    <w:p w:rsidR="00DB5004" w:rsidRPr="00C305B9" w:rsidRDefault="00DB5004" w:rsidP="00DB5004">
      <w:pPr>
        <w:pStyle w:val="BodyText"/>
        <w:bidi w:val="0"/>
        <w:ind w:left="-851"/>
        <w:jc w:val="both"/>
        <w:rPr>
          <w:rFonts w:asciiTheme="majorBidi" w:hAnsiTheme="majorBidi" w:cstheme="majorBidi"/>
          <w:bCs/>
          <w:iCs/>
          <w:szCs w:val="24"/>
          <w:rtl/>
        </w:rPr>
      </w:pPr>
    </w:p>
    <w:p w:rsidR="00DB5004" w:rsidRPr="00B94B95" w:rsidRDefault="00DB5004" w:rsidP="00DB5004">
      <w:pPr>
        <w:spacing w:before="120" w:after="120" w:line="276" w:lineRule="auto"/>
        <w:rPr>
          <w:rFonts w:asciiTheme="majorBidi" w:hAnsiTheme="majorBidi" w:cstheme="majorBidi"/>
          <w:b w:val="0"/>
          <w:bCs/>
          <w:i w:val="0"/>
          <w:iCs/>
          <w:rtl/>
        </w:rPr>
      </w:pPr>
    </w:p>
    <w:p w:rsidR="00F2693C" w:rsidRPr="00F91DCF" w:rsidRDefault="00F2693C" w:rsidP="00760B80">
      <w:pPr>
        <w:bidi/>
        <w:spacing w:line="480" w:lineRule="exact"/>
        <w:jc w:val="center"/>
        <w:rPr>
          <w:rFonts w:asciiTheme="majorBidi" w:hAnsiTheme="majorBidi" w:cstheme="majorBidi"/>
          <w:rtl/>
        </w:rPr>
      </w:pPr>
    </w:p>
    <w:sectPr w:rsidR="00F2693C" w:rsidRPr="00F91DCF" w:rsidSect="00E46BF4">
      <w:footerReference w:type="default" r:id="rId8"/>
      <w:pgSz w:w="11907" w:h="16839" w:code="9"/>
      <w:pgMar w:top="720" w:right="720" w:bottom="720" w:left="56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4FE" w:rsidRDefault="006974FE" w:rsidP="00885BEC">
      <w:r>
        <w:separator/>
      </w:r>
    </w:p>
  </w:endnote>
  <w:endnote w:type="continuationSeparator" w:id="0">
    <w:p w:rsidR="006974FE" w:rsidRDefault="006974FE" w:rsidP="00885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47172"/>
      <w:docPartObj>
        <w:docPartGallery w:val="Page Numbers (Bottom of Page)"/>
        <w:docPartUnique/>
      </w:docPartObj>
    </w:sdtPr>
    <w:sdtContent>
      <w:p w:rsidR="00A32FAD" w:rsidRDefault="00082DD1">
        <w:pPr>
          <w:pStyle w:val="Footer"/>
          <w:jc w:val="center"/>
        </w:pPr>
        <w:r w:rsidRPr="00885BEC">
          <w:rPr>
            <w:b w:val="0"/>
            <w:bCs/>
            <w:i w:val="0"/>
            <w:iCs/>
            <w:sz w:val="20"/>
            <w:szCs w:val="20"/>
          </w:rPr>
          <w:fldChar w:fldCharType="begin"/>
        </w:r>
        <w:r w:rsidR="00A32FAD" w:rsidRPr="00885BEC">
          <w:rPr>
            <w:b w:val="0"/>
            <w:bCs/>
            <w:i w:val="0"/>
            <w:iCs/>
            <w:sz w:val="20"/>
            <w:szCs w:val="20"/>
          </w:rPr>
          <w:instrText xml:space="preserve"> PAGE   \* MERGEFORMAT </w:instrText>
        </w:r>
        <w:r w:rsidRPr="00885BEC">
          <w:rPr>
            <w:b w:val="0"/>
            <w:bCs/>
            <w:i w:val="0"/>
            <w:iCs/>
            <w:sz w:val="20"/>
            <w:szCs w:val="20"/>
          </w:rPr>
          <w:fldChar w:fldCharType="separate"/>
        </w:r>
        <w:r w:rsidR="00FC7A08">
          <w:rPr>
            <w:b w:val="0"/>
            <w:bCs/>
            <w:i w:val="0"/>
            <w:iCs/>
            <w:noProof/>
            <w:sz w:val="20"/>
            <w:szCs w:val="20"/>
          </w:rPr>
          <w:t>4</w:t>
        </w:r>
        <w:r w:rsidRPr="00885BEC">
          <w:rPr>
            <w:b w:val="0"/>
            <w:bCs/>
            <w:i w:val="0"/>
            <w:iCs/>
            <w:sz w:val="20"/>
            <w:szCs w:val="20"/>
          </w:rPr>
          <w:fldChar w:fldCharType="end"/>
        </w:r>
      </w:p>
    </w:sdtContent>
  </w:sdt>
  <w:p w:rsidR="00A32FAD" w:rsidRDefault="00A32F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4FE" w:rsidRDefault="006974FE" w:rsidP="00885BEC">
      <w:r>
        <w:separator/>
      </w:r>
    </w:p>
  </w:footnote>
  <w:footnote w:type="continuationSeparator" w:id="0">
    <w:p w:rsidR="006974FE" w:rsidRDefault="006974FE" w:rsidP="00885B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A0F76"/>
    <w:multiLevelType w:val="hybridMultilevel"/>
    <w:tmpl w:val="C436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357"/>
    <w:rsid w:val="00000446"/>
    <w:rsid w:val="000042EC"/>
    <w:rsid w:val="000072F1"/>
    <w:rsid w:val="000110B2"/>
    <w:rsid w:val="000115CC"/>
    <w:rsid w:val="0001231A"/>
    <w:rsid w:val="000124A7"/>
    <w:rsid w:val="00013A84"/>
    <w:rsid w:val="00022F55"/>
    <w:rsid w:val="00023916"/>
    <w:rsid w:val="00023F63"/>
    <w:rsid w:val="0002627D"/>
    <w:rsid w:val="000271AF"/>
    <w:rsid w:val="00030C2F"/>
    <w:rsid w:val="00032DB0"/>
    <w:rsid w:val="00037C5E"/>
    <w:rsid w:val="00040BCA"/>
    <w:rsid w:val="00047BC1"/>
    <w:rsid w:val="00050DB2"/>
    <w:rsid w:val="000541C3"/>
    <w:rsid w:val="00056CE8"/>
    <w:rsid w:val="00056EBF"/>
    <w:rsid w:val="000621F0"/>
    <w:rsid w:val="000673F1"/>
    <w:rsid w:val="00067DB7"/>
    <w:rsid w:val="00072644"/>
    <w:rsid w:val="00077AA7"/>
    <w:rsid w:val="00080709"/>
    <w:rsid w:val="00080765"/>
    <w:rsid w:val="00081BE1"/>
    <w:rsid w:val="00082DD1"/>
    <w:rsid w:val="00085209"/>
    <w:rsid w:val="00090534"/>
    <w:rsid w:val="00090697"/>
    <w:rsid w:val="00090A98"/>
    <w:rsid w:val="00091661"/>
    <w:rsid w:val="00092663"/>
    <w:rsid w:val="00093B55"/>
    <w:rsid w:val="0009408F"/>
    <w:rsid w:val="000944C5"/>
    <w:rsid w:val="0009567F"/>
    <w:rsid w:val="0009774E"/>
    <w:rsid w:val="000A23B0"/>
    <w:rsid w:val="000A2842"/>
    <w:rsid w:val="000A3B64"/>
    <w:rsid w:val="000A3D5C"/>
    <w:rsid w:val="000A5E40"/>
    <w:rsid w:val="000B09BC"/>
    <w:rsid w:val="000B19A1"/>
    <w:rsid w:val="000B2406"/>
    <w:rsid w:val="000B4B6A"/>
    <w:rsid w:val="000B638F"/>
    <w:rsid w:val="000B66F2"/>
    <w:rsid w:val="000C0673"/>
    <w:rsid w:val="000C156F"/>
    <w:rsid w:val="000C2CD8"/>
    <w:rsid w:val="000C30EC"/>
    <w:rsid w:val="000D0B86"/>
    <w:rsid w:val="000D134F"/>
    <w:rsid w:val="000D36E9"/>
    <w:rsid w:val="000D4C84"/>
    <w:rsid w:val="000E57DB"/>
    <w:rsid w:val="000E5A08"/>
    <w:rsid w:val="000E6DC2"/>
    <w:rsid w:val="000E76D1"/>
    <w:rsid w:val="000E77D9"/>
    <w:rsid w:val="000F2F95"/>
    <w:rsid w:val="000F449F"/>
    <w:rsid w:val="000F4C18"/>
    <w:rsid w:val="000F6AD3"/>
    <w:rsid w:val="000F7730"/>
    <w:rsid w:val="00100B52"/>
    <w:rsid w:val="0011238A"/>
    <w:rsid w:val="00122B0F"/>
    <w:rsid w:val="001243F4"/>
    <w:rsid w:val="001253D2"/>
    <w:rsid w:val="00126E34"/>
    <w:rsid w:val="00130495"/>
    <w:rsid w:val="00132B71"/>
    <w:rsid w:val="0013600F"/>
    <w:rsid w:val="00136634"/>
    <w:rsid w:val="00136FD5"/>
    <w:rsid w:val="001371FD"/>
    <w:rsid w:val="00137DE2"/>
    <w:rsid w:val="00140A8A"/>
    <w:rsid w:val="00141DE1"/>
    <w:rsid w:val="001420A0"/>
    <w:rsid w:val="0014725E"/>
    <w:rsid w:val="0014777A"/>
    <w:rsid w:val="00151B5B"/>
    <w:rsid w:val="001573C2"/>
    <w:rsid w:val="00157479"/>
    <w:rsid w:val="001609E2"/>
    <w:rsid w:val="00161954"/>
    <w:rsid w:val="00162E38"/>
    <w:rsid w:val="00170276"/>
    <w:rsid w:val="00181A2B"/>
    <w:rsid w:val="001823A8"/>
    <w:rsid w:val="001844CA"/>
    <w:rsid w:val="001861B2"/>
    <w:rsid w:val="001862D7"/>
    <w:rsid w:val="00190B3C"/>
    <w:rsid w:val="001933C3"/>
    <w:rsid w:val="0019579D"/>
    <w:rsid w:val="00196708"/>
    <w:rsid w:val="001A3990"/>
    <w:rsid w:val="001B1110"/>
    <w:rsid w:val="001B2151"/>
    <w:rsid w:val="001B2404"/>
    <w:rsid w:val="001B35EB"/>
    <w:rsid w:val="001B4D6A"/>
    <w:rsid w:val="001B7265"/>
    <w:rsid w:val="001C1307"/>
    <w:rsid w:val="001C161B"/>
    <w:rsid w:val="001C2180"/>
    <w:rsid w:val="001C6697"/>
    <w:rsid w:val="001C7022"/>
    <w:rsid w:val="001D3642"/>
    <w:rsid w:val="001D43EA"/>
    <w:rsid w:val="001D5ADB"/>
    <w:rsid w:val="001D5D12"/>
    <w:rsid w:val="001D7ADF"/>
    <w:rsid w:val="001D7C9B"/>
    <w:rsid w:val="001E2FD6"/>
    <w:rsid w:val="001E4E8A"/>
    <w:rsid w:val="001F14B4"/>
    <w:rsid w:val="001F37D2"/>
    <w:rsid w:val="001F3FC7"/>
    <w:rsid w:val="001F4820"/>
    <w:rsid w:val="001F5051"/>
    <w:rsid w:val="001F67A4"/>
    <w:rsid w:val="002058E4"/>
    <w:rsid w:val="00205A26"/>
    <w:rsid w:val="002078E3"/>
    <w:rsid w:val="00211E0E"/>
    <w:rsid w:val="00222AF5"/>
    <w:rsid w:val="00224241"/>
    <w:rsid w:val="002245A3"/>
    <w:rsid w:val="002311EB"/>
    <w:rsid w:val="002339F9"/>
    <w:rsid w:val="00233A3F"/>
    <w:rsid w:val="00235B42"/>
    <w:rsid w:val="00235C00"/>
    <w:rsid w:val="0023676F"/>
    <w:rsid w:val="002403C2"/>
    <w:rsid w:val="00241F11"/>
    <w:rsid w:val="00244E71"/>
    <w:rsid w:val="00246BC1"/>
    <w:rsid w:val="00251A59"/>
    <w:rsid w:val="0025216F"/>
    <w:rsid w:val="002523D4"/>
    <w:rsid w:val="00254E95"/>
    <w:rsid w:val="00254FB5"/>
    <w:rsid w:val="00260883"/>
    <w:rsid w:val="0026165F"/>
    <w:rsid w:val="00262AC2"/>
    <w:rsid w:val="00264A2F"/>
    <w:rsid w:val="00267601"/>
    <w:rsid w:val="00270B06"/>
    <w:rsid w:val="00271B76"/>
    <w:rsid w:val="00272F88"/>
    <w:rsid w:val="00273603"/>
    <w:rsid w:val="002739C2"/>
    <w:rsid w:val="00281346"/>
    <w:rsid w:val="00281F10"/>
    <w:rsid w:val="002822F3"/>
    <w:rsid w:val="0028358A"/>
    <w:rsid w:val="0028584B"/>
    <w:rsid w:val="00287955"/>
    <w:rsid w:val="002930BA"/>
    <w:rsid w:val="002945F6"/>
    <w:rsid w:val="002A0947"/>
    <w:rsid w:val="002B0376"/>
    <w:rsid w:val="002B1F4B"/>
    <w:rsid w:val="002B2CA8"/>
    <w:rsid w:val="002B36F3"/>
    <w:rsid w:val="002B519B"/>
    <w:rsid w:val="002B7102"/>
    <w:rsid w:val="002C032A"/>
    <w:rsid w:val="002C1546"/>
    <w:rsid w:val="002C5EF1"/>
    <w:rsid w:val="002C6263"/>
    <w:rsid w:val="002C6DD7"/>
    <w:rsid w:val="002D1337"/>
    <w:rsid w:val="002D40C1"/>
    <w:rsid w:val="002D5FC8"/>
    <w:rsid w:val="002D7608"/>
    <w:rsid w:val="002E20F7"/>
    <w:rsid w:val="002E241A"/>
    <w:rsid w:val="002E5E97"/>
    <w:rsid w:val="002E6591"/>
    <w:rsid w:val="002E710B"/>
    <w:rsid w:val="002F51DB"/>
    <w:rsid w:val="002F6F48"/>
    <w:rsid w:val="00301F14"/>
    <w:rsid w:val="00306FC9"/>
    <w:rsid w:val="0031286D"/>
    <w:rsid w:val="00312946"/>
    <w:rsid w:val="00313C39"/>
    <w:rsid w:val="003143C8"/>
    <w:rsid w:val="003143EE"/>
    <w:rsid w:val="00314F90"/>
    <w:rsid w:val="00315123"/>
    <w:rsid w:val="003159C2"/>
    <w:rsid w:val="00317CDE"/>
    <w:rsid w:val="00317E26"/>
    <w:rsid w:val="00322DEF"/>
    <w:rsid w:val="00322FF5"/>
    <w:rsid w:val="00325B26"/>
    <w:rsid w:val="003312A1"/>
    <w:rsid w:val="00334E32"/>
    <w:rsid w:val="0033623F"/>
    <w:rsid w:val="0033635F"/>
    <w:rsid w:val="0034096B"/>
    <w:rsid w:val="00344303"/>
    <w:rsid w:val="003450D1"/>
    <w:rsid w:val="00345679"/>
    <w:rsid w:val="003458C3"/>
    <w:rsid w:val="003460FB"/>
    <w:rsid w:val="0035115C"/>
    <w:rsid w:val="00352486"/>
    <w:rsid w:val="00353553"/>
    <w:rsid w:val="00354215"/>
    <w:rsid w:val="00354CC2"/>
    <w:rsid w:val="00360975"/>
    <w:rsid w:val="003623FA"/>
    <w:rsid w:val="00364DE2"/>
    <w:rsid w:val="003650EA"/>
    <w:rsid w:val="003713EE"/>
    <w:rsid w:val="00371BAA"/>
    <w:rsid w:val="003742D1"/>
    <w:rsid w:val="00376039"/>
    <w:rsid w:val="00376DA0"/>
    <w:rsid w:val="00377817"/>
    <w:rsid w:val="0038255A"/>
    <w:rsid w:val="00382E41"/>
    <w:rsid w:val="003838AD"/>
    <w:rsid w:val="0038458B"/>
    <w:rsid w:val="00385033"/>
    <w:rsid w:val="00387A29"/>
    <w:rsid w:val="00391B60"/>
    <w:rsid w:val="00394B30"/>
    <w:rsid w:val="00397CC6"/>
    <w:rsid w:val="003A1748"/>
    <w:rsid w:val="003A3E2C"/>
    <w:rsid w:val="003A7091"/>
    <w:rsid w:val="003B0C69"/>
    <w:rsid w:val="003B2285"/>
    <w:rsid w:val="003B4EFD"/>
    <w:rsid w:val="003B56C9"/>
    <w:rsid w:val="003C00B9"/>
    <w:rsid w:val="003C22E0"/>
    <w:rsid w:val="003C64EA"/>
    <w:rsid w:val="003D1AD0"/>
    <w:rsid w:val="003D64EB"/>
    <w:rsid w:val="003D6FF3"/>
    <w:rsid w:val="003D7154"/>
    <w:rsid w:val="003E0504"/>
    <w:rsid w:val="003E289D"/>
    <w:rsid w:val="003E38BC"/>
    <w:rsid w:val="003E5A4E"/>
    <w:rsid w:val="003E65F8"/>
    <w:rsid w:val="003F1357"/>
    <w:rsid w:val="003F2C98"/>
    <w:rsid w:val="003F34C6"/>
    <w:rsid w:val="003F5357"/>
    <w:rsid w:val="003F57FD"/>
    <w:rsid w:val="003F586E"/>
    <w:rsid w:val="003F701A"/>
    <w:rsid w:val="00400738"/>
    <w:rsid w:val="00402A43"/>
    <w:rsid w:val="00403BFD"/>
    <w:rsid w:val="00406F83"/>
    <w:rsid w:val="004073E4"/>
    <w:rsid w:val="0040747F"/>
    <w:rsid w:val="004079CB"/>
    <w:rsid w:val="00410274"/>
    <w:rsid w:val="00411C10"/>
    <w:rsid w:val="00412B95"/>
    <w:rsid w:val="00420768"/>
    <w:rsid w:val="004246CA"/>
    <w:rsid w:val="004272CE"/>
    <w:rsid w:val="004310E3"/>
    <w:rsid w:val="0043182C"/>
    <w:rsid w:val="0043280A"/>
    <w:rsid w:val="00436681"/>
    <w:rsid w:val="00437C95"/>
    <w:rsid w:val="00440AB9"/>
    <w:rsid w:val="004459C6"/>
    <w:rsid w:val="0044654A"/>
    <w:rsid w:val="00451315"/>
    <w:rsid w:val="004531AA"/>
    <w:rsid w:val="00462347"/>
    <w:rsid w:val="004624A9"/>
    <w:rsid w:val="00463EB9"/>
    <w:rsid w:val="0046412B"/>
    <w:rsid w:val="0046623B"/>
    <w:rsid w:val="00466329"/>
    <w:rsid w:val="00466417"/>
    <w:rsid w:val="004706FF"/>
    <w:rsid w:val="00470EB2"/>
    <w:rsid w:val="0047210C"/>
    <w:rsid w:val="004722F3"/>
    <w:rsid w:val="00473BE3"/>
    <w:rsid w:val="00482097"/>
    <w:rsid w:val="00483A1A"/>
    <w:rsid w:val="00485E88"/>
    <w:rsid w:val="00486C03"/>
    <w:rsid w:val="0048744C"/>
    <w:rsid w:val="004908D8"/>
    <w:rsid w:val="004920F5"/>
    <w:rsid w:val="00492AFA"/>
    <w:rsid w:val="00494846"/>
    <w:rsid w:val="00494AD4"/>
    <w:rsid w:val="004954C4"/>
    <w:rsid w:val="00496B15"/>
    <w:rsid w:val="004A6FCF"/>
    <w:rsid w:val="004B6088"/>
    <w:rsid w:val="004B65A3"/>
    <w:rsid w:val="004B7C0D"/>
    <w:rsid w:val="004C1D42"/>
    <w:rsid w:val="004C2B1A"/>
    <w:rsid w:val="004C2D0B"/>
    <w:rsid w:val="004C4217"/>
    <w:rsid w:val="004C6AE8"/>
    <w:rsid w:val="004D093E"/>
    <w:rsid w:val="004D13BB"/>
    <w:rsid w:val="004D1601"/>
    <w:rsid w:val="004D31DC"/>
    <w:rsid w:val="004D5A71"/>
    <w:rsid w:val="004E120D"/>
    <w:rsid w:val="004E2CDA"/>
    <w:rsid w:val="004E3896"/>
    <w:rsid w:val="004E625A"/>
    <w:rsid w:val="004F052B"/>
    <w:rsid w:val="004F1663"/>
    <w:rsid w:val="004F3B71"/>
    <w:rsid w:val="004F4E08"/>
    <w:rsid w:val="004F701E"/>
    <w:rsid w:val="00501ACB"/>
    <w:rsid w:val="0050324C"/>
    <w:rsid w:val="00505632"/>
    <w:rsid w:val="00512E0F"/>
    <w:rsid w:val="00513BB5"/>
    <w:rsid w:val="0051707F"/>
    <w:rsid w:val="00526366"/>
    <w:rsid w:val="005322B0"/>
    <w:rsid w:val="0053266C"/>
    <w:rsid w:val="00532EFB"/>
    <w:rsid w:val="0053622D"/>
    <w:rsid w:val="00544D08"/>
    <w:rsid w:val="00545118"/>
    <w:rsid w:val="00550FEB"/>
    <w:rsid w:val="00552DE8"/>
    <w:rsid w:val="00553325"/>
    <w:rsid w:val="005540CE"/>
    <w:rsid w:val="00554D40"/>
    <w:rsid w:val="00557B46"/>
    <w:rsid w:val="005622E7"/>
    <w:rsid w:val="00564454"/>
    <w:rsid w:val="00570B11"/>
    <w:rsid w:val="005715DA"/>
    <w:rsid w:val="005721DA"/>
    <w:rsid w:val="00572967"/>
    <w:rsid w:val="005738ED"/>
    <w:rsid w:val="00575A80"/>
    <w:rsid w:val="005775B3"/>
    <w:rsid w:val="00580428"/>
    <w:rsid w:val="00583A54"/>
    <w:rsid w:val="00584208"/>
    <w:rsid w:val="0058499C"/>
    <w:rsid w:val="00587861"/>
    <w:rsid w:val="00590575"/>
    <w:rsid w:val="0059372F"/>
    <w:rsid w:val="00594133"/>
    <w:rsid w:val="00595820"/>
    <w:rsid w:val="005A05C8"/>
    <w:rsid w:val="005A4E76"/>
    <w:rsid w:val="005A622B"/>
    <w:rsid w:val="005B47E8"/>
    <w:rsid w:val="005B6A18"/>
    <w:rsid w:val="005C3F38"/>
    <w:rsid w:val="005C63F0"/>
    <w:rsid w:val="005C6ACB"/>
    <w:rsid w:val="005C7213"/>
    <w:rsid w:val="005D1897"/>
    <w:rsid w:val="005D76C7"/>
    <w:rsid w:val="005E1B65"/>
    <w:rsid w:val="005E2897"/>
    <w:rsid w:val="005E3128"/>
    <w:rsid w:val="005E34DD"/>
    <w:rsid w:val="005E4B50"/>
    <w:rsid w:val="005E4F15"/>
    <w:rsid w:val="005E5F14"/>
    <w:rsid w:val="005E6C00"/>
    <w:rsid w:val="005F0F2C"/>
    <w:rsid w:val="005F1079"/>
    <w:rsid w:val="005F4EC2"/>
    <w:rsid w:val="005F7E95"/>
    <w:rsid w:val="00602F5F"/>
    <w:rsid w:val="006054EE"/>
    <w:rsid w:val="006101E4"/>
    <w:rsid w:val="00612242"/>
    <w:rsid w:val="00613DED"/>
    <w:rsid w:val="00616296"/>
    <w:rsid w:val="006162C8"/>
    <w:rsid w:val="00617945"/>
    <w:rsid w:val="006211A1"/>
    <w:rsid w:val="006239FE"/>
    <w:rsid w:val="00623A01"/>
    <w:rsid w:val="0062406A"/>
    <w:rsid w:val="006251C6"/>
    <w:rsid w:val="00627303"/>
    <w:rsid w:val="00631A9E"/>
    <w:rsid w:val="006352F1"/>
    <w:rsid w:val="00635CFE"/>
    <w:rsid w:val="00640286"/>
    <w:rsid w:val="00640FE6"/>
    <w:rsid w:val="0064727B"/>
    <w:rsid w:val="0065065D"/>
    <w:rsid w:val="00653532"/>
    <w:rsid w:val="00656A6C"/>
    <w:rsid w:val="00657984"/>
    <w:rsid w:val="00663875"/>
    <w:rsid w:val="006649CA"/>
    <w:rsid w:val="0066502B"/>
    <w:rsid w:val="0066643E"/>
    <w:rsid w:val="0067102F"/>
    <w:rsid w:val="00672923"/>
    <w:rsid w:val="00673220"/>
    <w:rsid w:val="006738B1"/>
    <w:rsid w:val="00681C63"/>
    <w:rsid w:val="006825EB"/>
    <w:rsid w:val="006845AC"/>
    <w:rsid w:val="006860A4"/>
    <w:rsid w:val="006864AF"/>
    <w:rsid w:val="00692615"/>
    <w:rsid w:val="006945FA"/>
    <w:rsid w:val="006949AB"/>
    <w:rsid w:val="006974FE"/>
    <w:rsid w:val="006A4970"/>
    <w:rsid w:val="006A6595"/>
    <w:rsid w:val="006B5EE1"/>
    <w:rsid w:val="006C0330"/>
    <w:rsid w:val="006C46B3"/>
    <w:rsid w:val="006C5842"/>
    <w:rsid w:val="006C5ED3"/>
    <w:rsid w:val="006D24EE"/>
    <w:rsid w:val="006D61E4"/>
    <w:rsid w:val="006D6EEF"/>
    <w:rsid w:val="006E4D2F"/>
    <w:rsid w:val="006E775A"/>
    <w:rsid w:val="006F21B2"/>
    <w:rsid w:val="006F2D58"/>
    <w:rsid w:val="006F5843"/>
    <w:rsid w:val="006F5851"/>
    <w:rsid w:val="0070333F"/>
    <w:rsid w:val="007115CF"/>
    <w:rsid w:val="007117F4"/>
    <w:rsid w:val="00713756"/>
    <w:rsid w:val="00725408"/>
    <w:rsid w:val="00737401"/>
    <w:rsid w:val="007440AA"/>
    <w:rsid w:val="00744F23"/>
    <w:rsid w:val="0074518D"/>
    <w:rsid w:val="00745DFE"/>
    <w:rsid w:val="007517CE"/>
    <w:rsid w:val="00753738"/>
    <w:rsid w:val="0075703F"/>
    <w:rsid w:val="00757248"/>
    <w:rsid w:val="00760B80"/>
    <w:rsid w:val="0076206A"/>
    <w:rsid w:val="007634C9"/>
    <w:rsid w:val="007673B4"/>
    <w:rsid w:val="00770755"/>
    <w:rsid w:val="00770E19"/>
    <w:rsid w:val="00771648"/>
    <w:rsid w:val="0077245A"/>
    <w:rsid w:val="007739AD"/>
    <w:rsid w:val="00774849"/>
    <w:rsid w:val="007804B5"/>
    <w:rsid w:val="007811C9"/>
    <w:rsid w:val="007816DB"/>
    <w:rsid w:val="00786072"/>
    <w:rsid w:val="00786E33"/>
    <w:rsid w:val="00795FD1"/>
    <w:rsid w:val="00796D97"/>
    <w:rsid w:val="00796DF9"/>
    <w:rsid w:val="007971E6"/>
    <w:rsid w:val="007A0A4E"/>
    <w:rsid w:val="007A0E58"/>
    <w:rsid w:val="007A67ED"/>
    <w:rsid w:val="007A705B"/>
    <w:rsid w:val="007B0F66"/>
    <w:rsid w:val="007C159F"/>
    <w:rsid w:val="007C6A46"/>
    <w:rsid w:val="007C6B77"/>
    <w:rsid w:val="007C6EB8"/>
    <w:rsid w:val="007D2380"/>
    <w:rsid w:val="007D2EAE"/>
    <w:rsid w:val="007D3818"/>
    <w:rsid w:val="007D50C4"/>
    <w:rsid w:val="007D5672"/>
    <w:rsid w:val="007D699D"/>
    <w:rsid w:val="007E1BD9"/>
    <w:rsid w:val="007E2FA4"/>
    <w:rsid w:val="007E3CEC"/>
    <w:rsid w:val="007E6926"/>
    <w:rsid w:val="007E7CB3"/>
    <w:rsid w:val="007F34C4"/>
    <w:rsid w:val="007F5D87"/>
    <w:rsid w:val="007F6CC5"/>
    <w:rsid w:val="007F6CF0"/>
    <w:rsid w:val="008013FD"/>
    <w:rsid w:val="00802223"/>
    <w:rsid w:val="00802E8E"/>
    <w:rsid w:val="00803C85"/>
    <w:rsid w:val="00804462"/>
    <w:rsid w:val="00804489"/>
    <w:rsid w:val="00805073"/>
    <w:rsid w:val="008063DF"/>
    <w:rsid w:val="00812AC2"/>
    <w:rsid w:val="008136E2"/>
    <w:rsid w:val="00813889"/>
    <w:rsid w:val="00820280"/>
    <w:rsid w:val="00822930"/>
    <w:rsid w:val="00823A76"/>
    <w:rsid w:val="008244F8"/>
    <w:rsid w:val="00824C66"/>
    <w:rsid w:val="00831A99"/>
    <w:rsid w:val="00836286"/>
    <w:rsid w:val="00837C26"/>
    <w:rsid w:val="008442FD"/>
    <w:rsid w:val="008443CF"/>
    <w:rsid w:val="00851D2D"/>
    <w:rsid w:val="00852594"/>
    <w:rsid w:val="00854491"/>
    <w:rsid w:val="0085689F"/>
    <w:rsid w:val="008614ED"/>
    <w:rsid w:val="008619C7"/>
    <w:rsid w:val="00861BCA"/>
    <w:rsid w:val="008655B1"/>
    <w:rsid w:val="00867416"/>
    <w:rsid w:val="008675EA"/>
    <w:rsid w:val="00873817"/>
    <w:rsid w:val="008748CF"/>
    <w:rsid w:val="0087706E"/>
    <w:rsid w:val="008803CB"/>
    <w:rsid w:val="00880B7E"/>
    <w:rsid w:val="00881181"/>
    <w:rsid w:val="00881593"/>
    <w:rsid w:val="00883934"/>
    <w:rsid w:val="00883CEF"/>
    <w:rsid w:val="008840BB"/>
    <w:rsid w:val="00885BEC"/>
    <w:rsid w:val="00887793"/>
    <w:rsid w:val="00887DDA"/>
    <w:rsid w:val="0089649C"/>
    <w:rsid w:val="008975DB"/>
    <w:rsid w:val="008A4688"/>
    <w:rsid w:val="008A4EE4"/>
    <w:rsid w:val="008A50C1"/>
    <w:rsid w:val="008A61F5"/>
    <w:rsid w:val="008A6433"/>
    <w:rsid w:val="008B054B"/>
    <w:rsid w:val="008B1F2E"/>
    <w:rsid w:val="008B2BC1"/>
    <w:rsid w:val="008B57E2"/>
    <w:rsid w:val="008B5F89"/>
    <w:rsid w:val="008B7ADD"/>
    <w:rsid w:val="008C25F1"/>
    <w:rsid w:val="008C3935"/>
    <w:rsid w:val="008C6098"/>
    <w:rsid w:val="008D3918"/>
    <w:rsid w:val="008D3B4F"/>
    <w:rsid w:val="008D6DAC"/>
    <w:rsid w:val="008E5E96"/>
    <w:rsid w:val="008F1AEC"/>
    <w:rsid w:val="008F21DC"/>
    <w:rsid w:val="008F4CEC"/>
    <w:rsid w:val="008F5D45"/>
    <w:rsid w:val="00901CF7"/>
    <w:rsid w:val="00902456"/>
    <w:rsid w:val="009026ED"/>
    <w:rsid w:val="00902A6A"/>
    <w:rsid w:val="00904219"/>
    <w:rsid w:val="00906711"/>
    <w:rsid w:val="00910D26"/>
    <w:rsid w:val="00915218"/>
    <w:rsid w:val="00915AC3"/>
    <w:rsid w:val="00924D55"/>
    <w:rsid w:val="009255C6"/>
    <w:rsid w:val="00925BF6"/>
    <w:rsid w:val="00926CCD"/>
    <w:rsid w:val="00927F69"/>
    <w:rsid w:val="00932592"/>
    <w:rsid w:val="00932724"/>
    <w:rsid w:val="00934182"/>
    <w:rsid w:val="00942009"/>
    <w:rsid w:val="0094336B"/>
    <w:rsid w:val="009451F7"/>
    <w:rsid w:val="0094567A"/>
    <w:rsid w:val="009462EF"/>
    <w:rsid w:val="00946378"/>
    <w:rsid w:val="00946944"/>
    <w:rsid w:val="00950F57"/>
    <w:rsid w:val="00951FF5"/>
    <w:rsid w:val="00953141"/>
    <w:rsid w:val="00953670"/>
    <w:rsid w:val="00953F5F"/>
    <w:rsid w:val="00956058"/>
    <w:rsid w:val="0095639D"/>
    <w:rsid w:val="00956D47"/>
    <w:rsid w:val="00962742"/>
    <w:rsid w:val="00963577"/>
    <w:rsid w:val="00964E61"/>
    <w:rsid w:val="00965500"/>
    <w:rsid w:val="009662FF"/>
    <w:rsid w:val="009678A5"/>
    <w:rsid w:val="009716E9"/>
    <w:rsid w:val="00972174"/>
    <w:rsid w:val="00972DC3"/>
    <w:rsid w:val="009759A6"/>
    <w:rsid w:val="009774E2"/>
    <w:rsid w:val="00977D07"/>
    <w:rsid w:val="00981029"/>
    <w:rsid w:val="00986174"/>
    <w:rsid w:val="009871F4"/>
    <w:rsid w:val="00993067"/>
    <w:rsid w:val="00995DBB"/>
    <w:rsid w:val="009973FF"/>
    <w:rsid w:val="009A04C2"/>
    <w:rsid w:val="009A1A09"/>
    <w:rsid w:val="009A283F"/>
    <w:rsid w:val="009A3453"/>
    <w:rsid w:val="009A4C10"/>
    <w:rsid w:val="009A5052"/>
    <w:rsid w:val="009A7592"/>
    <w:rsid w:val="009A7BFB"/>
    <w:rsid w:val="009B2698"/>
    <w:rsid w:val="009B2A2B"/>
    <w:rsid w:val="009B4EDA"/>
    <w:rsid w:val="009D0085"/>
    <w:rsid w:val="009D1130"/>
    <w:rsid w:val="009D3211"/>
    <w:rsid w:val="009D3B48"/>
    <w:rsid w:val="009D486A"/>
    <w:rsid w:val="009D4935"/>
    <w:rsid w:val="009D56B2"/>
    <w:rsid w:val="009D5850"/>
    <w:rsid w:val="009E183D"/>
    <w:rsid w:val="009E359D"/>
    <w:rsid w:val="009E365A"/>
    <w:rsid w:val="009E4139"/>
    <w:rsid w:val="009E531E"/>
    <w:rsid w:val="009E5D63"/>
    <w:rsid w:val="009E5EFA"/>
    <w:rsid w:val="009E617A"/>
    <w:rsid w:val="009E6F8A"/>
    <w:rsid w:val="009F0BD8"/>
    <w:rsid w:val="009F2EF7"/>
    <w:rsid w:val="009F6862"/>
    <w:rsid w:val="00A0261D"/>
    <w:rsid w:val="00A05211"/>
    <w:rsid w:val="00A071CF"/>
    <w:rsid w:val="00A11EF4"/>
    <w:rsid w:val="00A13EA4"/>
    <w:rsid w:val="00A14C59"/>
    <w:rsid w:val="00A17436"/>
    <w:rsid w:val="00A22356"/>
    <w:rsid w:val="00A23C3A"/>
    <w:rsid w:val="00A24A69"/>
    <w:rsid w:val="00A259C6"/>
    <w:rsid w:val="00A30E49"/>
    <w:rsid w:val="00A32B2A"/>
    <w:rsid w:val="00A32FAD"/>
    <w:rsid w:val="00A34663"/>
    <w:rsid w:val="00A3567B"/>
    <w:rsid w:val="00A37552"/>
    <w:rsid w:val="00A41D29"/>
    <w:rsid w:val="00A4213E"/>
    <w:rsid w:val="00A43024"/>
    <w:rsid w:val="00A44030"/>
    <w:rsid w:val="00A441A5"/>
    <w:rsid w:val="00A44298"/>
    <w:rsid w:val="00A453CE"/>
    <w:rsid w:val="00A454E6"/>
    <w:rsid w:val="00A463DA"/>
    <w:rsid w:val="00A53CAB"/>
    <w:rsid w:val="00A55F81"/>
    <w:rsid w:val="00A63CA6"/>
    <w:rsid w:val="00A70B84"/>
    <w:rsid w:val="00A71D30"/>
    <w:rsid w:val="00A71DF1"/>
    <w:rsid w:val="00A727AE"/>
    <w:rsid w:val="00A7421B"/>
    <w:rsid w:val="00A763DB"/>
    <w:rsid w:val="00A80B3D"/>
    <w:rsid w:val="00A80CF4"/>
    <w:rsid w:val="00A84C9F"/>
    <w:rsid w:val="00A85A9D"/>
    <w:rsid w:val="00A86274"/>
    <w:rsid w:val="00A87406"/>
    <w:rsid w:val="00A92509"/>
    <w:rsid w:val="00A959EE"/>
    <w:rsid w:val="00A96BFE"/>
    <w:rsid w:val="00AA021F"/>
    <w:rsid w:val="00AA3270"/>
    <w:rsid w:val="00AA48AF"/>
    <w:rsid w:val="00AB0CE8"/>
    <w:rsid w:val="00AB1319"/>
    <w:rsid w:val="00AB1D58"/>
    <w:rsid w:val="00AB4D46"/>
    <w:rsid w:val="00AB66A4"/>
    <w:rsid w:val="00AC76F7"/>
    <w:rsid w:val="00AC7CA6"/>
    <w:rsid w:val="00AC7D5A"/>
    <w:rsid w:val="00AD2395"/>
    <w:rsid w:val="00AD2E54"/>
    <w:rsid w:val="00AD4DB2"/>
    <w:rsid w:val="00AD5FCC"/>
    <w:rsid w:val="00AE163D"/>
    <w:rsid w:val="00AE26FB"/>
    <w:rsid w:val="00AE3CFB"/>
    <w:rsid w:val="00AE3F67"/>
    <w:rsid w:val="00AE7AFC"/>
    <w:rsid w:val="00AF109B"/>
    <w:rsid w:val="00AF120E"/>
    <w:rsid w:val="00AF2816"/>
    <w:rsid w:val="00AF371C"/>
    <w:rsid w:val="00AF576D"/>
    <w:rsid w:val="00AF63AE"/>
    <w:rsid w:val="00AF7572"/>
    <w:rsid w:val="00B04FC6"/>
    <w:rsid w:val="00B05E68"/>
    <w:rsid w:val="00B06256"/>
    <w:rsid w:val="00B13D84"/>
    <w:rsid w:val="00B15440"/>
    <w:rsid w:val="00B16375"/>
    <w:rsid w:val="00B21DD1"/>
    <w:rsid w:val="00B21F22"/>
    <w:rsid w:val="00B22450"/>
    <w:rsid w:val="00B30E91"/>
    <w:rsid w:val="00B30F72"/>
    <w:rsid w:val="00B3112C"/>
    <w:rsid w:val="00B32190"/>
    <w:rsid w:val="00B33396"/>
    <w:rsid w:val="00B3693F"/>
    <w:rsid w:val="00B37296"/>
    <w:rsid w:val="00B372CD"/>
    <w:rsid w:val="00B40E13"/>
    <w:rsid w:val="00B43628"/>
    <w:rsid w:val="00B442CF"/>
    <w:rsid w:val="00B5657B"/>
    <w:rsid w:val="00B6004F"/>
    <w:rsid w:val="00B63C24"/>
    <w:rsid w:val="00B64638"/>
    <w:rsid w:val="00B64C52"/>
    <w:rsid w:val="00B65CDD"/>
    <w:rsid w:val="00B75768"/>
    <w:rsid w:val="00B8277D"/>
    <w:rsid w:val="00B831CF"/>
    <w:rsid w:val="00B84951"/>
    <w:rsid w:val="00B855C1"/>
    <w:rsid w:val="00B874B5"/>
    <w:rsid w:val="00B900EF"/>
    <w:rsid w:val="00B92512"/>
    <w:rsid w:val="00B929FE"/>
    <w:rsid w:val="00B92FCC"/>
    <w:rsid w:val="00B9461F"/>
    <w:rsid w:val="00B94A97"/>
    <w:rsid w:val="00BA08B4"/>
    <w:rsid w:val="00BA2D09"/>
    <w:rsid w:val="00BA3CF3"/>
    <w:rsid w:val="00BA47E0"/>
    <w:rsid w:val="00BA5F50"/>
    <w:rsid w:val="00BB2DD0"/>
    <w:rsid w:val="00BC0487"/>
    <w:rsid w:val="00BC0897"/>
    <w:rsid w:val="00BC2AEB"/>
    <w:rsid w:val="00BC4382"/>
    <w:rsid w:val="00BC618B"/>
    <w:rsid w:val="00BC6532"/>
    <w:rsid w:val="00BC6AD4"/>
    <w:rsid w:val="00BD01F1"/>
    <w:rsid w:val="00BD1334"/>
    <w:rsid w:val="00BD434B"/>
    <w:rsid w:val="00BD5433"/>
    <w:rsid w:val="00BD5E21"/>
    <w:rsid w:val="00BD6496"/>
    <w:rsid w:val="00BE0BE4"/>
    <w:rsid w:val="00BE1A7F"/>
    <w:rsid w:val="00BE39E1"/>
    <w:rsid w:val="00BF2513"/>
    <w:rsid w:val="00BF4261"/>
    <w:rsid w:val="00BF46C5"/>
    <w:rsid w:val="00C0362A"/>
    <w:rsid w:val="00C05742"/>
    <w:rsid w:val="00C07F9D"/>
    <w:rsid w:val="00C11D08"/>
    <w:rsid w:val="00C12980"/>
    <w:rsid w:val="00C1465D"/>
    <w:rsid w:val="00C164A1"/>
    <w:rsid w:val="00C178DF"/>
    <w:rsid w:val="00C20472"/>
    <w:rsid w:val="00C21CA5"/>
    <w:rsid w:val="00C24535"/>
    <w:rsid w:val="00C33D58"/>
    <w:rsid w:val="00C36857"/>
    <w:rsid w:val="00C36978"/>
    <w:rsid w:val="00C41CBB"/>
    <w:rsid w:val="00C443A9"/>
    <w:rsid w:val="00C46578"/>
    <w:rsid w:val="00C46679"/>
    <w:rsid w:val="00C46856"/>
    <w:rsid w:val="00C51098"/>
    <w:rsid w:val="00C51EE7"/>
    <w:rsid w:val="00C52220"/>
    <w:rsid w:val="00C5265D"/>
    <w:rsid w:val="00C5482B"/>
    <w:rsid w:val="00C61B73"/>
    <w:rsid w:val="00C642A4"/>
    <w:rsid w:val="00C6499D"/>
    <w:rsid w:val="00C651BD"/>
    <w:rsid w:val="00C653B0"/>
    <w:rsid w:val="00C65A6F"/>
    <w:rsid w:val="00C66B64"/>
    <w:rsid w:val="00C67761"/>
    <w:rsid w:val="00C710FE"/>
    <w:rsid w:val="00C72AF2"/>
    <w:rsid w:val="00C74F4A"/>
    <w:rsid w:val="00C80AC1"/>
    <w:rsid w:val="00C81FA4"/>
    <w:rsid w:val="00C8323C"/>
    <w:rsid w:val="00C83DD0"/>
    <w:rsid w:val="00C85CB3"/>
    <w:rsid w:val="00C85D0B"/>
    <w:rsid w:val="00C869DC"/>
    <w:rsid w:val="00C87CE8"/>
    <w:rsid w:val="00C92770"/>
    <w:rsid w:val="00C9485F"/>
    <w:rsid w:val="00C95F13"/>
    <w:rsid w:val="00CA21A4"/>
    <w:rsid w:val="00CA323C"/>
    <w:rsid w:val="00CA332B"/>
    <w:rsid w:val="00CA3918"/>
    <w:rsid w:val="00CA3989"/>
    <w:rsid w:val="00CA74CE"/>
    <w:rsid w:val="00CB1059"/>
    <w:rsid w:val="00CB377E"/>
    <w:rsid w:val="00CB4298"/>
    <w:rsid w:val="00CB51E9"/>
    <w:rsid w:val="00CB69DF"/>
    <w:rsid w:val="00CB7601"/>
    <w:rsid w:val="00CC2528"/>
    <w:rsid w:val="00CC3528"/>
    <w:rsid w:val="00CC3DA4"/>
    <w:rsid w:val="00CC4912"/>
    <w:rsid w:val="00CD132E"/>
    <w:rsid w:val="00CE0208"/>
    <w:rsid w:val="00CE0DC1"/>
    <w:rsid w:val="00CE1143"/>
    <w:rsid w:val="00CE5EB9"/>
    <w:rsid w:val="00CE738E"/>
    <w:rsid w:val="00CE7BF2"/>
    <w:rsid w:val="00CF0D0B"/>
    <w:rsid w:val="00CF2F0B"/>
    <w:rsid w:val="00CF4903"/>
    <w:rsid w:val="00CF74A0"/>
    <w:rsid w:val="00D035A2"/>
    <w:rsid w:val="00D05F11"/>
    <w:rsid w:val="00D13112"/>
    <w:rsid w:val="00D13188"/>
    <w:rsid w:val="00D13AE4"/>
    <w:rsid w:val="00D1504B"/>
    <w:rsid w:val="00D16EA1"/>
    <w:rsid w:val="00D21D0A"/>
    <w:rsid w:val="00D22AB7"/>
    <w:rsid w:val="00D25DA6"/>
    <w:rsid w:val="00D30263"/>
    <w:rsid w:val="00D30AC7"/>
    <w:rsid w:val="00D34D3F"/>
    <w:rsid w:val="00D40171"/>
    <w:rsid w:val="00D41E3E"/>
    <w:rsid w:val="00D425F7"/>
    <w:rsid w:val="00D43320"/>
    <w:rsid w:val="00D469B3"/>
    <w:rsid w:val="00D47343"/>
    <w:rsid w:val="00D5055C"/>
    <w:rsid w:val="00D52D32"/>
    <w:rsid w:val="00D52E0A"/>
    <w:rsid w:val="00D54652"/>
    <w:rsid w:val="00D54927"/>
    <w:rsid w:val="00D55E68"/>
    <w:rsid w:val="00D56E3B"/>
    <w:rsid w:val="00D57892"/>
    <w:rsid w:val="00D707E4"/>
    <w:rsid w:val="00D70F82"/>
    <w:rsid w:val="00D724F5"/>
    <w:rsid w:val="00D72D67"/>
    <w:rsid w:val="00D74084"/>
    <w:rsid w:val="00D76A44"/>
    <w:rsid w:val="00D77527"/>
    <w:rsid w:val="00D779E9"/>
    <w:rsid w:val="00D80CFC"/>
    <w:rsid w:val="00D82245"/>
    <w:rsid w:val="00D83E2F"/>
    <w:rsid w:val="00D8421E"/>
    <w:rsid w:val="00D8757B"/>
    <w:rsid w:val="00D9038B"/>
    <w:rsid w:val="00D923AD"/>
    <w:rsid w:val="00D9286F"/>
    <w:rsid w:val="00D93510"/>
    <w:rsid w:val="00D940CB"/>
    <w:rsid w:val="00D94609"/>
    <w:rsid w:val="00D9750E"/>
    <w:rsid w:val="00D97A70"/>
    <w:rsid w:val="00DA1905"/>
    <w:rsid w:val="00DA1EF9"/>
    <w:rsid w:val="00DA303F"/>
    <w:rsid w:val="00DA49ED"/>
    <w:rsid w:val="00DA575F"/>
    <w:rsid w:val="00DA59C7"/>
    <w:rsid w:val="00DB0DB5"/>
    <w:rsid w:val="00DB1D24"/>
    <w:rsid w:val="00DB350F"/>
    <w:rsid w:val="00DB5004"/>
    <w:rsid w:val="00DB6568"/>
    <w:rsid w:val="00DB6A67"/>
    <w:rsid w:val="00DC196A"/>
    <w:rsid w:val="00DC1F91"/>
    <w:rsid w:val="00DC2E42"/>
    <w:rsid w:val="00DC7F13"/>
    <w:rsid w:val="00DD2580"/>
    <w:rsid w:val="00DD2D7D"/>
    <w:rsid w:val="00DD586F"/>
    <w:rsid w:val="00DD5A72"/>
    <w:rsid w:val="00DD6502"/>
    <w:rsid w:val="00DD6BB5"/>
    <w:rsid w:val="00DD7BEB"/>
    <w:rsid w:val="00DE008F"/>
    <w:rsid w:val="00DE3616"/>
    <w:rsid w:val="00DE38A9"/>
    <w:rsid w:val="00DE4A82"/>
    <w:rsid w:val="00DE5648"/>
    <w:rsid w:val="00DE6252"/>
    <w:rsid w:val="00DF39A7"/>
    <w:rsid w:val="00DF3ABA"/>
    <w:rsid w:val="00DF62B2"/>
    <w:rsid w:val="00E007BE"/>
    <w:rsid w:val="00E01FA1"/>
    <w:rsid w:val="00E02162"/>
    <w:rsid w:val="00E021E0"/>
    <w:rsid w:val="00E02DCB"/>
    <w:rsid w:val="00E03F2D"/>
    <w:rsid w:val="00E05B92"/>
    <w:rsid w:val="00E06BAE"/>
    <w:rsid w:val="00E077C7"/>
    <w:rsid w:val="00E117D4"/>
    <w:rsid w:val="00E12C55"/>
    <w:rsid w:val="00E16D3D"/>
    <w:rsid w:val="00E16D50"/>
    <w:rsid w:val="00E17FE9"/>
    <w:rsid w:val="00E30EFE"/>
    <w:rsid w:val="00E337E2"/>
    <w:rsid w:val="00E34380"/>
    <w:rsid w:val="00E35DA1"/>
    <w:rsid w:val="00E37CCD"/>
    <w:rsid w:val="00E4153C"/>
    <w:rsid w:val="00E4591D"/>
    <w:rsid w:val="00E46BF4"/>
    <w:rsid w:val="00E50275"/>
    <w:rsid w:val="00E52A9F"/>
    <w:rsid w:val="00E53D86"/>
    <w:rsid w:val="00E56A96"/>
    <w:rsid w:val="00E6096F"/>
    <w:rsid w:val="00E628D7"/>
    <w:rsid w:val="00E74CB6"/>
    <w:rsid w:val="00E752B6"/>
    <w:rsid w:val="00E767FA"/>
    <w:rsid w:val="00E80E73"/>
    <w:rsid w:val="00E813BB"/>
    <w:rsid w:val="00E85A96"/>
    <w:rsid w:val="00E909E5"/>
    <w:rsid w:val="00E90B90"/>
    <w:rsid w:val="00E9181C"/>
    <w:rsid w:val="00E91C5C"/>
    <w:rsid w:val="00E92125"/>
    <w:rsid w:val="00E948E2"/>
    <w:rsid w:val="00E976CD"/>
    <w:rsid w:val="00E97A98"/>
    <w:rsid w:val="00EA0141"/>
    <w:rsid w:val="00EA2E38"/>
    <w:rsid w:val="00EA4DBD"/>
    <w:rsid w:val="00EA5DF0"/>
    <w:rsid w:val="00EA606C"/>
    <w:rsid w:val="00EB3CB9"/>
    <w:rsid w:val="00EB4A68"/>
    <w:rsid w:val="00EB4F0F"/>
    <w:rsid w:val="00EB5099"/>
    <w:rsid w:val="00EC0346"/>
    <w:rsid w:val="00EC1466"/>
    <w:rsid w:val="00EC24C4"/>
    <w:rsid w:val="00EC3390"/>
    <w:rsid w:val="00EC418E"/>
    <w:rsid w:val="00EC580C"/>
    <w:rsid w:val="00EC6E9B"/>
    <w:rsid w:val="00EC7F16"/>
    <w:rsid w:val="00ED0711"/>
    <w:rsid w:val="00ED3FCC"/>
    <w:rsid w:val="00ED7C5C"/>
    <w:rsid w:val="00EE02A9"/>
    <w:rsid w:val="00EE2376"/>
    <w:rsid w:val="00EE3932"/>
    <w:rsid w:val="00EE5E0F"/>
    <w:rsid w:val="00EF0235"/>
    <w:rsid w:val="00EF0669"/>
    <w:rsid w:val="00EF13BF"/>
    <w:rsid w:val="00EF7518"/>
    <w:rsid w:val="00F00306"/>
    <w:rsid w:val="00F00BF5"/>
    <w:rsid w:val="00F03889"/>
    <w:rsid w:val="00F04D52"/>
    <w:rsid w:val="00F05F1C"/>
    <w:rsid w:val="00F108D7"/>
    <w:rsid w:val="00F12823"/>
    <w:rsid w:val="00F16F88"/>
    <w:rsid w:val="00F21843"/>
    <w:rsid w:val="00F227B5"/>
    <w:rsid w:val="00F234B0"/>
    <w:rsid w:val="00F2693C"/>
    <w:rsid w:val="00F31885"/>
    <w:rsid w:val="00F32F97"/>
    <w:rsid w:val="00F33016"/>
    <w:rsid w:val="00F33B35"/>
    <w:rsid w:val="00F34B56"/>
    <w:rsid w:val="00F35B8F"/>
    <w:rsid w:val="00F35DFA"/>
    <w:rsid w:val="00F36F52"/>
    <w:rsid w:val="00F42D22"/>
    <w:rsid w:val="00F440C8"/>
    <w:rsid w:val="00F44ABD"/>
    <w:rsid w:val="00F44E5B"/>
    <w:rsid w:val="00F45CF4"/>
    <w:rsid w:val="00F45E41"/>
    <w:rsid w:val="00F46FE1"/>
    <w:rsid w:val="00F519A4"/>
    <w:rsid w:val="00F55400"/>
    <w:rsid w:val="00F563D9"/>
    <w:rsid w:val="00F566C4"/>
    <w:rsid w:val="00F57E68"/>
    <w:rsid w:val="00F60F15"/>
    <w:rsid w:val="00F61F44"/>
    <w:rsid w:val="00F71BE4"/>
    <w:rsid w:val="00F72374"/>
    <w:rsid w:val="00F72CD5"/>
    <w:rsid w:val="00F72E2E"/>
    <w:rsid w:val="00F731A7"/>
    <w:rsid w:val="00F75284"/>
    <w:rsid w:val="00F766AE"/>
    <w:rsid w:val="00F76EE8"/>
    <w:rsid w:val="00F81583"/>
    <w:rsid w:val="00F82939"/>
    <w:rsid w:val="00F86A73"/>
    <w:rsid w:val="00F90043"/>
    <w:rsid w:val="00F91DCF"/>
    <w:rsid w:val="00F932AC"/>
    <w:rsid w:val="00FA24A7"/>
    <w:rsid w:val="00FA65B7"/>
    <w:rsid w:val="00FA773D"/>
    <w:rsid w:val="00FA7773"/>
    <w:rsid w:val="00FB5470"/>
    <w:rsid w:val="00FB5E5C"/>
    <w:rsid w:val="00FB7DEF"/>
    <w:rsid w:val="00FB7FBB"/>
    <w:rsid w:val="00FC2F0B"/>
    <w:rsid w:val="00FC7A08"/>
    <w:rsid w:val="00FD4E2D"/>
    <w:rsid w:val="00FD50F5"/>
    <w:rsid w:val="00FD5154"/>
    <w:rsid w:val="00FD574D"/>
    <w:rsid w:val="00FD7ED6"/>
    <w:rsid w:val="00FE268E"/>
    <w:rsid w:val="00FE437C"/>
    <w:rsid w:val="00FE5702"/>
    <w:rsid w:val="00FE5EE0"/>
    <w:rsid w:val="00FE6EDE"/>
    <w:rsid w:val="00FE733F"/>
    <w:rsid w:val="00FF27DD"/>
    <w:rsid w:val="00FF39A5"/>
    <w:rsid w:val="00FF6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A0947"/>
    <w:pPr>
      <w:spacing w:before="0" w:after="0" w:line="240" w:lineRule="auto"/>
      <w:jc w:val="left"/>
    </w:pPr>
    <w:rPr>
      <w:rFonts w:ascii="Simplified Arabic" w:hAnsi="Simplified Arabic" w:cs="Times New Roman"/>
      <w:b/>
      <w:i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0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A0947"/>
    <w:rPr>
      <w:rFonts w:asciiTheme="majorHAnsi" w:eastAsiaTheme="majorEastAsia" w:hAnsiTheme="majorHAnsi" w:cstheme="majorBidi"/>
      <w:bCs/>
      <w:i/>
      <w:color w:val="4F81BD" w:themeColor="accent1"/>
      <w:sz w:val="26"/>
      <w:szCs w:val="26"/>
    </w:rPr>
  </w:style>
  <w:style w:type="paragraph" w:customStyle="1" w:styleId="Style1">
    <w:name w:val="Style1"/>
    <w:basedOn w:val="Heading2"/>
    <w:next w:val="Heading2"/>
    <w:autoRedefine/>
    <w:rsid w:val="002A0947"/>
    <w:pPr>
      <w:bidi/>
    </w:pPr>
    <w:rPr>
      <w:rFonts w:cs="Simplified Arabic"/>
      <w:b/>
      <w:bCs w:val="0"/>
      <w:i w:val="0"/>
      <w:iCs/>
    </w:rPr>
  </w:style>
  <w:style w:type="paragraph" w:styleId="Header">
    <w:name w:val="header"/>
    <w:basedOn w:val="Normal"/>
    <w:link w:val="Head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51"/>
    <w:rPr>
      <w:rFonts w:ascii="Tahoma" w:hAnsi="Tahoma" w:cs="Tahoma"/>
      <w:b/>
      <w:i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0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3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3CB"/>
    <w:rPr>
      <w:rFonts w:ascii="Simplified Arabic" w:hAnsi="Simplified Arabic" w:cs="Times New Roman"/>
      <w:b/>
      <w:i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3CB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3CB"/>
    <w:rPr>
      <w:rFonts w:ascii="Simplified Arabic" w:hAnsi="Simplified Arabic" w:cs="Times New Roman"/>
      <w:b/>
      <w:bCs/>
      <w:i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43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434B"/>
    <w:rPr>
      <w:rFonts w:ascii="Simplified Arabic" w:hAnsi="Simplified Arabic" w:cs="Times New Roman"/>
      <w:b/>
      <w:i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434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059"/>
    <w:rPr>
      <w:rFonts w:asciiTheme="majorHAnsi" w:eastAsiaTheme="majorEastAsia" w:hAnsiTheme="majorHAnsi" w:cstheme="majorBidi"/>
      <w:bCs/>
      <w:i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1059"/>
    <w:rPr>
      <w:color w:val="0000FF"/>
      <w:u w:val="single"/>
    </w:rPr>
  </w:style>
  <w:style w:type="paragraph" w:styleId="BodyText">
    <w:name w:val="Body Text"/>
    <w:basedOn w:val="Normal"/>
    <w:link w:val="BodyTextChar"/>
    <w:rsid w:val="00A23C3A"/>
    <w:pPr>
      <w:bidi/>
      <w:jc w:val="right"/>
    </w:pPr>
    <w:rPr>
      <w:rFonts w:ascii="Arial" w:hAnsi="Arial" w:cs="Traditional Arabic"/>
      <w:b w:val="0"/>
      <w:i w:val="0"/>
      <w:szCs w:val="28"/>
    </w:rPr>
  </w:style>
  <w:style w:type="character" w:customStyle="1" w:styleId="BodyTextChar">
    <w:name w:val="Body Text Char"/>
    <w:basedOn w:val="DefaultParagraphFont"/>
    <w:link w:val="BodyText"/>
    <w:rsid w:val="00A23C3A"/>
    <w:rPr>
      <w:rFonts w:ascii="Arial" w:hAnsi="Arial"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A23C3A"/>
    <w:pPr>
      <w:bidi/>
      <w:jc w:val="lowKashida"/>
    </w:pPr>
    <w:rPr>
      <w:rFonts w:ascii="Times New Roman" w:hAnsi="Times New Roman" w:cs="Traditional Arabic"/>
      <w:b w:val="0"/>
      <w:i w:val="0"/>
      <w:szCs w:val="28"/>
    </w:rPr>
  </w:style>
  <w:style w:type="character" w:customStyle="1" w:styleId="BodyText2Char">
    <w:name w:val="Body Text 2 Char"/>
    <w:basedOn w:val="DefaultParagraphFont"/>
    <w:link w:val="BodyText2"/>
    <w:rsid w:val="00A23C3A"/>
    <w:rPr>
      <w:rFonts w:ascii="Times New Roman" w:hAnsi="Times New Roman" w:cs="Traditional Arabic"/>
      <w:sz w:val="24"/>
      <w:szCs w:val="28"/>
    </w:rPr>
  </w:style>
  <w:style w:type="paragraph" w:styleId="BlockText">
    <w:name w:val="Block Text"/>
    <w:basedOn w:val="Normal"/>
    <w:rsid w:val="00A23C3A"/>
    <w:pPr>
      <w:tabs>
        <w:tab w:val="right" w:pos="9495"/>
      </w:tabs>
      <w:bidi/>
      <w:ind w:left="-2" w:right="993"/>
      <w:jc w:val="center"/>
    </w:pPr>
    <w:rPr>
      <w:rFonts w:ascii="Times New Roman" w:hAnsi="Times New Roman" w:cs="Traditional Arabic"/>
      <w:bCs/>
      <w:i w:val="0"/>
      <w:sz w:val="28"/>
      <w:szCs w:val="33"/>
    </w:rPr>
  </w:style>
  <w:style w:type="table" w:styleId="TableGrid">
    <w:name w:val="Table Grid"/>
    <w:basedOn w:val="TableNormal"/>
    <w:uiPriority w:val="59"/>
    <w:rsid w:val="00F76EE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3D6FF3"/>
  </w:style>
  <w:style w:type="paragraph" w:styleId="ListParagraph">
    <w:name w:val="List Paragraph"/>
    <w:basedOn w:val="Normal"/>
    <w:uiPriority w:val="34"/>
    <w:qFormat/>
    <w:rsid w:val="00BA47E0"/>
    <w:pPr>
      <w:ind w:left="720"/>
      <w:contextualSpacing/>
    </w:pPr>
  </w:style>
  <w:style w:type="character" w:customStyle="1" w:styleId="shorttext">
    <w:name w:val="short_text"/>
    <w:basedOn w:val="DefaultParagraphFont"/>
    <w:rsid w:val="00553325"/>
  </w:style>
  <w:style w:type="paragraph" w:styleId="BodyText3">
    <w:name w:val="Body Text 3"/>
    <w:basedOn w:val="Normal"/>
    <w:link w:val="BodyText3Char"/>
    <w:uiPriority w:val="99"/>
    <w:semiHidden/>
    <w:unhideWhenUsed/>
    <w:rsid w:val="00760B8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60B80"/>
    <w:rPr>
      <w:rFonts w:ascii="Simplified Arabic" w:hAnsi="Simplified Arabic" w:cs="Times New Roman"/>
      <w:b/>
      <w:i/>
      <w:sz w:val="16"/>
      <w:szCs w:val="16"/>
    </w:rPr>
  </w:style>
  <w:style w:type="character" w:customStyle="1" w:styleId="longtext">
    <w:name w:val="long_text"/>
    <w:basedOn w:val="DefaultParagraphFont"/>
    <w:rsid w:val="00760B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ECBC7-8485-421E-8B88-B57B40290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Saed Khalil</dc:creator>
  <cp:lastModifiedBy>loays</cp:lastModifiedBy>
  <cp:revision>3</cp:revision>
  <cp:lastPrinted>2018-06-07T08:18:00Z</cp:lastPrinted>
  <dcterms:created xsi:type="dcterms:W3CDTF">2018-06-11T07:37:00Z</dcterms:created>
  <dcterms:modified xsi:type="dcterms:W3CDTF">2018-06-11T07:48:00Z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4afdc17d-1203-432a-ac13-4e3141bd02e5</vt:lpwstr>
  </property>
  <property fmtid="{D5CDD505-2E9C-101B-9397-08002B2CF9AE}" pid="3" name="CENTRALBANKPALESTINEClassification">
    <vt:lpwstr>PUBLIC - عام</vt:lpwstr>
  </property>
</Properties>
</file>