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D2" w:rsidRPr="005C094B" w:rsidRDefault="007949D2" w:rsidP="00EC007B">
      <w:pPr>
        <w:shd w:val="clear" w:color="auto" w:fill="FFFFFF"/>
        <w:tabs>
          <w:tab w:val="left" w:pos="3248"/>
        </w:tabs>
        <w:spacing w:after="0" w:line="240" w:lineRule="auto"/>
        <w:jc w:val="center"/>
        <w:rPr>
          <w:rFonts w:ascii="Times New Roman" w:hAnsi="Times New Roman" w:cs="Times New Roman"/>
          <w:b/>
          <w:sz w:val="32"/>
          <w:szCs w:val="32"/>
        </w:rPr>
      </w:pPr>
      <w:bookmarkStart w:id="0" w:name="_GoBack"/>
      <w:r w:rsidRPr="005C094B">
        <w:rPr>
          <w:rFonts w:ascii="Times New Roman" w:hAnsi="Times New Roman" w:cs="Times New Roman"/>
          <w:b/>
          <w:sz w:val="32"/>
          <w:szCs w:val="32"/>
        </w:rPr>
        <w:t>Palestinian Central Bureau of Statistics (PCBS)</w:t>
      </w:r>
    </w:p>
    <w:p w:rsidR="007949D2" w:rsidRPr="003A6790" w:rsidRDefault="007949D2" w:rsidP="00EC007B">
      <w:pPr>
        <w:shd w:val="clear" w:color="auto" w:fill="FFFFFF"/>
        <w:spacing w:after="0" w:line="240" w:lineRule="auto"/>
        <w:jc w:val="center"/>
        <w:rPr>
          <w:rFonts w:ascii="Times New Roman" w:hAnsi="Times New Roman" w:cs="Times New Roman"/>
          <w:b/>
          <w:sz w:val="32"/>
          <w:szCs w:val="32"/>
        </w:rPr>
      </w:pPr>
      <w:r w:rsidRPr="005C094B">
        <w:rPr>
          <w:rFonts w:ascii="Times New Roman" w:hAnsi="Times New Roman" w:cs="Times New Roman"/>
          <w:b/>
          <w:sz w:val="32"/>
          <w:szCs w:val="32"/>
        </w:rPr>
        <w:t xml:space="preserve">Press </w:t>
      </w:r>
      <w:r w:rsidR="00345A7C" w:rsidRPr="005C094B">
        <w:rPr>
          <w:rFonts w:ascii="Times New Roman" w:hAnsi="Times New Roman" w:cs="Times New Roman"/>
          <w:b/>
          <w:sz w:val="32"/>
          <w:szCs w:val="32"/>
        </w:rPr>
        <w:t>R</w:t>
      </w:r>
      <w:r w:rsidRPr="005C094B">
        <w:rPr>
          <w:rFonts w:ascii="Times New Roman" w:hAnsi="Times New Roman" w:cs="Times New Roman"/>
          <w:b/>
          <w:sz w:val="32"/>
          <w:szCs w:val="32"/>
        </w:rPr>
        <w:t xml:space="preserve">eport </w:t>
      </w:r>
      <w:r w:rsidR="008848AF" w:rsidRPr="005C094B">
        <w:rPr>
          <w:rFonts w:ascii="Times New Roman" w:hAnsi="Times New Roman" w:cs="Times New Roman"/>
          <w:b/>
          <w:sz w:val="32"/>
          <w:szCs w:val="32"/>
        </w:rPr>
        <w:t>on</w:t>
      </w:r>
      <w:r w:rsidRPr="005C094B">
        <w:rPr>
          <w:rFonts w:ascii="Times New Roman" w:hAnsi="Times New Roman" w:cs="Times New Roman"/>
          <w:b/>
          <w:sz w:val="32"/>
          <w:szCs w:val="32"/>
        </w:rPr>
        <w:t xml:space="preserve"> </w:t>
      </w:r>
      <w:r w:rsidR="008848AF" w:rsidRPr="005C094B">
        <w:rPr>
          <w:rFonts w:ascii="Times New Roman" w:hAnsi="Times New Roman" w:cs="Times New Roman"/>
          <w:b/>
          <w:sz w:val="32"/>
          <w:szCs w:val="32"/>
        </w:rPr>
        <w:t>E</w:t>
      </w:r>
      <w:r w:rsidRPr="005C094B">
        <w:rPr>
          <w:rFonts w:ascii="Times New Roman" w:hAnsi="Times New Roman" w:cs="Times New Roman"/>
          <w:b/>
          <w:sz w:val="32"/>
          <w:szCs w:val="32"/>
        </w:rPr>
        <w:t xml:space="preserve">conomic </w:t>
      </w:r>
      <w:r w:rsidR="008848AF" w:rsidRPr="005C094B">
        <w:rPr>
          <w:rFonts w:ascii="Times New Roman" w:hAnsi="Times New Roman" w:cs="Times New Roman"/>
          <w:b/>
          <w:sz w:val="32"/>
          <w:szCs w:val="32"/>
        </w:rPr>
        <w:t>F</w:t>
      </w:r>
      <w:r w:rsidRPr="005C094B">
        <w:rPr>
          <w:rFonts w:ascii="Times New Roman" w:hAnsi="Times New Roman" w:cs="Times New Roman"/>
          <w:b/>
          <w:sz w:val="32"/>
          <w:szCs w:val="32"/>
        </w:rPr>
        <w:t xml:space="preserve">orecasts for </w:t>
      </w:r>
      <w:r w:rsidR="00B8041F">
        <w:rPr>
          <w:rFonts w:ascii="Times New Roman" w:hAnsi="Times New Roman" w:cs="Times New Roman"/>
          <w:b/>
          <w:sz w:val="32"/>
          <w:szCs w:val="32"/>
        </w:rPr>
        <w:t>2021</w:t>
      </w:r>
      <w:r w:rsidR="00354B8A" w:rsidRPr="003A6790">
        <w:rPr>
          <w:rFonts w:ascii="Times New Roman" w:hAnsi="Times New Roman" w:cs="Times New Roman"/>
          <w:b/>
          <w:sz w:val="32"/>
          <w:szCs w:val="32"/>
        </w:rPr>
        <w:t xml:space="preserve"> </w:t>
      </w:r>
    </w:p>
    <w:p w:rsidR="007949D2" w:rsidRPr="005C094B" w:rsidRDefault="00354B8A" w:rsidP="00EC007B">
      <w:pPr>
        <w:shd w:val="clear" w:color="auto" w:fill="FFFFFF"/>
        <w:spacing w:after="0" w:line="240" w:lineRule="auto"/>
        <w:jc w:val="center"/>
        <w:rPr>
          <w:rFonts w:ascii="Times New Roman" w:eastAsia="Times New Roman" w:hAnsi="Times New Roman" w:cs="Times New Roman"/>
          <w:b/>
          <w:sz w:val="32"/>
          <w:szCs w:val="32"/>
          <w:lang w:eastAsia="ar-SA"/>
        </w:rPr>
      </w:pPr>
      <w:r w:rsidRPr="005C094B">
        <w:rPr>
          <w:rFonts w:ascii="Times New Roman" w:eastAsia="Times New Roman" w:hAnsi="Times New Roman" w:cs="Times New Roman"/>
          <w:b/>
          <w:sz w:val="32"/>
          <w:szCs w:val="32"/>
          <w:lang w:eastAsia="ar-SA"/>
        </w:rPr>
        <w:t xml:space="preserve"> </w:t>
      </w:r>
    </w:p>
    <w:p w:rsidR="007949D2" w:rsidRPr="005C094B" w:rsidRDefault="005066AE" w:rsidP="008848AF">
      <w:pPr>
        <w:jc w:val="both"/>
        <w:rPr>
          <w:rFonts w:ascii="Times New Roman" w:hAnsi="Times New Roman" w:cs="Times New Roman"/>
          <w:b/>
          <w:sz w:val="32"/>
          <w:szCs w:val="32"/>
        </w:rPr>
      </w:pPr>
      <w:r>
        <w:rPr>
          <w:rFonts w:ascii="Times New Roman" w:hAnsi="Times New Roman" w:cs="Times New Roman"/>
          <w:b/>
          <w:sz w:val="32"/>
          <w:szCs w:val="32"/>
        </w:rPr>
        <w:t>H.E</w:t>
      </w:r>
      <w:r w:rsidR="007949D2" w:rsidRPr="005C094B">
        <w:rPr>
          <w:rFonts w:ascii="Times New Roman" w:hAnsi="Times New Roman" w:cs="Times New Roman"/>
          <w:b/>
          <w:sz w:val="32"/>
          <w:szCs w:val="32"/>
        </w:rPr>
        <w:t xml:space="preserve">. </w:t>
      </w:r>
      <w:r>
        <w:rPr>
          <w:rFonts w:ascii="Times New Roman" w:hAnsi="Times New Roman" w:cs="Times New Roman"/>
          <w:b/>
          <w:sz w:val="32"/>
          <w:szCs w:val="32"/>
        </w:rPr>
        <w:t xml:space="preserve">Dr. </w:t>
      </w:r>
      <w:r w:rsidR="007949D2" w:rsidRPr="005C094B">
        <w:rPr>
          <w:rFonts w:ascii="Times New Roman" w:hAnsi="Times New Roman" w:cs="Times New Roman"/>
          <w:b/>
          <w:sz w:val="32"/>
          <w:szCs w:val="32"/>
        </w:rPr>
        <w:t xml:space="preserve">Awad, President of PCBS, </w:t>
      </w:r>
      <w:r>
        <w:rPr>
          <w:rFonts w:ascii="Times New Roman" w:hAnsi="Times New Roman" w:cs="Times New Roman"/>
          <w:b/>
          <w:sz w:val="32"/>
          <w:szCs w:val="32"/>
        </w:rPr>
        <w:t>demonstrates</w:t>
      </w:r>
    </w:p>
    <w:p w:rsidR="007949D2" w:rsidRPr="005C094B" w:rsidRDefault="007949D2" w:rsidP="00B8041F">
      <w:pPr>
        <w:pStyle w:val="ListParagraph"/>
        <w:numPr>
          <w:ilvl w:val="0"/>
          <w:numId w:val="8"/>
        </w:numPr>
        <w:jc w:val="both"/>
        <w:rPr>
          <w:rFonts w:ascii="Times New Roman" w:hAnsi="Times New Roman" w:cs="Times New Roman"/>
          <w:b/>
          <w:sz w:val="28"/>
          <w:szCs w:val="28"/>
        </w:rPr>
      </w:pPr>
      <w:r w:rsidRPr="005C094B">
        <w:rPr>
          <w:rFonts w:ascii="Times New Roman" w:hAnsi="Times New Roman" w:cs="Times New Roman"/>
          <w:b/>
          <w:sz w:val="28"/>
          <w:szCs w:val="28"/>
        </w:rPr>
        <w:t xml:space="preserve">The performance of the Palestinian economy </w:t>
      </w:r>
      <w:r w:rsidRPr="003A6790">
        <w:rPr>
          <w:rFonts w:ascii="Times New Roman" w:hAnsi="Times New Roman" w:cs="Times New Roman"/>
          <w:b/>
          <w:sz w:val="28"/>
          <w:szCs w:val="28"/>
        </w:rPr>
        <w:t>during</w:t>
      </w:r>
      <w:r w:rsidR="00B8041F">
        <w:rPr>
          <w:rFonts w:ascii="Times New Roman" w:hAnsi="Times New Roman" w:cs="Times New Roman"/>
          <w:b/>
          <w:sz w:val="28"/>
          <w:szCs w:val="28"/>
        </w:rPr>
        <w:t xml:space="preserve"> 2020</w:t>
      </w:r>
      <w:r w:rsidRPr="005C094B">
        <w:rPr>
          <w:rFonts w:ascii="Times New Roman" w:hAnsi="Times New Roman" w:cs="Times New Roman"/>
          <w:b/>
          <w:sz w:val="28"/>
          <w:szCs w:val="28"/>
        </w:rPr>
        <w:t>.</w:t>
      </w:r>
    </w:p>
    <w:p w:rsidR="007949D2" w:rsidRPr="005C094B" w:rsidRDefault="007949D2" w:rsidP="00B8041F">
      <w:pPr>
        <w:pStyle w:val="ListParagraph"/>
        <w:numPr>
          <w:ilvl w:val="0"/>
          <w:numId w:val="8"/>
        </w:numPr>
        <w:jc w:val="both"/>
        <w:rPr>
          <w:rFonts w:ascii="Times New Roman" w:hAnsi="Times New Roman" w:cs="Times New Roman"/>
          <w:b/>
          <w:sz w:val="28"/>
          <w:szCs w:val="28"/>
        </w:rPr>
      </w:pPr>
      <w:r w:rsidRPr="005C094B">
        <w:rPr>
          <w:rFonts w:ascii="Times New Roman" w:hAnsi="Times New Roman" w:cs="Times New Roman"/>
          <w:b/>
          <w:sz w:val="28"/>
          <w:szCs w:val="28"/>
        </w:rPr>
        <w:t xml:space="preserve">The economic forecasts for the year </w:t>
      </w:r>
      <w:r w:rsidR="00B8041F">
        <w:rPr>
          <w:rFonts w:ascii="Times New Roman" w:hAnsi="Times New Roman" w:cs="Times New Roman"/>
          <w:b/>
          <w:sz w:val="28"/>
          <w:szCs w:val="28"/>
        </w:rPr>
        <w:t>2021</w:t>
      </w:r>
      <w:r w:rsidRPr="005C094B">
        <w:rPr>
          <w:rFonts w:ascii="Times New Roman" w:hAnsi="Times New Roman" w:cs="Times New Roman"/>
          <w:b/>
          <w:sz w:val="28"/>
          <w:szCs w:val="28"/>
        </w:rPr>
        <w:t>.</w:t>
      </w:r>
    </w:p>
    <w:p w:rsidR="007949D2" w:rsidRPr="005C094B" w:rsidRDefault="00A46E69" w:rsidP="00A46E69">
      <w:pPr>
        <w:pStyle w:val="ListParagraph"/>
        <w:tabs>
          <w:tab w:val="left" w:pos="5932"/>
        </w:tabs>
        <w:ind w:left="795"/>
        <w:rPr>
          <w:rFonts w:ascii="Times New Roman" w:hAnsi="Times New Roman" w:cs="Times New Roman"/>
          <w:b/>
          <w:sz w:val="28"/>
          <w:szCs w:val="28"/>
        </w:rPr>
      </w:pPr>
      <w:r w:rsidRPr="005C094B">
        <w:rPr>
          <w:rFonts w:ascii="Times New Roman" w:hAnsi="Times New Roman" w:cs="Times New Roman"/>
          <w:b/>
          <w:sz w:val="28"/>
          <w:szCs w:val="28"/>
        </w:rPr>
        <w:tab/>
      </w:r>
    </w:p>
    <w:p w:rsidR="007949D2" w:rsidRPr="008061DE" w:rsidRDefault="005066AE" w:rsidP="005066AE">
      <w:pPr>
        <w:jc w:val="both"/>
        <w:rPr>
          <w:rFonts w:ascii="Times New Roman" w:hAnsi="Times New Roman" w:cs="Times New Roman"/>
          <w:b/>
          <w:sz w:val="28"/>
          <w:szCs w:val="28"/>
        </w:rPr>
      </w:pPr>
      <w:r>
        <w:rPr>
          <w:rFonts w:ascii="Times New Roman" w:hAnsi="Times New Roman" w:cs="Times New Roman"/>
          <w:b/>
          <w:sz w:val="28"/>
          <w:szCs w:val="28"/>
        </w:rPr>
        <w:t>H.E. Dr</w:t>
      </w:r>
      <w:r w:rsidR="007949D2" w:rsidRPr="008061DE">
        <w:rPr>
          <w:rFonts w:ascii="Times New Roman" w:hAnsi="Times New Roman" w:cs="Times New Roman"/>
          <w:b/>
          <w:sz w:val="28"/>
          <w:szCs w:val="28"/>
        </w:rPr>
        <w:t xml:space="preserve">. Ola Awad, President of </w:t>
      </w:r>
      <w:r w:rsidR="008848AF" w:rsidRPr="008061DE">
        <w:rPr>
          <w:rFonts w:ascii="Times New Roman" w:hAnsi="Times New Roman" w:cs="Times New Roman"/>
          <w:b/>
          <w:sz w:val="28"/>
          <w:szCs w:val="28"/>
        </w:rPr>
        <w:t>PCBS</w:t>
      </w:r>
      <w:r w:rsidR="007949D2" w:rsidRPr="008061DE">
        <w:rPr>
          <w:rFonts w:ascii="Times New Roman" w:hAnsi="Times New Roman" w:cs="Times New Roman"/>
          <w:b/>
          <w:sz w:val="28"/>
          <w:szCs w:val="28"/>
        </w:rPr>
        <w:t xml:space="preserve">, </w:t>
      </w:r>
      <w:r w:rsidR="008848AF" w:rsidRPr="008061DE">
        <w:rPr>
          <w:rFonts w:ascii="Times New Roman" w:hAnsi="Times New Roman" w:cs="Times New Roman"/>
          <w:b/>
          <w:sz w:val="28"/>
          <w:szCs w:val="28"/>
        </w:rPr>
        <w:t xml:space="preserve">demonstrated </w:t>
      </w:r>
      <w:r w:rsidR="007949D2" w:rsidRPr="008061DE">
        <w:rPr>
          <w:rFonts w:ascii="Times New Roman" w:hAnsi="Times New Roman" w:cs="Times New Roman"/>
          <w:b/>
          <w:sz w:val="28"/>
          <w:szCs w:val="28"/>
        </w:rPr>
        <w:t>today</w:t>
      </w:r>
      <w:r>
        <w:rPr>
          <w:rFonts w:ascii="Times New Roman" w:hAnsi="Times New Roman" w:cs="Times New Roman"/>
          <w:b/>
          <w:sz w:val="28"/>
          <w:szCs w:val="28"/>
        </w:rPr>
        <w:t>,</w:t>
      </w:r>
      <w:r w:rsidR="007949D2" w:rsidRPr="008061DE">
        <w:rPr>
          <w:rFonts w:ascii="Times New Roman" w:hAnsi="Times New Roman" w:cs="Times New Roman"/>
          <w:b/>
          <w:sz w:val="28"/>
          <w:szCs w:val="28"/>
        </w:rPr>
        <w:t xml:space="preserve"> </w:t>
      </w:r>
      <w:r>
        <w:rPr>
          <w:rFonts w:ascii="Times New Roman" w:hAnsi="Times New Roman" w:cs="Times New Roman"/>
          <w:b/>
          <w:sz w:val="28"/>
          <w:szCs w:val="28"/>
        </w:rPr>
        <w:t>20</w:t>
      </w:r>
      <w:r w:rsidR="007949D2" w:rsidRPr="008061DE">
        <w:rPr>
          <w:rFonts w:ascii="Times New Roman" w:hAnsi="Times New Roman" w:cs="Times New Roman"/>
          <w:b/>
          <w:sz w:val="28"/>
          <w:szCs w:val="28"/>
        </w:rPr>
        <w:t>/12/</w:t>
      </w:r>
      <w:r w:rsidR="00B8041F">
        <w:rPr>
          <w:rFonts w:ascii="Times New Roman" w:hAnsi="Times New Roman" w:cs="Times New Roman"/>
          <w:b/>
          <w:sz w:val="28"/>
          <w:szCs w:val="28"/>
        </w:rPr>
        <w:t>2020</w:t>
      </w:r>
      <w:r w:rsidR="007949D2" w:rsidRPr="008061DE">
        <w:rPr>
          <w:rFonts w:ascii="Times New Roman" w:hAnsi="Times New Roman" w:cs="Times New Roman"/>
          <w:b/>
          <w:sz w:val="28"/>
          <w:szCs w:val="28"/>
        </w:rPr>
        <w:t xml:space="preserve">, the performance of the Palestinian economy during </w:t>
      </w:r>
      <w:r w:rsidR="00B8041F">
        <w:rPr>
          <w:rFonts w:ascii="Times New Roman" w:hAnsi="Times New Roman" w:cs="Times New Roman"/>
          <w:b/>
          <w:sz w:val="28"/>
          <w:szCs w:val="28"/>
        </w:rPr>
        <w:t>2020</w:t>
      </w:r>
      <w:r w:rsidR="007949D2" w:rsidRPr="008061DE">
        <w:rPr>
          <w:rFonts w:ascii="Times New Roman" w:hAnsi="Times New Roman" w:cs="Times New Roman"/>
          <w:b/>
          <w:sz w:val="28"/>
          <w:szCs w:val="28"/>
        </w:rPr>
        <w:t xml:space="preserve">, as well as the economic forecasts for the year </w:t>
      </w:r>
      <w:r w:rsidR="00B8041F">
        <w:rPr>
          <w:rFonts w:ascii="Times New Roman" w:hAnsi="Times New Roman" w:cs="Times New Roman"/>
          <w:b/>
          <w:sz w:val="28"/>
          <w:szCs w:val="28"/>
        </w:rPr>
        <w:t>2021</w:t>
      </w:r>
      <w:r w:rsidR="008848AF" w:rsidRPr="008061DE">
        <w:rPr>
          <w:rFonts w:ascii="Times New Roman" w:hAnsi="Times New Roman" w:cs="Times New Roman"/>
          <w:b/>
          <w:sz w:val="28"/>
          <w:szCs w:val="28"/>
        </w:rPr>
        <w:t>, as follows:</w:t>
      </w:r>
    </w:p>
    <w:p w:rsidR="007949D2" w:rsidRPr="005C094B" w:rsidRDefault="00354B8A" w:rsidP="00EC007B">
      <w:pPr>
        <w:shd w:val="clear" w:color="auto" w:fill="FFFFFF"/>
        <w:spacing w:after="0" w:line="240" w:lineRule="auto"/>
        <w:jc w:val="center"/>
        <w:rPr>
          <w:rFonts w:ascii="Times New Roman" w:eastAsia="Times New Roman" w:hAnsi="Times New Roman" w:cs="Times New Roman"/>
          <w:b/>
          <w:sz w:val="36"/>
          <w:szCs w:val="36"/>
          <w:lang w:eastAsia="ar-SA"/>
        </w:rPr>
      </w:pPr>
      <w:r w:rsidRPr="005C094B">
        <w:rPr>
          <w:rFonts w:ascii="Times New Roman" w:eastAsia="Times New Roman" w:hAnsi="Times New Roman" w:cs="Times New Roman"/>
          <w:b/>
          <w:sz w:val="36"/>
          <w:szCs w:val="36"/>
          <w:lang w:eastAsia="ar-SA"/>
        </w:rPr>
        <w:t xml:space="preserve">     </w:t>
      </w:r>
    </w:p>
    <w:p w:rsidR="00A273F6" w:rsidRPr="00D05A4E" w:rsidRDefault="008061DE" w:rsidP="00EC007B">
      <w:pPr>
        <w:shd w:val="clear" w:color="auto" w:fill="FFFFFF"/>
        <w:spacing w:after="0" w:line="240" w:lineRule="auto"/>
        <w:jc w:val="center"/>
        <w:rPr>
          <w:rFonts w:ascii="Times New Roman" w:eastAsia="Times New Roman" w:hAnsi="Times New Roman" w:cs="Times New Roman"/>
          <w:b/>
          <w:bCs/>
          <w:sz w:val="30"/>
          <w:szCs w:val="30"/>
          <w:lang w:eastAsia="ar-SA"/>
        </w:rPr>
      </w:pPr>
      <w:r w:rsidRPr="00D05A4E">
        <w:rPr>
          <w:rFonts w:ascii="Times New Roman" w:eastAsia="Times New Roman" w:hAnsi="Times New Roman" w:cs="Times New Roman"/>
          <w:b/>
          <w:bCs/>
          <w:sz w:val="30"/>
          <w:szCs w:val="30"/>
          <w:lang w:eastAsia="ar-SA"/>
        </w:rPr>
        <w:t xml:space="preserve">The Performance of the </w:t>
      </w:r>
      <w:r w:rsidR="005066AE" w:rsidRPr="00D05A4E">
        <w:rPr>
          <w:rFonts w:ascii="Times New Roman" w:eastAsia="Times New Roman" w:hAnsi="Times New Roman" w:cs="Times New Roman"/>
          <w:b/>
          <w:bCs/>
          <w:sz w:val="30"/>
          <w:szCs w:val="30"/>
          <w:lang w:eastAsia="ar-SA"/>
        </w:rPr>
        <w:t>Palestinian Economy</w:t>
      </w:r>
      <w:r w:rsidR="00FC33CC" w:rsidRPr="00D05A4E">
        <w:rPr>
          <w:rFonts w:ascii="Times New Roman" w:eastAsia="Times New Roman" w:hAnsi="Times New Roman" w:cs="Times New Roman"/>
          <w:b/>
          <w:bCs/>
          <w:sz w:val="30"/>
          <w:szCs w:val="30"/>
          <w:vertAlign w:val="superscript"/>
          <w:lang w:eastAsia="ar-SA"/>
        </w:rPr>
        <w:footnoteReference w:id="1"/>
      </w:r>
      <w:r w:rsidR="002B097C" w:rsidRPr="00D05A4E">
        <w:rPr>
          <w:rFonts w:ascii="Times New Roman" w:eastAsia="Times New Roman" w:hAnsi="Times New Roman" w:cs="Times New Roman"/>
          <w:b/>
          <w:bCs/>
          <w:sz w:val="30"/>
          <w:szCs w:val="30"/>
          <w:lang w:eastAsia="ar-SA"/>
        </w:rPr>
        <w:t xml:space="preserve"> </w:t>
      </w:r>
      <w:r w:rsidRPr="00D05A4E">
        <w:rPr>
          <w:rFonts w:ascii="Times New Roman" w:eastAsia="Times New Roman" w:hAnsi="Times New Roman" w:cs="Times New Roman"/>
          <w:b/>
          <w:bCs/>
          <w:sz w:val="30"/>
          <w:szCs w:val="30"/>
          <w:lang w:eastAsia="ar-SA"/>
        </w:rPr>
        <w:t xml:space="preserve">during </w:t>
      </w:r>
      <w:r w:rsidRPr="00D05A4E">
        <w:rPr>
          <w:rFonts w:ascii="Times New Roman" w:eastAsia="Times New Roman" w:hAnsi="Times New Roman" w:cs="Times New Roman" w:hint="cs"/>
          <w:b/>
          <w:bCs/>
          <w:sz w:val="30"/>
          <w:szCs w:val="30"/>
          <w:rtl/>
          <w:lang w:eastAsia="ar-SA"/>
        </w:rPr>
        <w:t>2020</w:t>
      </w:r>
    </w:p>
    <w:p w:rsidR="00F06588" w:rsidRPr="00D05A4E" w:rsidRDefault="00F06588" w:rsidP="00F06588">
      <w:pPr>
        <w:ind w:left="360"/>
        <w:jc w:val="center"/>
        <w:rPr>
          <w:rFonts w:ascii="Times New Roman" w:hAnsi="Times New Roman" w:cs="Times New Roman"/>
          <w:b/>
          <w:bCs/>
          <w:sz w:val="30"/>
          <w:szCs w:val="30"/>
        </w:rPr>
      </w:pPr>
      <w:r w:rsidRPr="00D05A4E">
        <w:rPr>
          <w:rFonts w:ascii="Times New Roman" w:hAnsi="Times New Roman" w:cs="Times New Roman"/>
          <w:b/>
          <w:bCs/>
          <w:sz w:val="30"/>
          <w:szCs w:val="30"/>
        </w:rPr>
        <w:t>The Economy during the times of the Pandemic and the Crisis of Clearance Revenues</w:t>
      </w:r>
    </w:p>
    <w:p w:rsidR="00667BFA" w:rsidRPr="00EC007B" w:rsidRDefault="00667BFA" w:rsidP="00667BFA">
      <w:pPr>
        <w:pStyle w:val="Title"/>
        <w:bidi w:val="0"/>
        <w:spacing w:line="276" w:lineRule="auto"/>
        <w:jc w:val="both"/>
        <w:rPr>
          <w:rFonts w:cs="Times New Roman"/>
          <w:b w:val="0"/>
          <w:bCs w:val="0"/>
          <w:rtl/>
        </w:rPr>
      </w:pPr>
      <w:r w:rsidRPr="00EC007B">
        <w:rPr>
          <w:rFonts w:cs="Times New Roman"/>
        </w:rPr>
        <w:t>As a result of the impacts of the Coronavirus pandemic, the Palestinian economy has recorded a sharp decline reaching 12% during 2020, as most economic activities experienced setbacks in the value added leading to a noticeable decrease in the GDP per capita and a rise in unemployment rates with new segments of the population entering the poverty cycle, which led to a decline in the public demand on the consumption and gross investment indicators.</w:t>
      </w:r>
    </w:p>
    <w:p w:rsidR="00667BFA" w:rsidRPr="00EC007B" w:rsidRDefault="00667BFA" w:rsidP="00667BFA">
      <w:pPr>
        <w:pStyle w:val="Title"/>
        <w:bidi w:val="0"/>
        <w:spacing w:line="276" w:lineRule="auto"/>
        <w:jc w:val="both"/>
        <w:rPr>
          <w:rFonts w:cs="Times New Roman"/>
          <w:b w:val="0"/>
          <w:bCs w:val="0"/>
        </w:rPr>
      </w:pPr>
    </w:p>
    <w:p w:rsidR="00667BFA" w:rsidRPr="00EC007B" w:rsidRDefault="00667BFA" w:rsidP="00667BFA">
      <w:pPr>
        <w:spacing w:line="240" w:lineRule="atLeast"/>
        <w:jc w:val="lowKashida"/>
        <w:rPr>
          <w:rFonts w:ascii="Times New Roman" w:hAnsi="Times New Roman" w:cs="Times New Roman"/>
          <w:sz w:val="24"/>
          <w:szCs w:val="24"/>
        </w:rPr>
      </w:pPr>
      <w:r w:rsidRPr="00EC007B">
        <w:rPr>
          <w:rFonts w:ascii="Times New Roman" w:hAnsi="Times New Roman" w:cs="Times New Roman"/>
          <w:sz w:val="24"/>
          <w:szCs w:val="24"/>
        </w:rPr>
        <w:t xml:space="preserve">The year 2020 witnessed a decline in Gross Domestic Product (GDP) of 12% compared to 2019. Due to the early effects of the Coronavirus pandemic during the first quarter of 2020, the Palestinian economy witnessed a decline of around 4% compared to the same quarter of 2019. However, this decline deepened with the impacts of the pandemic, which made the Palestinian government take a number of emergency measures to be imposed, including partial and total lockdowns. The aim of such lockdowns was to contain the outbreak of COVID- 19, as they where were mostly imposed during the second quarter of 2020 in which the GDP recorded a sharp decline of around 20% compared to the same quarter of the previous year.  During the second half of 2020, most economic activities began to recover gradually due to the policy of balancing between the aspects of economy and health.  GDP has increased but remained at a lower level than its pre-pandemic rates. This was also due to the Israeli occupation measures of withholding clearance tax revenues which lasted for more than seven consecutive months.  It is well-known that those funds constitute 70% of the total Palestinian revenues and are considered the main source of funds used to cover current expenditures. At the expenditure level, gross consumption in Palestine dropped during the same period by 6%, whereas gross investment dropped by 36%. </w:t>
      </w:r>
    </w:p>
    <w:p w:rsidR="00A61958" w:rsidRPr="00EC007B" w:rsidRDefault="00A61958" w:rsidP="00A61958">
      <w:pPr>
        <w:spacing w:after="0" w:line="240" w:lineRule="atLeast"/>
        <w:jc w:val="both"/>
        <w:rPr>
          <w:rFonts w:ascii="Times New Roman" w:hAnsi="Times New Roman" w:cs="Times New Roman"/>
          <w:b/>
          <w:bCs/>
          <w:sz w:val="24"/>
          <w:szCs w:val="24"/>
          <w:rtl/>
        </w:rPr>
      </w:pPr>
      <w:r w:rsidRPr="00EC007B">
        <w:rPr>
          <w:rFonts w:ascii="Times New Roman" w:hAnsi="Times New Roman" w:cs="Times New Roman"/>
          <w:b/>
          <w:bCs/>
          <w:sz w:val="24"/>
          <w:szCs w:val="24"/>
        </w:rPr>
        <w:lastRenderedPageBreak/>
        <w:t xml:space="preserve">A decline in most </w:t>
      </w:r>
      <w:r w:rsidR="00667BFA" w:rsidRPr="00EC007B">
        <w:rPr>
          <w:rFonts w:ascii="Times New Roman" w:hAnsi="Times New Roman" w:cs="Times New Roman"/>
          <w:b/>
          <w:bCs/>
          <w:sz w:val="24"/>
          <w:szCs w:val="24"/>
        </w:rPr>
        <w:t xml:space="preserve">of the </w:t>
      </w:r>
      <w:r w:rsidRPr="00EC007B">
        <w:rPr>
          <w:rFonts w:ascii="Times New Roman" w:hAnsi="Times New Roman" w:cs="Times New Roman"/>
          <w:b/>
          <w:bCs/>
          <w:sz w:val="24"/>
          <w:szCs w:val="24"/>
        </w:rPr>
        <w:t>economic activities due t</w:t>
      </w:r>
      <w:r w:rsidR="00DA6801" w:rsidRPr="00EC007B">
        <w:rPr>
          <w:rFonts w:ascii="Times New Roman" w:hAnsi="Times New Roman" w:cs="Times New Roman"/>
          <w:b/>
          <w:bCs/>
          <w:sz w:val="24"/>
          <w:szCs w:val="24"/>
        </w:rPr>
        <w:t>o the full and partial lockdown</w:t>
      </w:r>
      <w:r w:rsidRPr="00EC007B">
        <w:rPr>
          <w:rFonts w:ascii="Times New Roman" w:hAnsi="Times New Roman" w:cs="Times New Roman"/>
          <w:b/>
          <w:bCs/>
          <w:sz w:val="24"/>
          <w:szCs w:val="24"/>
        </w:rPr>
        <w:t>, affecting most economic sectors</w:t>
      </w:r>
      <w:r w:rsidRPr="00EC007B">
        <w:rPr>
          <w:rFonts w:ascii="Times New Roman" w:hAnsi="Times New Roman" w:cs="Times New Roman"/>
          <w:b/>
          <w:bCs/>
          <w:sz w:val="24"/>
          <w:szCs w:val="24"/>
          <w:rtl/>
        </w:rPr>
        <w:t xml:space="preserve"> </w:t>
      </w:r>
    </w:p>
    <w:p w:rsidR="009C07EF" w:rsidRPr="00EC007B" w:rsidRDefault="00A61958" w:rsidP="00667BFA">
      <w:pPr>
        <w:spacing w:after="0" w:line="240" w:lineRule="atLeast"/>
        <w:jc w:val="both"/>
        <w:rPr>
          <w:rFonts w:ascii="Times New Roman" w:hAnsi="Times New Roman" w:cs="Times New Roman"/>
          <w:sz w:val="24"/>
          <w:szCs w:val="24"/>
        </w:rPr>
      </w:pPr>
      <w:r w:rsidRPr="00EC007B">
        <w:rPr>
          <w:rFonts w:ascii="Times New Roman" w:hAnsi="Times New Roman" w:cs="Times New Roman"/>
          <w:sz w:val="24"/>
          <w:szCs w:val="24"/>
        </w:rPr>
        <w:t xml:space="preserve">Most economic activities witnessed a noticeable decline in </w:t>
      </w:r>
      <w:r w:rsidR="00667BFA" w:rsidRPr="00EC007B">
        <w:rPr>
          <w:rFonts w:ascii="Times New Roman" w:hAnsi="Times New Roman" w:cs="Times New Roman"/>
          <w:sz w:val="24"/>
          <w:szCs w:val="24"/>
        </w:rPr>
        <w:t xml:space="preserve">the </w:t>
      </w:r>
      <w:r w:rsidRPr="00EC007B">
        <w:rPr>
          <w:rFonts w:ascii="Times New Roman" w:hAnsi="Times New Roman" w:cs="Times New Roman"/>
          <w:sz w:val="24"/>
          <w:szCs w:val="24"/>
        </w:rPr>
        <w:t xml:space="preserve">value added during 2020 compared to 2019. </w:t>
      </w:r>
      <w:r w:rsidR="0014133D" w:rsidRPr="00EC007B">
        <w:rPr>
          <w:rFonts w:ascii="Times New Roman" w:hAnsi="Times New Roman" w:cs="Times New Roman"/>
          <w:sz w:val="24"/>
          <w:szCs w:val="24"/>
        </w:rPr>
        <w:t xml:space="preserve">The </w:t>
      </w:r>
      <w:r w:rsidR="00AD6875" w:rsidRPr="00EC007B">
        <w:rPr>
          <w:rFonts w:ascii="Times New Roman" w:hAnsi="Times New Roman" w:cs="Times New Roman"/>
          <w:sz w:val="24"/>
          <w:szCs w:val="24"/>
        </w:rPr>
        <w:t>services</w:t>
      </w:r>
      <w:r w:rsidR="0014133D" w:rsidRPr="00EC007B">
        <w:rPr>
          <w:rFonts w:ascii="Times New Roman" w:hAnsi="Times New Roman" w:cs="Times New Roman"/>
          <w:sz w:val="24"/>
          <w:szCs w:val="24"/>
        </w:rPr>
        <w:t xml:space="preserve"> activity recorded a high decline </w:t>
      </w:r>
      <w:r w:rsidR="009E7BDA" w:rsidRPr="00EC007B">
        <w:rPr>
          <w:rFonts w:ascii="Times New Roman" w:hAnsi="Times New Roman" w:cs="Times New Roman"/>
          <w:sz w:val="24"/>
          <w:szCs w:val="24"/>
        </w:rPr>
        <w:t xml:space="preserve">value by 10%, </w:t>
      </w:r>
      <w:r w:rsidR="00E43449" w:rsidRPr="00EC007B">
        <w:rPr>
          <w:rFonts w:ascii="Times New Roman" w:hAnsi="Times New Roman" w:cs="Times New Roman"/>
          <w:sz w:val="24"/>
          <w:szCs w:val="24"/>
        </w:rPr>
        <w:t>where</w:t>
      </w:r>
      <w:r w:rsidR="00667BFA" w:rsidRPr="00EC007B">
        <w:rPr>
          <w:rFonts w:ascii="Times New Roman" w:hAnsi="Times New Roman" w:cs="Times New Roman"/>
          <w:sz w:val="24"/>
          <w:szCs w:val="24"/>
        </w:rPr>
        <w:t>as</w:t>
      </w:r>
      <w:r w:rsidR="00E43449" w:rsidRPr="00EC007B">
        <w:rPr>
          <w:rFonts w:ascii="Times New Roman" w:hAnsi="Times New Roman" w:cs="Times New Roman"/>
          <w:sz w:val="24"/>
          <w:szCs w:val="24"/>
        </w:rPr>
        <w:t xml:space="preserve"> the tourism </w:t>
      </w:r>
      <w:r w:rsidR="00667BFA" w:rsidRPr="00EC007B">
        <w:rPr>
          <w:rFonts w:ascii="Times New Roman" w:hAnsi="Times New Roman" w:cs="Times New Roman"/>
          <w:sz w:val="24"/>
          <w:szCs w:val="24"/>
        </w:rPr>
        <w:t>activity,</w:t>
      </w:r>
      <w:r w:rsidR="00E43449" w:rsidRPr="00EC007B">
        <w:rPr>
          <w:rFonts w:ascii="Times New Roman" w:hAnsi="Times New Roman" w:cs="Times New Roman"/>
          <w:sz w:val="24"/>
          <w:szCs w:val="24"/>
        </w:rPr>
        <w:t xml:space="preserve"> including restaurants an</w:t>
      </w:r>
      <w:r w:rsidR="00FB3378" w:rsidRPr="00EC007B">
        <w:rPr>
          <w:rFonts w:ascii="Times New Roman" w:hAnsi="Times New Roman" w:cs="Times New Roman"/>
          <w:sz w:val="24"/>
          <w:szCs w:val="24"/>
        </w:rPr>
        <w:t>d hospitality</w:t>
      </w:r>
      <w:r w:rsidR="00667BFA" w:rsidRPr="00EC007B">
        <w:rPr>
          <w:rFonts w:ascii="Times New Roman" w:hAnsi="Times New Roman" w:cs="Times New Roman"/>
          <w:sz w:val="24"/>
          <w:szCs w:val="24"/>
        </w:rPr>
        <w:t>,</w:t>
      </w:r>
      <w:r w:rsidR="00FB3378" w:rsidRPr="00EC007B">
        <w:rPr>
          <w:rFonts w:ascii="Times New Roman" w:hAnsi="Times New Roman" w:cs="Times New Roman"/>
          <w:sz w:val="24"/>
          <w:szCs w:val="24"/>
        </w:rPr>
        <w:t xml:space="preserve"> was </w:t>
      </w:r>
      <w:r w:rsidR="00667BFA" w:rsidRPr="00EC007B">
        <w:rPr>
          <w:rFonts w:ascii="Times New Roman" w:hAnsi="Times New Roman" w:cs="Times New Roman"/>
          <w:sz w:val="24"/>
          <w:szCs w:val="24"/>
        </w:rPr>
        <w:t xml:space="preserve">the </w:t>
      </w:r>
      <w:r w:rsidR="00FB3378" w:rsidRPr="00EC007B">
        <w:rPr>
          <w:rFonts w:ascii="Times New Roman" w:hAnsi="Times New Roman" w:cs="Times New Roman"/>
          <w:sz w:val="24"/>
          <w:szCs w:val="24"/>
        </w:rPr>
        <w:t>most affected</w:t>
      </w:r>
      <w:r w:rsidR="00667BFA" w:rsidRPr="00EC007B">
        <w:rPr>
          <w:rFonts w:ascii="Times New Roman" w:hAnsi="Times New Roman" w:cs="Times New Roman"/>
          <w:sz w:val="24"/>
          <w:szCs w:val="24"/>
        </w:rPr>
        <w:t xml:space="preserve"> activity</w:t>
      </w:r>
      <w:r w:rsidR="00FB3378" w:rsidRPr="00EC007B">
        <w:rPr>
          <w:rFonts w:ascii="Times New Roman" w:hAnsi="Times New Roman" w:cs="Times New Roman"/>
          <w:sz w:val="24"/>
          <w:szCs w:val="24"/>
        </w:rPr>
        <w:t>,</w:t>
      </w:r>
      <w:r w:rsidR="009D15FC" w:rsidRPr="00EC007B">
        <w:rPr>
          <w:rFonts w:ascii="Times New Roman" w:hAnsi="Times New Roman" w:cs="Times New Roman"/>
          <w:sz w:val="24"/>
          <w:szCs w:val="24"/>
        </w:rPr>
        <w:t xml:space="preserve"> </w:t>
      </w:r>
      <w:r w:rsidR="00667BFA" w:rsidRPr="00EC007B">
        <w:rPr>
          <w:rFonts w:ascii="Times New Roman" w:hAnsi="Times New Roman" w:cs="Times New Roman"/>
          <w:sz w:val="24"/>
          <w:szCs w:val="24"/>
        </w:rPr>
        <w:t xml:space="preserve">as it witnessed </w:t>
      </w:r>
      <w:r w:rsidR="009D15FC" w:rsidRPr="00EC007B">
        <w:rPr>
          <w:rFonts w:ascii="Times New Roman" w:hAnsi="Times New Roman" w:cs="Times New Roman"/>
          <w:sz w:val="24"/>
          <w:szCs w:val="24"/>
        </w:rPr>
        <w:t>of 10 thousand</w:t>
      </w:r>
      <w:r w:rsidR="00E43449" w:rsidRPr="00EC007B">
        <w:rPr>
          <w:rFonts w:ascii="Times New Roman" w:hAnsi="Times New Roman" w:cs="Times New Roman"/>
          <w:sz w:val="24"/>
          <w:szCs w:val="24"/>
        </w:rPr>
        <w:t xml:space="preserve"> </w:t>
      </w:r>
      <w:r w:rsidR="00667BFA" w:rsidRPr="00EC007B">
        <w:rPr>
          <w:rFonts w:ascii="Times New Roman" w:hAnsi="Times New Roman" w:cs="Times New Roman"/>
          <w:sz w:val="24"/>
          <w:szCs w:val="24"/>
        </w:rPr>
        <w:t xml:space="preserve">employees lost their jobs.  The </w:t>
      </w:r>
      <w:r w:rsidR="00E43449" w:rsidRPr="00EC007B">
        <w:rPr>
          <w:rFonts w:ascii="Times New Roman" w:hAnsi="Times New Roman" w:cs="Times New Roman"/>
          <w:sz w:val="24"/>
          <w:szCs w:val="24"/>
        </w:rPr>
        <w:t xml:space="preserve">construction </w:t>
      </w:r>
      <w:r w:rsidR="00DA6801" w:rsidRPr="00EC007B">
        <w:rPr>
          <w:rFonts w:ascii="Times New Roman" w:hAnsi="Times New Roman" w:cs="Times New Roman"/>
          <w:sz w:val="24"/>
          <w:szCs w:val="24"/>
        </w:rPr>
        <w:t xml:space="preserve">activity </w:t>
      </w:r>
      <w:r w:rsidR="00E43449" w:rsidRPr="00EC007B">
        <w:rPr>
          <w:rFonts w:ascii="Times New Roman" w:hAnsi="Times New Roman" w:cs="Times New Roman"/>
          <w:sz w:val="24"/>
          <w:szCs w:val="24"/>
        </w:rPr>
        <w:t xml:space="preserve">witnessed a decline of </w:t>
      </w:r>
      <w:r w:rsidR="00940A86" w:rsidRPr="00EC007B">
        <w:rPr>
          <w:rFonts w:ascii="Times New Roman" w:hAnsi="Times New Roman" w:cs="Times New Roman"/>
          <w:sz w:val="24"/>
          <w:szCs w:val="24"/>
        </w:rPr>
        <w:t>35</w:t>
      </w:r>
      <w:r w:rsidR="00E43449" w:rsidRPr="00EC007B">
        <w:rPr>
          <w:rFonts w:ascii="Times New Roman" w:hAnsi="Times New Roman" w:cs="Times New Roman"/>
          <w:sz w:val="24"/>
          <w:szCs w:val="24"/>
        </w:rPr>
        <w:t>%</w:t>
      </w:r>
      <w:r w:rsidR="00940A86" w:rsidRPr="00EC007B">
        <w:rPr>
          <w:rFonts w:ascii="Times New Roman" w:hAnsi="Times New Roman" w:cs="Times New Roman"/>
          <w:sz w:val="24"/>
          <w:szCs w:val="24"/>
        </w:rPr>
        <w:t xml:space="preserve"> </w:t>
      </w:r>
      <w:r w:rsidRPr="00EC007B">
        <w:rPr>
          <w:rFonts w:ascii="Times New Roman" w:hAnsi="Times New Roman" w:cs="Times New Roman"/>
          <w:sz w:val="24"/>
          <w:szCs w:val="24"/>
        </w:rPr>
        <w:t xml:space="preserve">due to the sharp decline in demand for </w:t>
      </w:r>
      <w:r w:rsidR="00B64F31" w:rsidRPr="00EC007B">
        <w:rPr>
          <w:rFonts w:ascii="Times New Roman" w:hAnsi="Times New Roman" w:cs="Times New Roman"/>
          <w:sz w:val="24"/>
          <w:szCs w:val="24"/>
        </w:rPr>
        <w:t>construction during that period,</w:t>
      </w:r>
      <w:r w:rsidRPr="00EC007B">
        <w:rPr>
          <w:rFonts w:ascii="Times New Roman" w:hAnsi="Times New Roman" w:cs="Times New Roman"/>
          <w:sz w:val="24"/>
          <w:szCs w:val="24"/>
        </w:rPr>
        <w:t xml:space="preserve"> </w:t>
      </w:r>
      <w:r w:rsidR="00667BFA" w:rsidRPr="00EC007B">
        <w:rPr>
          <w:rFonts w:ascii="Times New Roman" w:hAnsi="Times New Roman" w:cs="Times New Roman"/>
          <w:sz w:val="24"/>
          <w:szCs w:val="24"/>
        </w:rPr>
        <w:t>as</w:t>
      </w:r>
      <w:r w:rsidR="00B64F31" w:rsidRPr="00EC007B">
        <w:rPr>
          <w:rFonts w:ascii="Times New Roman" w:hAnsi="Times New Roman" w:cs="Times New Roman"/>
          <w:sz w:val="24"/>
          <w:szCs w:val="24"/>
        </w:rPr>
        <w:t xml:space="preserve"> t</w:t>
      </w:r>
      <w:r w:rsidR="00FB3378" w:rsidRPr="00EC007B">
        <w:rPr>
          <w:rFonts w:ascii="Times New Roman" w:hAnsi="Times New Roman" w:cs="Times New Roman"/>
          <w:sz w:val="24"/>
          <w:szCs w:val="24"/>
        </w:rPr>
        <w:t>he number</w:t>
      </w:r>
      <w:r w:rsidRPr="00EC007B">
        <w:rPr>
          <w:rFonts w:ascii="Times New Roman" w:hAnsi="Times New Roman" w:cs="Times New Roman"/>
          <w:sz w:val="24"/>
          <w:szCs w:val="24"/>
        </w:rPr>
        <w:t xml:space="preserve"> of construction </w:t>
      </w:r>
      <w:r w:rsidR="00FB3378" w:rsidRPr="00EC007B">
        <w:rPr>
          <w:rFonts w:ascii="Times New Roman" w:hAnsi="Times New Roman" w:cs="Times New Roman"/>
          <w:sz w:val="24"/>
          <w:szCs w:val="24"/>
        </w:rPr>
        <w:t xml:space="preserve">licenses </w:t>
      </w:r>
      <w:r w:rsidR="00667BFA" w:rsidRPr="00EC007B">
        <w:rPr>
          <w:rFonts w:ascii="Times New Roman" w:hAnsi="Times New Roman" w:cs="Times New Roman"/>
          <w:sz w:val="24"/>
          <w:szCs w:val="24"/>
        </w:rPr>
        <w:t>dropped</w:t>
      </w:r>
      <w:r w:rsidR="00FB3378" w:rsidRPr="00EC007B">
        <w:rPr>
          <w:rFonts w:ascii="Times New Roman" w:hAnsi="Times New Roman" w:cs="Times New Roman"/>
          <w:sz w:val="24"/>
          <w:szCs w:val="24"/>
        </w:rPr>
        <w:t xml:space="preserve"> by 45% during the </w:t>
      </w:r>
      <w:r w:rsidRPr="00EC007B">
        <w:rPr>
          <w:rFonts w:ascii="Times New Roman" w:hAnsi="Times New Roman" w:cs="Times New Roman"/>
          <w:sz w:val="24"/>
          <w:szCs w:val="24"/>
        </w:rPr>
        <w:t>lockdown period (</w:t>
      </w:r>
      <w:r w:rsidR="00940A86" w:rsidRPr="00EC007B">
        <w:rPr>
          <w:rFonts w:ascii="Times New Roman" w:hAnsi="Times New Roman" w:cs="Times New Roman"/>
          <w:sz w:val="24"/>
          <w:szCs w:val="24"/>
        </w:rPr>
        <w:t>second quarter</w:t>
      </w:r>
      <w:r w:rsidR="00667BFA" w:rsidRPr="00EC007B">
        <w:rPr>
          <w:rFonts w:ascii="Times New Roman" w:hAnsi="Times New Roman" w:cs="Times New Roman"/>
          <w:sz w:val="24"/>
          <w:szCs w:val="24"/>
        </w:rPr>
        <w:t xml:space="preserve"> 2020), which </w:t>
      </w:r>
      <w:r w:rsidRPr="00EC007B">
        <w:rPr>
          <w:rFonts w:ascii="Times New Roman" w:hAnsi="Times New Roman" w:cs="Times New Roman"/>
          <w:sz w:val="24"/>
          <w:szCs w:val="24"/>
        </w:rPr>
        <w:t xml:space="preserve">was followed by the industry </w:t>
      </w:r>
      <w:r w:rsidR="00DA6801" w:rsidRPr="00EC007B">
        <w:rPr>
          <w:rFonts w:ascii="Times New Roman" w:hAnsi="Times New Roman" w:cs="Times New Roman"/>
          <w:sz w:val="24"/>
          <w:szCs w:val="24"/>
        </w:rPr>
        <w:t>activity</w:t>
      </w:r>
      <w:r w:rsidRPr="00EC007B">
        <w:rPr>
          <w:rFonts w:ascii="Times New Roman" w:hAnsi="Times New Roman" w:cs="Times New Roman"/>
          <w:sz w:val="24"/>
          <w:szCs w:val="24"/>
        </w:rPr>
        <w:t xml:space="preserve"> </w:t>
      </w:r>
      <w:r w:rsidR="00667BFA" w:rsidRPr="00EC007B">
        <w:rPr>
          <w:rFonts w:ascii="Times New Roman" w:hAnsi="Times New Roman" w:cs="Times New Roman"/>
          <w:sz w:val="24"/>
          <w:szCs w:val="24"/>
        </w:rPr>
        <w:t xml:space="preserve">that witnessed </w:t>
      </w:r>
      <w:r w:rsidRPr="00EC007B">
        <w:rPr>
          <w:rFonts w:ascii="Times New Roman" w:hAnsi="Times New Roman" w:cs="Times New Roman"/>
          <w:sz w:val="24"/>
          <w:szCs w:val="24"/>
        </w:rPr>
        <w:t xml:space="preserve">a decline of </w:t>
      </w:r>
      <w:r w:rsidR="00940A86" w:rsidRPr="00EC007B">
        <w:rPr>
          <w:rFonts w:ascii="Times New Roman" w:hAnsi="Times New Roman" w:cs="Times New Roman"/>
          <w:sz w:val="24"/>
          <w:szCs w:val="24"/>
        </w:rPr>
        <w:t>12</w:t>
      </w:r>
      <w:r w:rsidRPr="00EC007B">
        <w:rPr>
          <w:rFonts w:ascii="Times New Roman" w:hAnsi="Times New Roman" w:cs="Times New Roman"/>
          <w:sz w:val="24"/>
          <w:szCs w:val="24"/>
        </w:rPr>
        <w:t xml:space="preserve">% during 2020. The first half of 2020 </w:t>
      </w:r>
      <w:r w:rsidR="00667BFA" w:rsidRPr="00EC007B">
        <w:rPr>
          <w:rFonts w:ascii="Times New Roman" w:hAnsi="Times New Roman" w:cs="Times New Roman"/>
          <w:sz w:val="24"/>
          <w:szCs w:val="24"/>
        </w:rPr>
        <w:t>witnessed</w:t>
      </w:r>
      <w:r w:rsidR="00870780" w:rsidRPr="00EC007B">
        <w:rPr>
          <w:rFonts w:ascii="Times New Roman" w:hAnsi="Times New Roman" w:cs="Times New Roman"/>
          <w:sz w:val="24"/>
          <w:szCs w:val="24"/>
        </w:rPr>
        <w:t xml:space="preserve"> a decline</w:t>
      </w:r>
      <w:r w:rsidRPr="00EC007B">
        <w:rPr>
          <w:rFonts w:ascii="Times New Roman" w:hAnsi="Times New Roman" w:cs="Times New Roman"/>
          <w:sz w:val="24"/>
          <w:szCs w:val="24"/>
        </w:rPr>
        <w:t xml:space="preserve"> </w:t>
      </w:r>
      <w:r w:rsidR="00870780" w:rsidRPr="00EC007B">
        <w:rPr>
          <w:rFonts w:ascii="Times New Roman" w:hAnsi="Times New Roman" w:cs="Times New Roman"/>
          <w:sz w:val="24"/>
          <w:szCs w:val="24"/>
        </w:rPr>
        <w:t>of</w:t>
      </w:r>
      <w:r w:rsidRPr="00EC007B">
        <w:rPr>
          <w:rFonts w:ascii="Times New Roman" w:hAnsi="Times New Roman" w:cs="Times New Roman"/>
          <w:sz w:val="24"/>
          <w:szCs w:val="24"/>
        </w:rPr>
        <w:t xml:space="preserve"> </w:t>
      </w:r>
      <w:r w:rsidR="00940A86" w:rsidRPr="00EC007B">
        <w:rPr>
          <w:rFonts w:ascii="Times New Roman" w:hAnsi="Times New Roman" w:cs="Times New Roman"/>
          <w:sz w:val="24"/>
          <w:szCs w:val="24"/>
        </w:rPr>
        <w:t>6</w:t>
      </w:r>
      <w:r w:rsidRPr="00EC007B">
        <w:rPr>
          <w:rFonts w:ascii="Times New Roman" w:hAnsi="Times New Roman" w:cs="Times New Roman"/>
          <w:sz w:val="24"/>
          <w:szCs w:val="24"/>
        </w:rPr>
        <w:t xml:space="preserve">% in the industrial production </w:t>
      </w:r>
      <w:r w:rsidR="003948AA" w:rsidRPr="00EC007B">
        <w:rPr>
          <w:rFonts w:ascii="Times New Roman" w:hAnsi="Times New Roman" w:cs="Times New Roman"/>
          <w:sz w:val="24"/>
          <w:szCs w:val="24"/>
        </w:rPr>
        <w:t>quantities</w:t>
      </w:r>
      <w:r w:rsidR="00667BFA" w:rsidRPr="00EC007B">
        <w:rPr>
          <w:rFonts w:ascii="Times New Roman" w:hAnsi="Times New Roman" w:cs="Times New Roman"/>
          <w:sz w:val="24"/>
          <w:szCs w:val="24"/>
        </w:rPr>
        <w:t>.</w:t>
      </w:r>
      <w:r w:rsidRPr="00EC007B">
        <w:rPr>
          <w:rFonts w:ascii="Times New Roman" w:hAnsi="Times New Roman" w:cs="Times New Roman"/>
          <w:sz w:val="24"/>
          <w:szCs w:val="24"/>
        </w:rPr>
        <w:t xml:space="preserve"> </w:t>
      </w:r>
      <w:r w:rsidR="00667BFA" w:rsidRPr="00EC007B">
        <w:rPr>
          <w:rFonts w:ascii="Times New Roman" w:hAnsi="Times New Roman" w:cs="Times New Roman"/>
          <w:sz w:val="24"/>
          <w:szCs w:val="24"/>
        </w:rPr>
        <w:t>W</w:t>
      </w:r>
      <w:r w:rsidRPr="00EC007B">
        <w:rPr>
          <w:rFonts w:ascii="Times New Roman" w:hAnsi="Times New Roman" w:cs="Times New Roman"/>
          <w:sz w:val="24"/>
          <w:szCs w:val="24"/>
        </w:rPr>
        <w:t>hereas, industrial activity began to recover gradually during the second h</w:t>
      </w:r>
      <w:r w:rsidR="00667BFA" w:rsidRPr="00EC007B">
        <w:rPr>
          <w:rFonts w:ascii="Times New Roman" w:hAnsi="Times New Roman" w:cs="Times New Roman"/>
          <w:sz w:val="24"/>
          <w:szCs w:val="24"/>
        </w:rPr>
        <w:t xml:space="preserve">alf of 2020, remaining at a </w:t>
      </w:r>
      <w:r w:rsidRPr="00EC007B">
        <w:rPr>
          <w:rFonts w:ascii="Times New Roman" w:hAnsi="Times New Roman" w:cs="Times New Roman"/>
          <w:sz w:val="24"/>
          <w:szCs w:val="24"/>
        </w:rPr>
        <w:t xml:space="preserve">lower </w:t>
      </w:r>
      <w:r w:rsidR="00667BFA" w:rsidRPr="00EC007B">
        <w:rPr>
          <w:rFonts w:ascii="Times New Roman" w:hAnsi="Times New Roman" w:cs="Times New Roman"/>
          <w:sz w:val="24"/>
          <w:szCs w:val="24"/>
        </w:rPr>
        <w:t xml:space="preserve">level </w:t>
      </w:r>
      <w:r w:rsidRPr="00EC007B">
        <w:rPr>
          <w:rFonts w:ascii="Times New Roman" w:hAnsi="Times New Roman" w:cs="Times New Roman"/>
          <w:sz w:val="24"/>
          <w:szCs w:val="24"/>
        </w:rPr>
        <w:t xml:space="preserve">than </w:t>
      </w:r>
      <w:r w:rsidR="00667BFA" w:rsidRPr="00EC007B">
        <w:rPr>
          <w:rFonts w:ascii="Times New Roman" w:hAnsi="Times New Roman" w:cs="Times New Roman"/>
          <w:sz w:val="24"/>
          <w:szCs w:val="24"/>
        </w:rPr>
        <w:t xml:space="preserve">its </w:t>
      </w:r>
      <w:r w:rsidRPr="00EC007B">
        <w:rPr>
          <w:rFonts w:ascii="Times New Roman" w:hAnsi="Times New Roman" w:cs="Times New Roman"/>
          <w:sz w:val="24"/>
          <w:szCs w:val="24"/>
        </w:rPr>
        <w:t xml:space="preserve">pre-pandemic levels </w:t>
      </w:r>
      <w:r w:rsidR="00C93D3B" w:rsidRPr="00EC007B">
        <w:rPr>
          <w:rFonts w:ascii="Times New Roman" w:hAnsi="Times New Roman" w:cs="Times New Roman"/>
          <w:sz w:val="24"/>
          <w:szCs w:val="24"/>
        </w:rPr>
        <w:t xml:space="preserve">due to the </w:t>
      </w:r>
      <w:r w:rsidR="00B64F31" w:rsidRPr="00EC007B">
        <w:rPr>
          <w:rFonts w:ascii="Times New Roman" w:hAnsi="Times New Roman" w:cs="Times New Roman"/>
          <w:sz w:val="24"/>
          <w:szCs w:val="24"/>
        </w:rPr>
        <w:t>clearance</w:t>
      </w:r>
      <w:r w:rsidR="00667BFA" w:rsidRPr="00EC007B">
        <w:rPr>
          <w:rFonts w:ascii="Times New Roman" w:hAnsi="Times New Roman" w:cs="Times New Roman"/>
          <w:sz w:val="24"/>
          <w:szCs w:val="24"/>
        </w:rPr>
        <w:t xml:space="preserve"> revenues crisis.  The </w:t>
      </w:r>
      <w:r w:rsidR="00C93D3B" w:rsidRPr="00EC007B">
        <w:rPr>
          <w:rFonts w:ascii="Times New Roman" w:hAnsi="Times New Roman" w:cs="Times New Roman"/>
          <w:sz w:val="24"/>
          <w:szCs w:val="24"/>
        </w:rPr>
        <w:t xml:space="preserve">agriculture activity witnessed a decrease </w:t>
      </w:r>
      <w:r w:rsidR="00667BFA" w:rsidRPr="00EC007B">
        <w:rPr>
          <w:rFonts w:ascii="Times New Roman" w:hAnsi="Times New Roman" w:cs="Times New Roman"/>
          <w:sz w:val="24"/>
          <w:szCs w:val="24"/>
        </w:rPr>
        <w:t>of</w:t>
      </w:r>
      <w:r w:rsidR="00C93D3B" w:rsidRPr="00EC007B">
        <w:rPr>
          <w:rFonts w:ascii="Times New Roman" w:hAnsi="Times New Roman" w:cs="Times New Roman"/>
          <w:sz w:val="24"/>
          <w:szCs w:val="24"/>
        </w:rPr>
        <w:t xml:space="preserve"> 11%.</w:t>
      </w:r>
    </w:p>
    <w:p w:rsidR="00A61958" w:rsidRPr="00EC007B" w:rsidRDefault="00A61958" w:rsidP="003948AA">
      <w:pPr>
        <w:spacing w:after="0" w:line="240" w:lineRule="atLeast"/>
        <w:jc w:val="both"/>
        <w:rPr>
          <w:rFonts w:ascii="Times New Roman" w:hAnsi="Times New Roman" w:cs="Times New Roman"/>
        </w:rPr>
      </w:pPr>
      <w:r w:rsidRPr="00EC007B">
        <w:rPr>
          <w:rFonts w:ascii="Times New Roman" w:hAnsi="Times New Roman" w:cs="Times New Roman"/>
        </w:rPr>
        <w:t xml:space="preserve"> </w:t>
      </w:r>
    </w:p>
    <w:p w:rsidR="00667BFA" w:rsidRPr="00EC007B" w:rsidRDefault="00667BFA" w:rsidP="00667BFA">
      <w:pPr>
        <w:pStyle w:val="Title"/>
        <w:bidi w:val="0"/>
        <w:spacing w:line="276" w:lineRule="auto"/>
        <w:jc w:val="both"/>
        <w:rPr>
          <w:rFonts w:cs="Times New Roman"/>
        </w:rPr>
      </w:pPr>
      <w:r w:rsidRPr="00EC007B">
        <w:rPr>
          <w:rFonts w:cs="Times New Roman"/>
        </w:rPr>
        <w:t xml:space="preserve">A Continuation in the trade balance deficit, and a decline in the volume of trade exchange with the world and a decline in the imports and exports to and from Palestine. </w:t>
      </w:r>
    </w:p>
    <w:p w:rsidR="00667BFA" w:rsidRPr="00EC007B" w:rsidRDefault="00667BFA" w:rsidP="00667BFA">
      <w:pPr>
        <w:pStyle w:val="Title"/>
        <w:bidi w:val="0"/>
        <w:spacing w:line="276" w:lineRule="auto"/>
        <w:jc w:val="both"/>
        <w:rPr>
          <w:rFonts w:cs="Times New Roman"/>
          <w:b w:val="0"/>
          <w:bCs w:val="0"/>
        </w:rPr>
      </w:pPr>
      <w:r w:rsidRPr="00EC007B">
        <w:rPr>
          <w:rFonts w:cs="Times New Roman"/>
          <w:b w:val="0"/>
          <w:bCs w:val="0"/>
        </w:rPr>
        <w:t xml:space="preserve">In 2020, the volume of trade exchange to and from Palestine reached USD 10 billion with a decline of 10% compared to 2019.  This resulted from a decline of 7% in exports, which reached USD 2.5 billion and a decline of 11% in imports, which reached USD 7.4 billion. Therefore, the trade balance witnessed a deficit of around USD 5 billion. </w:t>
      </w:r>
    </w:p>
    <w:p w:rsidR="00667BFA" w:rsidRPr="00EC007B" w:rsidRDefault="00667BFA" w:rsidP="00667BFA">
      <w:pPr>
        <w:pStyle w:val="Title"/>
        <w:bidi w:val="0"/>
        <w:spacing w:line="276" w:lineRule="auto"/>
        <w:jc w:val="both"/>
        <w:rPr>
          <w:rFonts w:cs="Times New Roman"/>
          <w:b w:val="0"/>
          <w:bCs w:val="0"/>
        </w:rPr>
      </w:pPr>
    </w:p>
    <w:p w:rsidR="003515AB" w:rsidRPr="00EC007B" w:rsidRDefault="003515AB" w:rsidP="003515AB">
      <w:pPr>
        <w:pStyle w:val="Title"/>
        <w:bidi w:val="0"/>
        <w:spacing w:line="276" w:lineRule="auto"/>
        <w:jc w:val="both"/>
        <w:rPr>
          <w:rFonts w:cs="Times New Roman"/>
          <w:rtl/>
        </w:rPr>
      </w:pPr>
      <w:r w:rsidRPr="00EC007B">
        <w:rPr>
          <w:rFonts w:cs="Times New Roman"/>
        </w:rPr>
        <w:t>More than 66 thousand employees lost their jobs during 2020, leading to an increase in the unemployment rate which reached 27.8% and resulting a decline of 14% in the GDP per capita and new segments of the population entering poverty and extreme poverty.</w:t>
      </w:r>
    </w:p>
    <w:p w:rsidR="006040F4" w:rsidRPr="00EC007B" w:rsidRDefault="003515AB" w:rsidP="0089244E">
      <w:pPr>
        <w:jc w:val="both"/>
        <w:rPr>
          <w:rFonts w:ascii="Times New Roman" w:hAnsi="Times New Roman" w:cs="Times New Roman"/>
        </w:rPr>
      </w:pPr>
      <w:r w:rsidRPr="00EC007B">
        <w:rPr>
          <w:rFonts w:ascii="Times New Roman" w:hAnsi="Times New Roman" w:cs="Times New Roman"/>
        </w:rPr>
        <w:t xml:space="preserve">The total number of employees in the labor market dropped from 951 thousand employees in 2019 to 884 thousand in 2020.  Also, and the unemployment rate increased from 26.3% to 27.8%, </w:t>
      </w:r>
      <w:r w:rsidR="006040F4" w:rsidRPr="00EC007B">
        <w:rPr>
          <w:rFonts w:ascii="Times New Roman" w:hAnsi="Times New Roman" w:cs="Times New Roman"/>
          <w:sz w:val="24"/>
          <w:szCs w:val="24"/>
        </w:rPr>
        <w:t xml:space="preserve">due to the effects of the Coronavirus pandemic on all aspects of the economy. During the </w:t>
      </w:r>
      <w:r w:rsidRPr="00EC007B">
        <w:rPr>
          <w:rFonts w:ascii="Times New Roman" w:hAnsi="Times New Roman" w:cs="Times New Roman"/>
          <w:sz w:val="24"/>
          <w:szCs w:val="24"/>
        </w:rPr>
        <w:t xml:space="preserve">full </w:t>
      </w:r>
      <w:r w:rsidR="006040F4" w:rsidRPr="00EC007B">
        <w:rPr>
          <w:rFonts w:ascii="Times New Roman" w:hAnsi="Times New Roman" w:cs="Times New Roman"/>
          <w:sz w:val="24"/>
          <w:szCs w:val="24"/>
        </w:rPr>
        <w:t xml:space="preserve">lockdown imposed </w:t>
      </w:r>
      <w:r w:rsidR="000C06F7" w:rsidRPr="00EC007B">
        <w:rPr>
          <w:rFonts w:ascii="Times New Roman" w:hAnsi="Times New Roman" w:cs="Times New Roman"/>
          <w:sz w:val="24"/>
          <w:szCs w:val="24"/>
        </w:rPr>
        <w:t>(</w:t>
      </w:r>
      <w:r w:rsidR="006040F4" w:rsidRPr="00EC007B">
        <w:rPr>
          <w:rFonts w:ascii="Times New Roman" w:hAnsi="Times New Roman" w:cs="Times New Roman"/>
          <w:sz w:val="24"/>
          <w:szCs w:val="24"/>
        </w:rPr>
        <w:t>during</w:t>
      </w:r>
      <w:r w:rsidR="000C06F7" w:rsidRPr="00EC007B">
        <w:rPr>
          <w:rFonts w:ascii="Times New Roman" w:hAnsi="Times New Roman" w:cs="Times New Roman"/>
          <w:sz w:val="24"/>
          <w:szCs w:val="24"/>
        </w:rPr>
        <w:t xml:space="preserve"> second quarter </w:t>
      </w:r>
      <w:r w:rsidR="006040F4" w:rsidRPr="00EC007B">
        <w:rPr>
          <w:rFonts w:ascii="Times New Roman" w:hAnsi="Times New Roman" w:cs="Times New Roman"/>
          <w:sz w:val="24"/>
          <w:szCs w:val="24"/>
        </w:rPr>
        <w:t>2020</w:t>
      </w:r>
      <w:r w:rsidR="000C06F7" w:rsidRPr="00EC007B">
        <w:rPr>
          <w:rFonts w:ascii="Times New Roman" w:hAnsi="Times New Roman" w:cs="Times New Roman"/>
          <w:sz w:val="24"/>
          <w:szCs w:val="24"/>
        </w:rPr>
        <w:t>)</w:t>
      </w:r>
      <w:r w:rsidR="006040F4" w:rsidRPr="00EC007B">
        <w:rPr>
          <w:rFonts w:ascii="Times New Roman" w:hAnsi="Times New Roman" w:cs="Times New Roman"/>
          <w:sz w:val="24"/>
          <w:szCs w:val="24"/>
        </w:rPr>
        <w:t xml:space="preserve">, the number of </w:t>
      </w:r>
      <w:r w:rsidR="000F3435" w:rsidRPr="00EC007B">
        <w:rPr>
          <w:rFonts w:ascii="Times New Roman" w:hAnsi="Times New Roman" w:cs="Times New Roman"/>
          <w:sz w:val="24"/>
          <w:szCs w:val="24"/>
        </w:rPr>
        <w:t>employees</w:t>
      </w:r>
      <w:r w:rsidR="006040F4" w:rsidRPr="00EC007B">
        <w:rPr>
          <w:rFonts w:ascii="Times New Roman" w:hAnsi="Times New Roman" w:cs="Times New Roman"/>
          <w:sz w:val="24"/>
          <w:szCs w:val="24"/>
        </w:rPr>
        <w:t xml:space="preserve"> in the Palestinian </w:t>
      </w:r>
      <w:r w:rsidR="00273154" w:rsidRPr="00EC007B">
        <w:rPr>
          <w:rFonts w:ascii="Times New Roman" w:hAnsi="Times New Roman" w:cs="Times New Roman"/>
          <w:sz w:val="24"/>
          <w:szCs w:val="24"/>
        </w:rPr>
        <w:t>domestic</w:t>
      </w:r>
      <w:r w:rsidR="006040F4" w:rsidRPr="00EC007B">
        <w:rPr>
          <w:rFonts w:ascii="Times New Roman" w:hAnsi="Times New Roman" w:cs="Times New Roman"/>
          <w:sz w:val="24"/>
          <w:szCs w:val="24"/>
        </w:rPr>
        <w:t xml:space="preserve"> </w:t>
      </w:r>
      <w:r w:rsidR="00273154" w:rsidRPr="00EC007B">
        <w:rPr>
          <w:rFonts w:ascii="Times New Roman" w:hAnsi="Times New Roman" w:cs="Times New Roman"/>
          <w:sz w:val="24"/>
          <w:szCs w:val="24"/>
        </w:rPr>
        <w:t>labor</w:t>
      </w:r>
      <w:r w:rsidR="006040F4" w:rsidRPr="00EC007B">
        <w:rPr>
          <w:rFonts w:ascii="Times New Roman" w:hAnsi="Times New Roman" w:cs="Times New Roman"/>
          <w:sz w:val="24"/>
          <w:szCs w:val="24"/>
        </w:rPr>
        <w:t xml:space="preserve"> market </w:t>
      </w:r>
      <w:r w:rsidRPr="00EC007B">
        <w:rPr>
          <w:rFonts w:ascii="Times New Roman" w:hAnsi="Times New Roman" w:cs="Times New Roman"/>
          <w:sz w:val="24"/>
          <w:szCs w:val="24"/>
        </w:rPr>
        <w:t>dropped</w:t>
      </w:r>
      <w:r w:rsidR="006040F4" w:rsidRPr="00EC007B">
        <w:rPr>
          <w:rFonts w:ascii="Times New Roman" w:hAnsi="Times New Roman" w:cs="Times New Roman"/>
          <w:sz w:val="24"/>
          <w:szCs w:val="24"/>
        </w:rPr>
        <w:t xml:space="preserve"> by </w:t>
      </w:r>
      <w:r w:rsidR="00273154" w:rsidRPr="00EC007B">
        <w:rPr>
          <w:rFonts w:ascii="Times New Roman" w:hAnsi="Times New Roman" w:cs="Times New Roman"/>
          <w:sz w:val="24"/>
          <w:szCs w:val="24"/>
        </w:rPr>
        <w:t>78</w:t>
      </w:r>
      <w:r w:rsidR="00CE3630" w:rsidRPr="00EC007B">
        <w:rPr>
          <w:rFonts w:ascii="Times New Roman" w:hAnsi="Times New Roman" w:cs="Times New Roman"/>
          <w:sz w:val="24"/>
          <w:szCs w:val="24"/>
        </w:rPr>
        <w:t xml:space="preserve"> thousand</w:t>
      </w:r>
      <w:r w:rsidR="00547C22" w:rsidRPr="00EC007B">
        <w:rPr>
          <w:rFonts w:ascii="Times New Roman" w:hAnsi="Times New Roman" w:cs="Times New Roman"/>
          <w:sz w:val="24"/>
          <w:szCs w:val="24"/>
        </w:rPr>
        <w:t>,</w:t>
      </w:r>
      <w:r w:rsidR="006040F4" w:rsidRPr="00EC007B">
        <w:rPr>
          <w:rFonts w:ascii="Times New Roman" w:hAnsi="Times New Roman" w:cs="Times New Roman"/>
          <w:sz w:val="24"/>
          <w:szCs w:val="24"/>
        </w:rPr>
        <w:t xml:space="preserve"> and the number of </w:t>
      </w:r>
      <w:r w:rsidRPr="00EC007B">
        <w:rPr>
          <w:rFonts w:ascii="Times New Roman" w:hAnsi="Times New Roman" w:cs="Times New Roman"/>
          <w:sz w:val="24"/>
          <w:szCs w:val="24"/>
        </w:rPr>
        <w:t>working</w:t>
      </w:r>
      <w:r w:rsidR="00273154" w:rsidRPr="00EC007B">
        <w:rPr>
          <w:rFonts w:ascii="Times New Roman" w:hAnsi="Times New Roman" w:cs="Times New Roman"/>
          <w:sz w:val="24"/>
          <w:szCs w:val="24"/>
        </w:rPr>
        <w:t xml:space="preserve"> </w:t>
      </w:r>
      <w:r w:rsidR="006040F4" w:rsidRPr="00EC007B">
        <w:rPr>
          <w:rFonts w:ascii="Times New Roman" w:hAnsi="Times New Roman" w:cs="Times New Roman"/>
          <w:sz w:val="24"/>
          <w:szCs w:val="24"/>
        </w:rPr>
        <w:t xml:space="preserve">inside Israel and the Israeli settlements </w:t>
      </w:r>
      <w:r w:rsidRPr="00EC007B">
        <w:rPr>
          <w:rFonts w:ascii="Times New Roman" w:hAnsi="Times New Roman" w:cs="Times New Roman"/>
          <w:sz w:val="24"/>
          <w:szCs w:val="24"/>
        </w:rPr>
        <w:t>declined</w:t>
      </w:r>
      <w:r w:rsidR="006040F4" w:rsidRPr="00EC007B">
        <w:rPr>
          <w:rFonts w:ascii="Times New Roman" w:hAnsi="Times New Roman" w:cs="Times New Roman"/>
          <w:sz w:val="24"/>
          <w:szCs w:val="24"/>
        </w:rPr>
        <w:t xml:space="preserve"> by around </w:t>
      </w:r>
      <w:r w:rsidR="00273154" w:rsidRPr="00EC007B">
        <w:rPr>
          <w:rFonts w:ascii="Times New Roman" w:hAnsi="Times New Roman" w:cs="Times New Roman"/>
          <w:sz w:val="24"/>
          <w:szCs w:val="24"/>
        </w:rPr>
        <w:t>34</w:t>
      </w:r>
      <w:r w:rsidR="00CE3630" w:rsidRPr="00EC007B">
        <w:rPr>
          <w:rFonts w:ascii="Times New Roman" w:hAnsi="Times New Roman" w:cs="Times New Roman"/>
          <w:sz w:val="24"/>
          <w:szCs w:val="24"/>
        </w:rPr>
        <w:t xml:space="preserve"> thousand</w:t>
      </w:r>
      <w:r w:rsidR="006040F4" w:rsidRPr="00EC007B">
        <w:rPr>
          <w:rFonts w:ascii="Times New Roman" w:hAnsi="Times New Roman" w:cs="Times New Roman"/>
          <w:sz w:val="24"/>
          <w:szCs w:val="24"/>
        </w:rPr>
        <w:t xml:space="preserve">. </w:t>
      </w:r>
      <w:r w:rsidR="0089244E" w:rsidRPr="00EC007B">
        <w:rPr>
          <w:rFonts w:ascii="Times New Roman" w:hAnsi="Times New Roman" w:cs="Times New Roman"/>
          <w:sz w:val="24"/>
          <w:szCs w:val="24"/>
        </w:rPr>
        <w:t xml:space="preserve">Such declines in these numbers were caused by the preventative </w:t>
      </w:r>
      <w:r w:rsidR="006040F4" w:rsidRPr="00EC007B">
        <w:rPr>
          <w:rFonts w:ascii="Times New Roman" w:hAnsi="Times New Roman" w:cs="Times New Roman"/>
          <w:sz w:val="24"/>
          <w:szCs w:val="24"/>
        </w:rPr>
        <w:t xml:space="preserve">measures taken to limit the </w:t>
      </w:r>
      <w:r w:rsidR="0097256B" w:rsidRPr="00EC007B">
        <w:rPr>
          <w:rFonts w:ascii="Times New Roman" w:hAnsi="Times New Roman" w:cs="Times New Roman"/>
          <w:sz w:val="24"/>
          <w:szCs w:val="24"/>
        </w:rPr>
        <w:t>outbreak</w:t>
      </w:r>
      <w:r w:rsidR="006040F4" w:rsidRPr="00EC007B">
        <w:rPr>
          <w:rFonts w:ascii="Times New Roman" w:hAnsi="Times New Roman" w:cs="Times New Roman"/>
          <w:sz w:val="24"/>
          <w:szCs w:val="24"/>
        </w:rPr>
        <w:t xml:space="preserve"> of </w:t>
      </w:r>
      <w:r w:rsidR="0089244E" w:rsidRPr="00EC007B">
        <w:rPr>
          <w:rFonts w:ascii="Times New Roman" w:hAnsi="Times New Roman" w:cs="Times New Roman"/>
          <w:sz w:val="24"/>
          <w:szCs w:val="24"/>
        </w:rPr>
        <w:t>COVID-19.</w:t>
      </w:r>
      <w:r w:rsidR="006040F4" w:rsidRPr="00EC007B">
        <w:rPr>
          <w:rFonts w:ascii="Times New Roman" w:hAnsi="Times New Roman" w:cs="Times New Roman"/>
          <w:sz w:val="24"/>
          <w:szCs w:val="24"/>
        </w:rPr>
        <w:t xml:space="preserve"> However, as </w:t>
      </w:r>
      <w:r w:rsidR="0089244E" w:rsidRPr="00EC007B">
        <w:rPr>
          <w:rFonts w:ascii="Times New Roman" w:hAnsi="Times New Roman" w:cs="Times New Roman"/>
          <w:sz w:val="24"/>
          <w:szCs w:val="24"/>
        </w:rPr>
        <w:t>those preventative</w:t>
      </w:r>
      <w:r w:rsidR="006040F4" w:rsidRPr="00EC007B">
        <w:rPr>
          <w:rFonts w:ascii="Times New Roman" w:hAnsi="Times New Roman" w:cs="Times New Roman"/>
          <w:sz w:val="24"/>
          <w:szCs w:val="24"/>
        </w:rPr>
        <w:t xml:space="preserve"> measures were</w:t>
      </w:r>
      <w:r w:rsidR="0089244E" w:rsidRPr="00EC007B">
        <w:rPr>
          <w:rFonts w:ascii="Times New Roman" w:hAnsi="Times New Roman" w:cs="Times New Roman"/>
          <w:sz w:val="24"/>
          <w:szCs w:val="24"/>
        </w:rPr>
        <w:t xml:space="preserve"> recently </w:t>
      </w:r>
      <w:r w:rsidR="006040F4" w:rsidRPr="00EC007B">
        <w:rPr>
          <w:rFonts w:ascii="Times New Roman" w:hAnsi="Times New Roman" w:cs="Times New Roman"/>
          <w:sz w:val="24"/>
          <w:szCs w:val="24"/>
        </w:rPr>
        <w:t xml:space="preserve">loosened and work </w:t>
      </w:r>
      <w:r w:rsidR="0089244E" w:rsidRPr="00EC007B">
        <w:rPr>
          <w:rFonts w:ascii="Times New Roman" w:hAnsi="Times New Roman" w:cs="Times New Roman"/>
          <w:sz w:val="24"/>
          <w:szCs w:val="24"/>
        </w:rPr>
        <w:t xml:space="preserve">was </w:t>
      </w:r>
      <w:r w:rsidR="006040F4" w:rsidRPr="00EC007B">
        <w:rPr>
          <w:rFonts w:ascii="Times New Roman" w:hAnsi="Times New Roman" w:cs="Times New Roman"/>
          <w:sz w:val="24"/>
          <w:szCs w:val="24"/>
        </w:rPr>
        <w:t xml:space="preserve">gradually resumed, the </w:t>
      </w:r>
      <w:r w:rsidR="00B43513" w:rsidRPr="00EC007B">
        <w:rPr>
          <w:rFonts w:ascii="Times New Roman" w:hAnsi="Times New Roman" w:cs="Times New Roman"/>
          <w:sz w:val="24"/>
          <w:szCs w:val="24"/>
        </w:rPr>
        <w:t xml:space="preserve">number </w:t>
      </w:r>
      <w:r w:rsidR="006040F4" w:rsidRPr="00EC007B">
        <w:rPr>
          <w:rFonts w:ascii="Times New Roman" w:hAnsi="Times New Roman" w:cs="Times New Roman"/>
          <w:sz w:val="24"/>
          <w:szCs w:val="24"/>
        </w:rPr>
        <w:t xml:space="preserve">of </w:t>
      </w:r>
      <w:r w:rsidR="00273154" w:rsidRPr="00EC007B">
        <w:rPr>
          <w:rFonts w:ascii="Times New Roman" w:hAnsi="Times New Roman" w:cs="Times New Roman"/>
          <w:sz w:val="24"/>
          <w:szCs w:val="24"/>
        </w:rPr>
        <w:t>employees</w:t>
      </w:r>
      <w:r w:rsidR="00B43513" w:rsidRPr="00EC007B">
        <w:rPr>
          <w:rFonts w:ascii="Times New Roman" w:hAnsi="Times New Roman" w:cs="Times New Roman"/>
          <w:sz w:val="24"/>
          <w:szCs w:val="24"/>
        </w:rPr>
        <w:t xml:space="preserve"> in the Palestinian domestic labor market </w:t>
      </w:r>
      <w:r w:rsidR="006040F4" w:rsidRPr="00EC007B">
        <w:rPr>
          <w:rFonts w:ascii="Times New Roman" w:hAnsi="Times New Roman" w:cs="Times New Roman"/>
          <w:sz w:val="24"/>
          <w:szCs w:val="24"/>
        </w:rPr>
        <w:t xml:space="preserve">increased by </w:t>
      </w:r>
      <w:r w:rsidR="00273154" w:rsidRPr="00EC007B">
        <w:rPr>
          <w:rFonts w:ascii="Times New Roman" w:hAnsi="Times New Roman" w:cs="Times New Roman"/>
          <w:sz w:val="24"/>
          <w:szCs w:val="24"/>
        </w:rPr>
        <w:t>12</w:t>
      </w:r>
      <w:r w:rsidR="00CE3630" w:rsidRPr="00EC007B">
        <w:rPr>
          <w:rFonts w:ascii="Times New Roman" w:hAnsi="Times New Roman" w:cs="Times New Roman"/>
          <w:sz w:val="24"/>
          <w:szCs w:val="24"/>
        </w:rPr>
        <w:t xml:space="preserve"> thousand</w:t>
      </w:r>
      <w:r w:rsidR="006040F4" w:rsidRPr="00EC007B">
        <w:rPr>
          <w:rFonts w:ascii="Times New Roman" w:hAnsi="Times New Roman" w:cs="Times New Roman"/>
          <w:sz w:val="24"/>
          <w:szCs w:val="24"/>
        </w:rPr>
        <w:t xml:space="preserve"> during </w:t>
      </w:r>
      <w:r w:rsidR="0089244E" w:rsidRPr="00EC007B">
        <w:rPr>
          <w:rFonts w:ascii="Times New Roman" w:hAnsi="Times New Roman" w:cs="Times New Roman"/>
          <w:sz w:val="24"/>
          <w:szCs w:val="24"/>
        </w:rPr>
        <w:t xml:space="preserve">the </w:t>
      </w:r>
      <w:r w:rsidR="00273154" w:rsidRPr="00EC007B">
        <w:rPr>
          <w:rFonts w:ascii="Times New Roman" w:hAnsi="Times New Roman" w:cs="Times New Roman"/>
          <w:sz w:val="24"/>
          <w:szCs w:val="24"/>
        </w:rPr>
        <w:t>third quarter</w:t>
      </w:r>
      <w:r w:rsidR="0089244E" w:rsidRPr="00EC007B">
        <w:rPr>
          <w:rFonts w:ascii="Times New Roman" w:hAnsi="Times New Roman" w:cs="Times New Roman"/>
          <w:sz w:val="24"/>
          <w:szCs w:val="24"/>
        </w:rPr>
        <w:t xml:space="preserve"> of</w:t>
      </w:r>
      <w:r w:rsidR="00273154" w:rsidRPr="00EC007B">
        <w:rPr>
          <w:rFonts w:ascii="Times New Roman" w:hAnsi="Times New Roman" w:cs="Times New Roman"/>
          <w:sz w:val="24"/>
          <w:szCs w:val="24"/>
        </w:rPr>
        <w:t xml:space="preserve"> </w:t>
      </w:r>
      <w:r w:rsidR="006040F4" w:rsidRPr="00EC007B">
        <w:rPr>
          <w:rFonts w:ascii="Times New Roman" w:hAnsi="Times New Roman" w:cs="Times New Roman"/>
          <w:sz w:val="24"/>
          <w:szCs w:val="24"/>
        </w:rPr>
        <w:t>2020 compared to the previous quarter</w:t>
      </w:r>
      <w:r w:rsidR="0097256B" w:rsidRPr="00EC007B">
        <w:rPr>
          <w:rFonts w:ascii="Times New Roman" w:hAnsi="Times New Roman" w:cs="Times New Roman"/>
          <w:sz w:val="24"/>
          <w:szCs w:val="24"/>
        </w:rPr>
        <w:t>,</w:t>
      </w:r>
      <w:r w:rsidR="006040F4" w:rsidRPr="00EC007B">
        <w:rPr>
          <w:rFonts w:ascii="Times New Roman" w:hAnsi="Times New Roman" w:cs="Times New Roman"/>
          <w:sz w:val="24"/>
          <w:szCs w:val="24"/>
        </w:rPr>
        <w:t xml:space="preserve"> and the number of </w:t>
      </w:r>
      <w:r w:rsidR="00273154" w:rsidRPr="00EC007B">
        <w:rPr>
          <w:rFonts w:ascii="Times New Roman" w:hAnsi="Times New Roman" w:cs="Times New Roman"/>
          <w:sz w:val="24"/>
          <w:szCs w:val="24"/>
        </w:rPr>
        <w:t xml:space="preserve">employees </w:t>
      </w:r>
      <w:r w:rsidR="006040F4" w:rsidRPr="00EC007B">
        <w:rPr>
          <w:rFonts w:ascii="Times New Roman" w:hAnsi="Times New Roman" w:cs="Times New Roman"/>
          <w:sz w:val="24"/>
          <w:szCs w:val="24"/>
        </w:rPr>
        <w:t xml:space="preserve">working inside Israel and Israeli settlements increased by around </w:t>
      </w:r>
      <w:r w:rsidR="00273154" w:rsidRPr="00EC007B">
        <w:rPr>
          <w:rFonts w:ascii="Times New Roman" w:hAnsi="Times New Roman" w:cs="Times New Roman"/>
          <w:sz w:val="24"/>
          <w:szCs w:val="24"/>
        </w:rPr>
        <w:t>33</w:t>
      </w:r>
      <w:r w:rsidR="00CE3630" w:rsidRPr="00EC007B">
        <w:rPr>
          <w:rFonts w:ascii="Times New Roman" w:hAnsi="Times New Roman" w:cs="Times New Roman"/>
          <w:sz w:val="24"/>
          <w:szCs w:val="24"/>
        </w:rPr>
        <w:t xml:space="preserve"> thousand</w:t>
      </w:r>
      <w:r w:rsidR="006040F4" w:rsidRPr="00EC007B">
        <w:rPr>
          <w:rFonts w:ascii="Times New Roman" w:hAnsi="Times New Roman" w:cs="Times New Roman"/>
          <w:sz w:val="24"/>
          <w:szCs w:val="24"/>
        </w:rPr>
        <w:t xml:space="preserve">. </w:t>
      </w:r>
    </w:p>
    <w:p w:rsidR="0052266D" w:rsidRPr="00EC007B" w:rsidRDefault="0052266D" w:rsidP="0052266D">
      <w:pPr>
        <w:spacing w:after="0"/>
        <w:jc w:val="both"/>
        <w:rPr>
          <w:rFonts w:ascii="Times New Roman" w:hAnsi="Times New Roman" w:cs="Times New Roman"/>
          <w:sz w:val="24"/>
          <w:szCs w:val="24"/>
          <w:rtl/>
        </w:rPr>
      </w:pPr>
    </w:p>
    <w:p w:rsidR="00635B4B" w:rsidRPr="00EC007B" w:rsidRDefault="00635B4B" w:rsidP="0052266D">
      <w:pPr>
        <w:spacing w:after="0" w:line="240" w:lineRule="atLeast"/>
        <w:jc w:val="both"/>
        <w:rPr>
          <w:rFonts w:ascii="Times New Roman" w:hAnsi="Times New Roman" w:cs="Times New Roman"/>
          <w:b/>
          <w:bCs/>
          <w:sz w:val="24"/>
          <w:szCs w:val="24"/>
        </w:rPr>
      </w:pPr>
      <w:r w:rsidRPr="00EC007B">
        <w:rPr>
          <w:rFonts w:ascii="Times New Roman" w:hAnsi="Times New Roman" w:cs="Times New Roman"/>
          <w:b/>
          <w:bCs/>
          <w:sz w:val="24"/>
          <w:szCs w:val="24"/>
        </w:rPr>
        <w:t>Palestine’s public debt exceeds USD 3 billion.</w:t>
      </w:r>
    </w:p>
    <w:p w:rsidR="00635B4B" w:rsidRPr="00EC007B" w:rsidRDefault="0089244E" w:rsidP="0089244E">
      <w:pPr>
        <w:tabs>
          <w:tab w:val="left" w:pos="5088"/>
        </w:tabs>
        <w:spacing w:after="0" w:line="240" w:lineRule="atLeast"/>
        <w:rPr>
          <w:rFonts w:ascii="Times New Roman" w:hAnsi="Times New Roman" w:cs="Times New Roman"/>
          <w:sz w:val="24"/>
          <w:szCs w:val="24"/>
          <w:rtl/>
        </w:rPr>
      </w:pPr>
      <w:r w:rsidRPr="00EC007B">
        <w:rPr>
          <w:rFonts w:ascii="Times New Roman" w:hAnsi="Times New Roman" w:cs="Times New Roman"/>
          <w:sz w:val="24"/>
          <w:szCs w:val="24"/>
        </w:rPr>
        <w:t>P</w:t>
      </w:r>
      <w:r w:rsidR="00635B4B" w:rsidRPr="00EC007B">
        <w:rPr>
          <w:rFonts w:ascii="Times New Roman" w:hAnsi="Times New Roman" w:cs="Times New Roman"/>
          <w:sz w:val="24"/>
          <w:szCs w:val="24"/>
        </w:rPr>
        <w:t>ublic debt reached USD 3.5 billion by the end of</w:t>
      </w:r>
      <w:r w:rsidRPr="00EC007B">
        <w:rPr>
          <w:rFonts w:ascii="Times New Roman" w:hAnsi="Times New Roman" w:cs="Times New Roman"/>
          <w:sz w:val="24"/>
          <w:szCs w:val="24"/>
        </w:rPr>
        <w:t xml:space="preserve"> the</w:t>
      </w:r>
      <w:r w:rsidR="00635B4B" w:rsidRPr="00EC007B">
        <w:rPr>
          <w:rFonts w:ascii="Times New Roman" w:hAnsi="Times New Roman" w:cs="Times New Roman"/>
          <w:sz w:val="24"/>
          <w:szCs w:val="24"/>
        </w:rPr>
        <w:t xml:space="preserve"> third quarter</w:t>
      </w:r>
      <w:r w:rsidRPr="00EC007B">
        <w:rPr>
          <w:rFonts w:ascii="Times New Roman" w:hAnsi="Times New Roman" w:cs="Times New Roman"/>
          <w:sz w:val="24"/>
          <w:szCs w:val="24"/>
        </w:rPr>
        <w:t xml:space="preserve"> of</w:t>
      </w:r>
      <w:r w:rsidR="00635B4B" w:rsidRPr="00EC007B">
        <w:rPr>
          <w:rFonts w:ascii="Times New Roman" w:hAnsi="Times New Roman" w:cs="Times New Roman"/>
          <w:sz w:val="24"/>
          <w:szCs w:val="24"/>
        </w:rPr>
        <w:t xml:space="preserve"> 2020 with a</w:t>
      </w:r>
      <w:r w:rsidRPr="00EC007B">
        <w:rPr>
          <w:rFonts w:ascii="Times New Roman" w:hAnsi="Times New Roman" w:cs="Times New Roman"/>
          <w:sz w:val="24"/>
          <w:szCs w:val="24"/>
        </w:rPr>
        <w:t>n increase</w:t>
      </w:r>
      <w:r w:rsidR="00635B4B" w:rsidRPr="00EC007B">
        <w:rPr>
          <w:rFonts w:ascii="Times New Roman" w:hAnsi="Times New Roman" w:cs="Times New Roman"/>
          <w:sz w:val="24"/>
          <w:szCs w:val="24"/>
        </w:rPr>
        <w:t xml:space="preserve"> of 24% compared to </w:t>
      </w:r>
      <w:r w:rsidRPr="00EC007B">
        <w:rPr>
          <w:rFonts w:ascii="Times New Roman" w:hAnsi="Times New Roman" w:cs="Times New Roman"/>
          <w:sz w:val="24"/>
          <w:szCs w:val="24"/>
        </w:rPr>
        <w:t xml:space="preserve">the </w:t>
      </w:r>
      <w:r w:rsidR="00635B4B" w:rsidRPr="00EC007B">
        <w:rPr>
          <w:rFonts w:ascii="Times New Roman" w:hAnsi="Times New Roman" w:cs="Times New Roman"/>
          <w:sz w:val="24"/>
          <w:szCs w:val="24"/>
        </w:rPr>
        <w:t>four</w:t>
      </w:r>
      <w:r w:rsidR="00BC297E" w:rsidRPr="00EC007B">
        <w:rPr>
          <w:rFonts w:ascii="Times New Roman" w:hAnsi="Times New Roman" w:cs="Times New Roman"/>
          <w:sz w:val="24"/>
          <w:szCs w:val="24"/>
        </w:rPr>
        <w:t>th</w:t>
      </w:r>
      <w:r w:rsidR="00635B4B" w:rsidRPr="00EC007B">
        <w:rPr>
          <w:rFonts w:ascii="Times New Roman" w:hAnsi="Times New Roman" w:cs="Times New Roman"/>
          <w:sz w:val="24"/>
          <w:szCs w:val="24"/>
        </w:rPr>
        <w:t xml:space="preserve"> quarter</w:t>
      </w:r>
      <w:r w:rsidRPr="00EC007B">
        <w:rPr>
          <w:rFonts w:ascii="Times New Roman" w:hAnsi="Times New Roman" w:cs="Times New Roman"/>
          <w:sz w:val="24"/>
          <w:szCs w:val="24"/>
        </w:rPr>
        <w:t xml:space="preserve"> of</w:t>
      </w:r>
      <w:r w:rsidR="00635B4B" w:rsidRPr="00EC007B">
        <w:rPr>
          <w:rFonts w:ascii="Times New Roman" w:hAnsi="Times New Roman" w:cs="Times New Roman"/>
          <w:sz w:val="24"/>
          <w:szCs w:val="24"/>
        </w:rPr>
        <w:t xml:space="preserve"> 2019</w:t>
      </w:r>
      <w:r w:rsidRPr="00EC007B">
        <w:rPr>
          <w:rFonts w:ascii="Times New Roman" w:hAnsi="Times New Roman" w:cs="Times New Roman"/>
          <w:sz w:val="24"/>
          <w:szCs w:val="24"/>
        </w:rPr>
        <w:t>,</w:t>
      </w:r>
      <w:r w:rsidR="00635B4B" w:rsidRPr="00EC007B">
        <w:rPr>
          <w:rFonts w:ascii="Times New Roman" w:hAnsi="Times New Roman" w:cs="Times New Roman"/>
          <w:sz w:val="24"/>
          <w:szCs w:val="24"/>
        </w:rPr>
        <w:t xml:space="preserve"> in which the public debt was USD 2.8 billion.</w:t>
      </w:r>
    </w:p>
    <w:p w:rsidR="00A61814" w:rsidRPr="00EC007B" w:rsidRDefault="00A61814" w:rsidP="0052266D">
      <w:pPr>
        <w:spacing w:after="0"/>
        <w:ind w:left="28"/>
        <w:jc w:val="both"/>
        <w:rPr>
          <w:rFonts w:ascii="Times New Roman" w:hAnsi="Times New Roman" w:cs="Times New Roman"/>
          <w:b/>
          <w:bCs/>
        </w:rPr>
      </w:pPr>
    </w:p>
    <w:p w:rsidR="00A61814" w:rsidRPr="00EC007B" w:rsidRDefault="0089244E" w:rsidP="0089244E">
      <w:pPr>
        <w:spacing w:after="0"/>
        <w:ind w:left="28"/>
        <w:jc w:val="both"/>
        <w:rPr>
          <w:rFonts w:ascii="Times New Roman" w:hAnsi="Times New Roman" w:cs="Times New Roman"/>
          <w:b/>
          <w:bCs/>
          <w:sz w:val="24"/>
          <w:szCs w:val="24"/>
          <w:rtl/>
        </w:rPr>
      </w:pPr>
      <w:r w:rsidRPr="00EC007B">
        <w:rPr>
          <w:rFonts w:ascii="Times New Roman" w:hAnsi="Times New Roman" w:cs="Times New Roman"/>
          <w:b/>
          <w:bCs/>
          <w:sz w:val="24"/>
          <w:szCs w:val="24"/>
        </w:rPr>
        <w:t>E</w:t>
      </w:r>
      <w:r w:rsidR="0046053B" w:rsidRPr="00EC007B">
        <w:rPr>
          <w:rFonts w:ascii="Times New Roman" w:hAnsi="Times New Roman" w:cs="Times New Roman"/>
          <w:b/>
          <w:bCs/>
          <w:sz w:val="24"/>
          <w:szCs w:val="24"/>
        </w:rPr>
        <w:t>stablishments</w:t>
      </w:r>
      <w:r w:rsidR="00A61814" w:rsidRPr="00EC007B">
        <w:rPr>
          <w:rFonts w:ascii="Times New Roman" w:hAnsi="Times New Roman" w:cs="Times New Roman"/>
          <w:b/>
          <w:bCs/>
          <w:sz w:val="24"/>
          <w:szCs w:val="24"/>
        </w:rPr>
        <w:t xml:space="preserve"> </w:t>
      </w:r>
      <w:r w:rsidRPr="00EC007B">
        <w:rPr>
          <w:rFonts w:ascii="Times New Roman" w:hAnsi="Times New Roman" w:cs="Times New Roman"/>
          <w:b/>
          <w:bCs/>
          <w:sz w:val="24"/>
          <w:szCs w:val="24"/>
        </w:rPr>
        <w:t>private sector lost</w:t>
      </w:r>
      <w:r w:rsidR="00A61814" w:rsidRPr="00EC007B">
        <w:rPr>
          <w:rFonts w:ascii="Times New Roman" w:hAnsi="Times New Roman" w:cs="Times New Roman"/>
          <w:b/>
          <w:bCs/>
          <w:sz w:val="24"/>
          <w:szCs w:val="24"/>
        </w:rPr>
        <w:t xml:space="preserve"> more than half of their production or sales during the lockdown</w:t>
      </w:r>
      <w:r w:rsidR="0097256B" w:rsidRPr="00EC007B">
        <w:rPr>
          <w:rFonts w:ascii="Times New Roman" w:hAnsi="Times New Roman" w:cs="Times New Roman"/>
          <w:b/>
          <w:bCs/>
          <w:sz w:val="24"/>
          <w:szCs w:val="24"/>
        </w:rPr>
        <w:t xml:space="preserve"> period</w:t>
      </w:r>
    </w:p>
    <w:p w:rsidR="00A61814" w:rsidRPr="00EC007B" w:rsidRDefault="00A61814" w:rsidP="00A07CF7">
      <w:pPr>
        <w:spacing w:after="0"/>
        <w:ind w:left="28"/>
        <w:jc w:val="both"/>
        <w:rPr>
          <w:rFonts w:ascii="Times New Roman" w:hAnsi="Times New Roman" w:cs="Times New Roman"/>
          <w:sz w:val="24"/>
          <w:szCs w:val="24"/>
        </w:rPr>
      </w:pPr>
      <w:r w:rsidRPr="00EC007B">
        <w:rPr>
          <w:rFonts w:ascii="Times New Roman" w:hAnsi="Times New Roman" w:cs="Times New Roman"/>
          <w:sz w:val="24"/>
          <w:szCs w:val="24"/>
        </w:rPr>
        <w:t>Results indicate</w:t>
      </w:r>
      <w:r w:rsidR="0097256B" w:rsidRPr="00EC007B">
        <w:rPr>
          <w:rFonts w:ascii="Times New Roman" w:hAnsi="Times New Roman" w:cs="Times New Roman"/>
          <w:sz w:val="24"/>
          <w:szCs w:val="24"/>
        </w:rPr>
        <w:t>d that more than two third</w:t>
      </w:r>
      <w:r w:rsidRPr="00EC007B">
        <w:rPr>
          <w:rFonts w:ascii="Times New Roman" w:hAnsi="Times New Roman" w:cs="Times New Roman"/>
          <w:sz w:val="24"/>
          <w:szCs w:val="24"/>
        </w:rPr>
        <w:t xml:space="preserve"> of </w:t>
      </w:r>
      <w:r w:rsidR="0089244E" w:rsidRPr="00EC007B">
        <w:rPr>
          <w:rFonts w:ascii="Times New Roman" w:hAnsi="Times New Roman" w:cs="Times New Roman"/>
          <w:sz w:val="24"/>
          <w:szCs w:val="24"/>
        </w:rPr>
        <w:t xml:space="preserve">the </w:t>
      </w:r>
      <w:r w:rsidRPr="00EC007B">
        <w:rPr>
          <w:rFonts w:ascii="Times New Roman" w:hAnsi="Times New Roman" w:cs="Times New Roman"/>
          <w:sz w:val="24"/>
          <w:szCs w:val="24"/>
        </w:rPr>
        <w:t xml:space="preserve">Palestinian economic </w:t>
      </w:r>
      <w:r w:rsidR="008B3042" w:rsidRPr="00EC007B">
        <w:rPr>
          <w:rFonts w:ascii="Times New Roman" w:hAnsi="Times New Roman" w:cs="Times New Roman"/>
          <w:sz w:val="24"/>
          <w:szCs w:val="24"/>
        </w:rPr>
        <w:t>establishments</w:t>
      </w:r>
      <w:r w:rsidRPr="00EC007B">
        <w:rPr>
          <w:rFonts w:ascii="Times New Roman" w:hAnsi="Times New Roman" w:cs="Times New Roman"/>
          <w:sz w:val="24"/>
          <w:szCs w:val="24"/>
        </w:rPr>
        <w:t xml:space="preserve"> were forced to close down for about a month and a half during the period (5/3/2020-31/5/2020). This closure was concentrated in the services sector in the governorate of Bethlehem</w:t>
      </w:r>
      <w:r w:rsidR="00A07CF7" w:rsidRPr="00EC007B">
        <w:rPr>
          <w:rFonts w:ascii="Times New Roman" w:hAnsi="Times New Roman" w:cs="Times New Roman"/>
          <w:sz w:val="24"/>
          <w:szCs w:val="24"/>
        </w:rPr>
        <w:t xml:space="preserve">.  </w:t>
      </w:r>
      <w:r w:rsidRPr="00EC007B">
        <w:rPr>
          <w:rFonts w:ascii="Times New Roman" w:hAnsi="Times New Roman" w:cs="Times New Roman"/>
          <w:sz w:val="24"/>
          <w:szCs w:val="24"/>
        </w:rPr>
        <w:t xml:space="preserve">63% of those </w:t>
      </w:r>
      <w:r w:rsidR="008B3042" w:rsidRPr="00EC007B">
        <w:rPr>
          <w:rFonts w:ascii="Times New Roman" w:hAnsi="Times New Roman" w:cs="Times New Roman"/>
          <w:sz w:val="24"/>
          <w:szCs w:val="24"/>
        </w:rPr>
        <w:t>establishments</w:t>
      </w:r>
      <w:r w:rsidRPr="00EC007B">
        <w:rPr>
          <w:rFonts w:ascii="Times New Roman" w:hAnsi="Times New Roman" w:cs="Times New Roman"/>
          <w:sz w:val="24"/>
          <w:szCs w:val="24"/>
        </w:rPr>
        <w:t xml:space="preserve"> suffered a </w:t>
      </w:r>
      <w:r w:rsidR="00A07CF7" w:rsidRPr="00EC007B">
        <w:rPr>
          <w:rFonts w:ascii="Times New Roman" w:hAnsi="Times New Roman" w:cs="Times New Roman"/>
          <w:sz w:val="24"/>
          <w:szCs w:val="24"/>
        </w:rPr>
        <w:t xml:space="preserve">stoppage in the </w:t>
      </w:r>
      <w:r w:rsidRPr="00EC007B">
        <w:rPr>
          <w:rFonts w:ascii="Times New Roman" w:hAnsi="Times New Roman" w:cs="Times New Roman"/>
          <w:sz w:val="24"/>
          <w:szCs w:val="24"/>
        </w:rPr>
        <w:t>supplies related to production inputs such as raw materials and production requirements</w:t>
      </w:r>
      <w:r w:rsidR="00A07CF7" w:rsidRPr="00EC007B">
        <w:rPr>
          <w:rFonts w:ascii="Times New Roman" w:hAnsi="Times New Roman" w:cs="Times New Roman"/>
          <w:sz w:val="24"/>
          <w:szCs w:val="24"/>
        </w:rPr>
        <w:t xml:space="preserve">, which </w:t>
      </w:r>
      <w:r w:rsidRPr="00EC007B">
        <w:rPr>
          <w:rFonts w:ascii="Times New Roman" w:hAnsi="Times New Roman" w:cs="Times New Roman"/>
          <w:sz w:val="24"/>
          <w:szCs w:val="24"/>
        </w:rPr>
        <w:t xml:space="preserve">led to a decline in production levels or sales to </w:t>
      </w:r>
      <w:r w:rsidRPr="00EC007B">
        <w:rPr>
          <w:rFonts w:ascii="Times New Roman" w:hAnsi="Times New Roman" w:cs="Times New Roman"/>
          <w:sz w:val="24"/>
          <w:szCs w:val="24"/>
        </w:rPr>
        <w:lastRenderedPageBreak/>
        <w:t xml:space="preserve">about </w:t>
      </w:r>
      <w:r w:rsidR="00A07CF7" w:rsidRPr="00EC007B">
        <w:rPr>
          <w:rFonts w:ascii="Times New Roman" w:hAnsi="Times New Roman" w:cs="Times New Roman"/>
          <w:sz w:val="24"/>
          <w:szCs w:val="24"/>
        </w:rPr>
        <w:t xml:space="preserve">the </w:t>
      </w:r>
      <w:r w:rsidRPr="00EC007B">
        <w:rPr>
          <w:rFonts w:ascii="Times New Roman" w:hAnsi="Times New Roman" w:cs="Times New Roman"/>
          <w:sz w:val="24"/>
          <w:szCs w:val="24"/>
        </w:rPr>
        <w:t>half</w:t>
      </w:r>
      <w:r w:rsidR="00A07CF7" w:rsidRPr="00EC007B">
        <w:rPr>
          <w:rFonts w:ascii="Times New Roman" w:hAnsi="Times New Roman" w:cs="Times New Roman"/>
          <w:sz w:val="24"/>
          <w:szCs w:val="24"/>
        </w:rPr>
        <w:t>; therefore, about 14% of Palestinian establishments were forced, in order to face this crises, to let have of their employees go</w:t>
      </w:r>
      <w:r w:rsidR="008B3042" w:rsidRPr="00EC007B">
        <w:rPr>
          <w:rFonts w:ascii="Times New Roman" w:hAnsi="Times New Roman" w:cs="Times New Roman"/>
          <w:sz w:val="24"/>
          <w:szCs w:val="24"/>
        </w:rPr>
        <w:t>.</w:t>
      </w:r>
    </w:p>
    <w:p w:rsidR="00BC297E" w:rsidRPr="00EC007B" w:rsidRDefault="00BC297E" w:rsidP="0052266D">
      <w:pPr>
        <w:spacing w:after="0"/>
        <w:ind w:left="28"/>
        <w:jc w:val="both"/>
        <w:rPr>
          <w:rFonts w:ascii="Times New Roman" w:hAnsi="Times New Roman" w:cs="Times New Roman"/>
          <w:sz w:val="24"/>
          <w:szCs w:val="24"/>
        </w:rPr>
      </w:pPr>
    </w:p>
    <w:p w:rsidR="00A273F6" w:rsidRPr="00EC007B" w:rsidRDefault="0052266D" w:rsidP="00A273F6">
      <w:pPr>
        <w:spacing w:after="0" w:line="240" w:lineRule="auto"/>
        <w:jc w:val="both"/>
        <w:rPr>
          <w:rFonts w:ascii="Times New Roman" w:eastAsia="Times New Roman" w:hAnsi="Times New Roman" w:cs="Times New Roman"/>
          <w:b/>
          <w:bCs/>
          <w:sz w:val="24"/>
          <w:szCs w:val="24"/>
          <w:lang w:eastAsia="ar-SA"/>
        </w:rPr>
      </w:pPr>
      <w:r w:rsidRPr="00EC007B">
        <w:rPr>
          <w:rFonts w:ascii="Times New Roman" w:eastAsia="Times New Roman" w:hAnsi="Times New Roman" w:cs="Times New Roman"/>
          <w:b/>
          <w:bCs/>
          <w:sz w:val="24"/>
          <w:szCs w:val="24"/>
          <w:lang w:eastAsia="ar-SA"/>
        </w:rPr>
        <w:t xml:space="preserve">A decrease of consumer </w:t>
      </w:r>
      <w:r w:rsidR="00A273F6" w:rsidRPr="00EC007B">
        <w:rPr>
          <w:rFonts w:ascii="Times New Roman" w:eastAsia="Times New Roman" w:hAnsi="Times New Roman" w:cs="Times New Roman"/>
          <w:b/>
          <w:bCs/>
          <w:sz w:val="24"/>
          <w:szCs w:val="24"/>
          <w:lang w:eastAsia="ar-SA"/>
        </w:rPr>
        <w:t>Prices</w:t>
      </w:r>
      <w:r w:rsidR="0082433C" w:rsidRPr="00EC007B">
        <w:rPr>
          <w:rStyle w:val="FootnoteReference"/>
          <w:rFonts w:ascii="Times New Roman" w:eastAsia="Times New Roman" w:hAnsi="Times New Roman" w:cs="Times New Roman"/>
          <w:b/>
          <w:bCs/>
          <w:sz w:val="24"/>
          <w:szCs w:val="24"/>
          <w:lang w:eastAsia="ar-SA"/>
        </w:rPr>
        <w:footnoteReference w:id="2"/>
      </w:r>
      <w:r w:rsidRPr="00EC007B">
        <w:rPr>
          <w:rFonts w:ascii="Times New Roman" w:eastAsia="Times New Roman" w:hAnsi="Times New Roman" w:cs="Times New Roman"/>
          <w:b/>
          <w:bCs/>
          <w:sz w:val="24"/>
          <w:szCs w:val="24"/>
          <w:lang w:eastAsia="ar-SA"/>
        </w:rPr>
        <w:t xml:space="preserve"> during the year 2020</w:t>
      </w:r>
    </w:p>
    <w:p w:rsidR="00555C52" w:rsidRPr="00EC007B" w:rsidRDefault="00555C52" w:rsidP="0097256B">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C007B">
        <w:rPr>
          <w:rFonts w:ascii="Times New Roman" w:eastAsia="Times New Roman" w:hAnsi="Times New Roman" w:cs="Times New Roman"/>
          <w:sz w:val="24"/>
          <w:szCs w:val="24"/>
          <w:lang w:eastAsia="ar-SA"/>
        </w:rPr>
        <w:t xml:space="preserve">Preliminary estimates showed that the average of overall consumer prices index </w:t>
      </w:r>
      <w:r w:rsidR="00702B09" w:rsidRPr="00EC007B">
        <w:rPr>
          <w:rFonts w:ascii="Times New Roman" w:eastAsia="Times New Roman" w:hAnsi="Times New Roman" w:cs="Times New Roman"/>
          <w:sz w:val="24"/>
          <w:szCs w:val="24"/>
          <w:lang w:eastAsia="ar-SA"/>
        </w:rPr>
        <w:t xml:space="preserve">in Palestine recorded a </w:t>
      </w:r>
      <w:r w:rsidRPr="00EC007B">
        <w:rPr>
          <w:rFonts w:ascii="Times New Roman" w:eastAsia="Times New Roman" w:hAnsi="Times New Roman" w:cs="Times New Roman"/>
          <w:sz w:val="24"/>
          <w:szCs w:val="24"/>
          <w:lang w:eastAsia="ar-SA"/>
        </w:rPr>
        <w:t xml:space="preserve">decrease </w:t>
      </w:r>
      <w:r w:rsidR="0097256B" w:rsidRPr="00EC007B">
        <w:rPr>
          <w:rFonts w:ascii="Times New Roman" w:eastAsia="Times New Roman" w:hAnsi="Times New Roman" w:cs="Times New Roman"/>
          <w:sz w:val="24"/>
          <w:szCs w:val="24"/>
          <w:lang w:eastAsia="ar-SA"/>
        </w:rPr>
        <w:t>of</w:t>
      </w:r>
      <w:r w:rsidR="0052266D" w:rsidRPr="00EC007B">
        <w:rPr>
          <w:rFonts w:ascii="Times New Roman" w:eastAsia="Times New Roman" w:hAnsi="Times New Roman" w:cs="Times New Roman"/>
          <w:sz w:val="24"/>
          <w:szCs w:val="24"/>
          <w:lang w:eastAsia="ar-SA"/>
        </w:rPr>
        <w:t xml:space="preserve"> 1% </w:t>
      </w:r>
      <w:r w:rsidRPr="00EC007B">
        <w:rPr>
          <w:rFonts w:ascii="Times New Roman" w:eastAsia="Times New Roman" w:hAnsi="Times New Roman" w:cs="Times New Roman"/>
          <w:sz w:val="24"/>
          <w:szCs w:val="24"/>
          <w:lang w:eastAsia="ar-SA"/>
        </w:rPr>
        <w:t xml:space="preserve">during </w:t>
      </w:r>
      <w:r w:rsidR="0052266D" w:rsidRPr="00EC007B">
        <w:rPr>
          <w:rFonts w:ascii="Times New Roman" w:eastAsia="Times New Roman" w:hAnsi="Times New Roman" w:cs="Times New Roman"/>
          <w:sz w:val="24"/>
          <w:szCs w:val="24"/>
          <w:lang w:eastAsia="ar-SA"/>
        </w:rPr>
        <w:t>2020</w:t>
      </w:r>
      <w:r w:rsidRPr="00EC007B">
        <w:rPr>
          <w:rFonts w:ascii="Times New Roman" w:eastAsia="Times New Roman" w:hAnsi="Times New Roman" w:cs="Times New Roman"/>
          <w:sz w:val="24"/>
          <w:szCs w:val="24"/>
          <w:lang w:eastAsia="ar-SA"/>
        </w:rPr>
        <w:t xml:space="preserve"> compared with </w:t>
      </w:r>
      <w:r w:rsidR="0052266D" w:rsidRPr="00EC007B">
        <w:rPr>
          <w:rFonts w:ascii="Times New Roman" w:eastAsia="Times New Roman" w:hAnsi="Times New Roman" w:cs="Times New Roman"/>
          <w:sz w:val="24"/>
          <w:szCs w:val="24"/>
          <w:lang w:eastAsia="ar-SA"/>
        </w:rPr>
        <w:t>2019</w:t>
      </w:r>
      <w:r w:rsidRPr="00EC007B">
        <w:rPr>
          <w:rFonts w:ascii="Times New Roman" w:eastAsia="Times New Roman" w:hAnsi="Times New Roman" w:cs="Times New Roman"/>
          <w:sz w:val="24"/>
          <w:szCs w:val="24"/>
          <w:lang w:eastAsia="ar-SA"/>
        </w:rPr>
        <w:t>.</w:t>
      </w:r>
    </w:p>
    <w:p w:rsidR="0052266D" w:rsidRPr="00EC007B" w:rsidRDefault="0052266D" w:rsidP="00555C52">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024313" w:rsidRPr="00EC007B" w:rsidRDefault="00024313" w:rsidP="00882AFA">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826C91" w:rsidRPr="00EC007B" w:rsidRDefault="00826C91" w:rsidP="00F61262">
      <w:pPr>
        <w:jc w:val="center"/>
        <w:rPr>
          <w:rFonts w:ascii="Times New Roman" w:eastAsia="Times New Roman" w:hAnsi="Times New Roman" w:cs="Times New Roman"/>
          <w:b/>
          <w:bCs/>
          <w:sz w:val="24"/>
          <w:szCs w:val="24"/>
          <w:lang w:eastAsia="ar-SA"/>
        </w:rPr>
      </w:pPr>
    </w:p>
    <w:p w:rsidR="00A273F6" w:rsidRPr="00232937" w:rsidRDefault="003A69BC" w:rsidP="00BC40E2">
      <w:pPr>
        <w:jc w:val="center"/>
        <w:rPr>
          <w:rFonts w:ascii="Times New Roman" w:eastAsia="Times New Roman" w:hAnsi="Times New Roman" w:cs="Times New Roman"/>
          <w:b/>
          <w:bCs/>
          <w:sz w:val="32"/>
          <w:szCs w:val="32"/>
          <w:lang w:eastAsia="ar-SA"/>
        </w:rPr>
      </w:pPr>
      <w:r w:rsidRPr="00232937">
        <w:rPr>
          <w:rFonts w:ascii="Times New Roman" w:eastAsia="Times New Roman" w:hAnsi="Times New Roman" w:cs="Times New Roman"/>
          <w:b/>
          <w:bCs/>
          <w:sz w:val="32"/>
          <w:szCs w:val="32"/>
          <w:lang w:eastAsia="ar-SA"/>
        </w:rPr>
        <w:t>Economic Forecasts</w:t>
      </w:r>
      <w:r w:rsidR="00F530C8" w:rsidRPr="00232937">
        <w:rPr>
          <w:rStyle w:val="FootnoteReference"/>
          <w:rFonts w:ascii="Times New Roman" w:eastAsia="Times New Roman" w:hAnsi="Times New Roman" w:cs="Times New Roman"/>
          <w:b/>
          <w:bCs/>
          <w:sz w:val="32"/>
          <w:szCs w:val="32"/>
          <w:lang w:eastAsia="ar-SA"/>
        </w:rPr>
        <w:footnoteReference w:id="3"/>
      </w:r>
      <w:r w:rsidR="008F6614" w:rsidRPr="00232937">
        <w:rPr>
          <w:rFonts w:ascii="Times New Roman" w:eastAsia="Times New Roman" w:hAnsi="Times New Roman" w:cs="Times New Roman"/>
          <w:b/>
          <w:bCs/>
          <w:sz w:val="32"/>
          <w:szCs w:val="32"/>
          <w:lang w:eastAsia="ar-SA"/>
        </w:rPr>
        <w:t xml:space="preserve"> for </w:t>
      </w:r>
      <w:r w:rsidR="00BC40E2" w:rsidRPr="00232937">
        <w:rPr>
          <w:rFonts w:ascii="Times New Roman" w:eastAsia="Times New Roman" w:hAnsi="Times New Roman" w:cs="Times New Roman"/>
          <w:b/>
          <w:bCs/>
          <w:sz w:val="32"/>
          <w:szCs w:val="32"/>
          <w:lang w:eastAsia="ar-SA"/>
        </w:rPr>
        <w:t>2021</w:t>
      </w:r>
    </w:p>
    <w:p w:rsidR="00A273F6" w:rsidRPr="00EC007B" w:rsidRDefault="00D47632" w:rsidP="00D47632">
      <w:pPr>
        <w:tabs>
          <w:tab w:val="left" w:pos="4990"/>
        </w:tabs>
        <w:spacing w:after="0" w:line="240" w:lineRule="auto"/>
        <w:jc w:val="both"/>
        <w:rPr>
          <w:rFonts w:ascii="Times New Roman" w:eastAsia="Times New Roman" w:hAnsi="Times New Roman" w:cs="Times New Roman"/>
          <w:b/>
          <w:bCs/>
          <w:sz w:val="24"/>
          <w:szCs w:val="24"/>
          <w:lang w:eastAsia="ar-SA"/>
        </w:rPr>
      </w:pPr>
      <w:r w:rsidRPr="00EC007B">
        <w:rPr>
          <w:rFonts w:ascii="Times New Roman" w:eastAsia="Times New Roman" w:hAnsi="Times New Roman" w:cs="Times New Roman"/>
          <w:b/>
          <w:bCs/>
          <w:sz w:val="24"/>
          <w:szCs w:val="24"/>
          <w:lang w:eastAsia="ar-SA"/>
        </w:rPr>
        <w:tab/>
      </w:r>
    </w:p>
    <w:p w:rsidR="00A273F6" w:rsidRPr="005C094B" w:rsidRDefault="00702B09" w:rsidP="00007177">
      <w:pPr>
        <w:spacing w:after="0" w:line="240" w:lineRule="auto"/>
        <w:jc w:val="both"/>
        <w:rPr>
          <w:rFonts w:ascii="Times New Roman" w:eastAsia="Times New Roman" w:hAnsi="Times New Roman" w:cs="Times New Roman"/>
          <w:sz w:val="24"/>
          <w:szCs w:val="24"/>
          <w:lang w:eastAsia="ar-SA"/>
        </w:rPr>
      </w:pPr>
      <w:r w:rsidRPr="005C094B">
        <w:rPr>
          <w:rFonts w:ascii="Times New Roman" w:eastAsia="Times New Roman" w:hAnsi="Times New Roman" w:cs="Times New Roman"/>
          <w:sz w:val="24"/>
          <w:szCs w:val="24"/>
          <w:lang w:eastAsia="ar-SA"/>
        </w:rPr>
        <w:t>Tho</w:t>
      </w:r>
      <w:r w:rsidR="00A273F6" w:rsidRPr="005C094B">
        <w:rPr>
          <w:rFonts w:ascii="Times New Roman" w:eastAsia="Times New Roman" w:hAnsi="Times New Roman" w:cs="Times New Roman"/>
          <w:sz w:val="24"/>
          <w:szCs w:val="24"/>
          <w:lang w:eastAsia="ar-SA"/>
        </w:rPr>
        <w:t xml:space="preserve">se forecasts were </w:t>
      </w:r>
      <w:r w:rsidR="00783CBD" w:rsidRPr="005C094B">
        <w:rPr>
          <w:rFonts w:ascii="Times New Roman" w:eastAsia="Times New Roman" w:hAnsi="Times New Roman" w:cs="Times New Roman"/>
          <w:sz w:val="24"/>
          <w:szCs w:val="24"/>
          <w:lang w:eastAsia="ar-SA"/>
        </w:rPr>
        <w:t xml:space="preserve">developed </w:t>
      </w:r>
      <w:r w:rsidR="00D46F5B" w:rsidRPr="005C094B">
        <w:rPr>
          <w:rFonts w:ascii="Times New Roman" w:eastAsia="Times New Roman" w:hAnsi="Times New Roman" w:cs="Times New Roman"/>
          <w:sz w:val="24"/>
          <w:szCs w:val="24"/>
          <w:lang w:eastAsia="ar-SA"/>
        </w:rPr>
        <w:t>based on</w:t>
      </w:r>
      <w:r w:rsidR="00783CBD" w:rsidRPr="005C094B">
        <w:rPr>
          <w:rFonts w:ascii="Times New Roman" w:eastAsia="Times New Roman" w:hAnsi="Times New Roman" w:cs="Times New Roman"/>
          <w:sz w:val="24"/>
          <w:szCs w:val="24"/>
          <w:lang w:eastAsia="ar-SA"/>
        </w:rPr>
        <w:t xml:space="preserve"> various </w:t>
      </w:r>
      <w:r w:rsidR="00A273F6" w:rsidRPr="005C094B">
        <w:rPr>
          <w:rFonts w:ascii="Times New Roman" w:eastAsia="Times New Roman" w:hAnsi="Times New Roman" w:cs="Times New Roman"/>
          <w:sz w:val="24"/>
          <w:szCs w:val="24"/>
          <w:lang w:eastAsia="ar-SA"/>
        </w:rPr>
        <w:t xml:space="preserve">scenarios </w:t>
      </w:r>
      <w:r w:rsidR="00CF1C0F" w:rsidRPr="005C094B">
        <w:rPr>
          <w:rFonts w:ascii="Times New Roman" w:eastAsia="Times New Roman" w:hAnsi="Times New Roman" w:cs="Times New Roman"/>
          <w:sz w:val="24"/>
          <w:szCs w:val="24"/>
          <w:lang w:eastAsia="ar-SA"/>
        </w:rPr>
        <w:t>for</w:t>
      </w:r>
      <w:r w:rsidR="00BC40E2">
        <w:rPr>
          <w:rFonts w:ascii="Times New Roman" w:eastAsia="Times New Roman" w:hAnsi="Times New Roman" w:cs="Times New Roman"/>
          <w:sz w:val="24"/>
          <w:szCs w:val="24"/>
          <w:lang w:eastAsia="ar-SA"/>
        </w:rPr>
        <w:t xml:space="preserve"> Palestine</w:t>
      </w:r>
      <w:r w:rsidR="00FD6777" w:rsidRPr="005C094B">
        <w:rPr>
          <w:rFonts w:ascii="Times New Roman" w:eastAsia="Times New Roman" w:hAnsi="Times New Roman" w:cs="Times New Roman"/>
          <w:sz w:val="24"/>
          <w:szCs w:val="24"/>
          <w:lang w:eastAsia="ar-SA"/>
        </w:rPr>
        <w:t>,</w:t>
      </w:r>
      <w:r w:rsidR="00555F31" w:rsidRPr="005C094B">
        <w:rPr>
          <w:rFonts w:ascii="Times New Roman" w:eastAsia="Times New Roman" w:hAnsi="Times New Roman" w:cs="Times New Roman"/>
          <w:sz w:val="24"/>
          <w:szCs w:val="24"/>
          <w:lang w:eastAsia="ar-SA"/>
        </w:rPr>
        <w:t xml:space="preserve"> and</w:t>
      </w:r>
      <w:r w:rsidR="00FD6777" w:rsidRPr="005C094B">
        <w:rPr>
          <w:rFonts w:ascii="Times New Roman" w:eastAsia="Times New Roman" w:hAnsi="Times New Roman" w:cs="Times New Roman"/>
          <w:sz w:val="24"/>
          <w:szCs w:val="24"/>
          <w:lang w:eastAsia="ar-SA"/>
        </w:rPr>
        <w:t xml:space="preserve"> </w:t>
      </w:r>
      <w:r w:rsidR="00A273F6" w:rsidRPr="005C094B">
        <w:rPr>
          <w:rFonts w:ascii="Times New Roman" w:eastAsia="Times New Roman" w:hAnsi="Times New Roman" w:cs="Times New Roman"/>
          <w:sz w:val="24"/>
          <w:szCs w:val="24"/>
          <w:lang w:eastAsia="ar-SA"/>
        </w:rPr>
        <w:t xml:space="preserve">in consultation with </w:t>
      </w:r>
      <w:r w:rsidRPr="005C094B">
        <w:rPr>
          <w:rFonts w:ascii="Times New Roman" w:eastAsia="Times New Roman" w:hAnsi="Times New Roman" w:cs="Times New Roman"/>
          <w:sz w:val="24"/>
          <w:szCs w:val="24"/>
          <w:lang w:eastAsia="ar-SA"/>
        </w:rPr>
        <w:t xml:space="preserve">the </w:t>
      </w:r>
      <w:r w:rsidR="00543364" w:rsidRPr="005C094B">
        <w:rPr>
          <w:rFonts w:ascii="Times New Roman" w:eastAsia="Times New Roman" w:hAnsi="Times New Roman" w:cs="Times New Roman"/>
          <w:sz w:val="24"/>
          <w:szCs w:val="24"/>
          <w:lang w:eastAsia="ar-SA"/>
        </w:rPr>
        <w:t xml:space="preserve">Advisory </w:t>
      </w:r>
      <w:r w:rsidRPr="005C094B">
        <w:rPr>
          <w:rFonts w:ascii="Times New Roman" w:eastAsia="Times New Roman" w:hAnsi="Times New Roman" w:cs="Times New Roman"/>
          <w:sz w:val="24"/>
          <w:szCs w:val="24"/>
          <w:lang w:eastAsia="ar-SA"/>
        </w:rPr>
        <w:t>C</w:t>
      </w:r>
      <w:r w:rsidR="00543364" w:rsidRPr="005C094B">
        <w:rPr>
          <w:rFonts w:ascii="Times New Roman" w:eastAsia="Times New Roman" w:hAnsi="Times New Roman" w:cs="Times New Roman"/>
          <w:sz w:val="24"/>
          <w:szCs w:val="24"/>
          <w:lang w:eastAsia="ar-SA"/>
        </w:rPr>
        <w:t xml:space="preserve">ommittee for </w:t>
      </w:r>
      <w:r w:rsidRPr="005C094B">
        <w:rPr>
          <w:rFonts w:ascii="Times New Roman" w:eastAsia="Times New Roman" w:hAnsi="Times New Roman" w:cs="Times New Roman"/>
          <w:sz w:val="24"/>
          <w:szCs w:val="24"/>
          <w:lang w:eastAsia="ar-SA"/>
        </w:rPr>
        <w:t>E</w:t>
      </w:r>
      <w:r w:rsidR="00F57102" w:rsidRPr="005C094B">
        <w:rPr>
          <w:rFonts w:ascii="Times New Roman" w:eastAsia="Times New Roman" w:hAnsi="Times New Roman" w:cs="Times New Roman"/>
          <w:sz w:val="24"/>
          <w:szCs w:val="24"/>
          <w:lang w:eastAsia="ar-SA"/>
        </w:rPr>
        <w:t xml:space="preserve">conomic </w:t>
      </w:r>
      <w:r w:rsidRPr="005C094B">
        <w:rPr>
          <w:rFonts w:ascii="Times New Roman" w:eastAsia="Times New Roman" w:hAnsi="Times New Roman" w:cs="Times New Roman"/>
          <w:sz w:val="24"/>
          <w:szCs w:val="24"/>
          <w:lang w:eastAsia="ar-SA"/>
        </w:rPr>
        <w:t>S</w:t>
      </w:r>
      <w:r w:rsidR="00F57102" w:rsidRPr="005C094B">
        <w:rPr>
          <w:rFonts w:ascii="Times New Roman" w:eastAsia="Times New Roman" w:hAnsi="Times New Roman" w:cs="Times New Roman"/>
          <w:sz w:val="24"/>
          <w:szCs w:val="24"/>
          <w:lang w:eastAsia="ar-SA"/>
        </w:rPr>
        <w:t>tatistics</w:t>
      </w:r>
      <w:r w:rsidRPr="005C094B">
        <w:rPr>
          <w:rFonts w:ascii="Times New Roman" w:eastAsia="Times New Roman" w:hAnsi="Times New Roman" w:cs="Times New Roman"/>
          <w:sz w:val="24"/>
          <w:szCs w:val="24"/>
          <w:lang w:eastAsia="ar-SA"/>
        </w:rPr>
        <w:t>, which</w:t>
      </w:r>
      <w:r w:rsidR="00F57102" w:rsidRPr="005C094B">
        <w:rPr>
          <w:rFonts w:ascii="Times New Roman" w:eastAsia="Times New Roman" w:hAnsi="Times New Roman" w:cs="Times New Roman"/>
          <w:sz w:val="24"/>
          <w:szCs w:val="24"/>
          <w:lang w:eastAsia="ar-SA"/>
        </w:rPr>
        <w:t xml:space="preserve"> consists of </w:t>
      </w:r>
      <w:r w:rsidR="00A273F6" w:rsidRPr="005C094B">
        <w:rPr>
          <w:rFonts w:ascii="Times New Roman" w:eastAsia="Times New Roman" w:hAnsi="Times New Roman" w:cs="Times New Roman"/>
          <w:sz w:val="24"/>
          <w:szCs w:val="24"/>
          <w:lang w:eastAsia="ar-SA"/>
        </w:rPr>
        <w:t>local economists</w:t>
      </w:r>
      <w:r w:rsidR="00543364" w:rsidRPr="005C094B">
        <w:rPr>
          <w:rFonts w:ascii="Times New Roman" w:eastAsia="Times New Roman" w:hAnsi="Times New Roman" w:cs="Times New Roman"/>
          <w:sz w:val="24"/>
          <w:szCs w:val="24"/>
          <w:lang w:eastAsia="ar-SA"/>
        </w:rPr>
        <w:t xml:space="preserve"> and academics</w:t>
      </w:r>
      <w:r w:rsidR="00B92EC5" w:rsidRPr="005C094B">
        <w:rPr>
          <w:rFonts w:ascii="Times New Roman" w:eastAsia="Times New Roman" w:hAnsi="Times New Roman" w:cs="Times New Roman"/>
          <w:sz w:val="24"/>
          <w:szCs w:val="24"/>
          <w:lang w:eastAsia="ar-SA"/>
        </w:rPr>
        <w:t>,</w:t>
      </w:r>
      <w:r w:rsidR="00543364" w:rsidRPr="005C094B">
        <w:rPr>
          <w:rFonts w:ascii="Times New Roman" w:eastAsia="Times New Roman" w:hAnsi="Times New Roman" w:cs="Times New Roman"/>
          <w:sz w:val="24"/>
          <w:szCs w:val="24"/>
          <w:lang w:eastAsia="ar-SA"/>
        </w:rPr>
        <w:t xml:space="preserve"> in addition to</w:t>
      </w:r>
      <w:r w:rsidR="00B92EC5" w:rsidRPr="005C094B">
        <w:rPr>
          <w:rFonts w:ascii="Times New Roman" w:eastAsia="Times New Roman" w:hAnsi="Times New Roman" w:cs="Times New Roman"/>
          <w:sz w:val="24"/>
          <w:szCs w:val="24"/>
          <w:lang w:eastAsia="ar-SA"/>
        </w:rPr>
        <w:t xml:space="preserve"> the </w:t>
      </w:r>
      <w:r w:rsidR="00783CBD" w:rsidRPr="005C094B">
        <w:rPr>
          <w:rFonts w:ascii="Times New Roman" w:eastAsia="Times New Roman" w:hAnsi="Times New Roman" w:cs="Times New Roman"/>
          <w:sz w:val="24"/>
          <w:szCs w:val="24"/>
          <w:lang w:eastAsia="ar-SA"/>
        </w:rPr>
        <w:t>M</w:t>
      </w:r>
      <w:r w:rsidR="00B92EC5" w:rsidRPr="005C094B">
        <w:rPr>
          <w:rFonts w:ascii="Times New Roman" w:eastAsia="Times New Roman" w:hAnsi="Times New Roman" w:cs="Times New Roman"/>
          <w:sz w:val="24"/>
          <w:szCs w:val="24"/>
          <w:lang w:eastAsia="ar-SA"/>
        </w:rPr>
        <w:t xml:space="preserve">inistry of </w:t>
      </w:r>
      <w:r w:rsidR="00783CBD" w:rsidRPr="005C094B">
        <w:rPr>
          <w:rFonts w:ascii="Times New Roman" w:eastAsia="Times New Roman" w:hAnsi="Times New Roman" w:cs="Times New Roman"/>
          <w:sz w:val="24"/>
          <w:szCs w:val="24"/>
          <w:lang w:eastAsia="ar-SA"/>
        </w:rPr>
        <w:t>F</w:t>
      </w:r>
      <w:r w:rsidR="00B92EC5" w:rsidRPr="005C094B">
        <w:rPr>
          <w:rFonts w:ascii="Times New Roman" w:eastAsia="Times New Roman" w:hAnsi="Times New Roman" w:cs="Times New Roman"/>
          <w:sz w:val="24"/>
          <w:szCs w:val="24"/>
          <w:lang w:eastAsia="ar-SA"/>
        </w:rPr>
        <w:t>inance</w:t>
      </w:r>
      <w:r w:rsidRPr="005C094B">
        <w:rPr>
          <w:rFonts w:ascii="Times New Roman" w:eastAsia="Times New Roman" w:hAnsi="Times New Roman" w:cs="Times New Roman"/>
          <w:sz w:val="24"/>
          <w:szCs w:val="24"/>
          <w:lang w:eastAsia="ar-SA"/>
        </w:rPr>
        <w:t xml:space="preserve"> </w:t>
      </w:r>
      <w:r w:rsidR="00B92EC5" w:rsidRPr="005C094B">
        <w:rPr>
          <w:rFonts w:ascii="Times New Roman" w:eastAsia="Times New Roman" w:hAnsi="Times New Roman" w:cs="Times New Roman"/>
          <w:sz w:val="24"/>
          <w:szCs w:val="24"/>
          <w:lang w:eastAsia="ar-SA"/>
        </w:rPr>
        <w:t xml:space="preserve">and </w:t>
      </w:r>
      <w:r w:rsidR="00783CBD" w:rsidRPr="005C094B">
        <w:rPr>
          <w:rFonts w:ascii="Times New Roman" w:eastAsia="Times New Roman" w:hAnsi="Times New Roman" w:cs="Times New Roman"/>
          <w:sz w:val="24"/>
          <w:szCs w:val="24"/>
          <w:lang w:eastAsia="ar-SA"/>
        </w:rPr>
        <w:t xml:space="preserve">the </w:t>
      </w:r>
      <w:r w:rsidR="00B92EC5" w:rsidRPr="005C094B">
        <w:rPr>
          <w:rFonts w:ascii="Times New Roman" w:eastAsia="Times New Roman" w:hAnsi="Times New Roman" w:cs="Times New Roman"/>
          <w:sz w:val="24"/>
          <w:szCs w:val="24"/>
          <w:lang w:eastAsia="ar-SA"/>
        </w:rPr>
        <w:t xml:space="preserve">Palestinian </w:t>
      </w:r>
      <w:r w:rsidR="00783CBD" w:rsidRPr="005C094B">
        <w:rPr>
          <w:rFonts w:ascii="Times New Roman" w:eastAsia="Times New Roman" w:hAnsi="Times New Roman" w:cs="Times New Roman"/>
          <w:sz w:val="24"/>
          <w:szCs w:val="24"/>
          <w:lang w:eastAsia="ar-SA"/>
        </w:rPr>
        <w:t>M</w:t>
      </w:r>
      <w:r w:rsidR="00B92EC5" w:rsidRPr="005C094B">
        <w:rPr>
          <w:rFonts w:ascii="Times New Roman" w:eastAsia="Times New Roman" w:hAnsi="Times New Roman" w:cs="Times New Roman"/>
          <w:sz w:val="24"/>
          <w:szCs w:val="24"/>
          <w:lang w:eastAsia="ar-SA"/>
        </w:rPr>
        <w:t xml:space="preserve">onetary </w:t>
      </w:r>
      <w:r w:rsidR="002968C3" w:rsidRPr="005C094B">
        <w:rPr>
          <w:rFonts w:ascii="Times New Roman" w:eastAsia="Times New Roman" w:hAnsi="Times New Roman" w:cs="Times New Roman"/>
          <w:sz w:val="24"/>
          <w:szCs w:val="24"/>
          <w:lang w:eastAsia="ar-SA"/>
        </w:rPr>
        <w:t xml:space="preserve">Authority. </w:t>
      </w:r>
      <w:r w:rsidR="00BC40E2" w:rsidRPr="005C094B">
        <w:rPr>
          <w:rFonts w:ascii="Times New Roman" w:eastAsia="Times New Roman" w:hAnsi="Times New Roman" w:cs="Times New Roman"/>
          <w:sz w:val="24"/>
          <w:szCs w:val="24"/>
          <w:lang w:eastAsia="ar-SA"/>
        </w:rPr>
        <w:t>Each</w:t>
      </w:r>
      <w:r w:rsidR="00A273F6" w:rsidRPr="005C094B">
        <w:rPr>
          <w:rFonts w:ascii="Times New Roman" w:eastAsia="Times New Roman" w:hAnsi="Times New Roman" w:cs="Times New Roman"/>
          <w:sz w:val="24"/>
          <w:szCs w:val="24"/>
          <w:lang w:eastAsia="ar-SA"/>
        </w:rPr>
        <w:t xml:space="preserve"> scenario </w:t>
      </w:r>
      <w:r w:rsidR="002C0FA3" w:rsidRPr="005C094B">
        <w:rPr>
          <w:rFonts w:ascii="Times New Roman" w:eastAsia="Times New Roman" w:hAnsi="Times New Roman" w:cs="Times New Roman"/>
          <w:sz w:val="24"/>
          <w:szCs w:val="24"/>
          <w:lang w:eastAsia="ar-SA"/>
        </w:rPr>
        <w:t>too</w:t>
      </w:r>
      <w:r w:rsidR="00CF1C0F" w:rsidRPr="005C094B">
        <w:rPr>
          <w:rFonts w:ascii="Times New Roman" w:eastAsia="Times New Roman" w:hAnsi="Times New Roman" w:cs="Times New Roman"/>
          <w:sz w:val="24"/>
          <w:szCs w:val="24"/>
          <w:lang w:eastAsia="ar-SA"/>
        </w:rPr>
        <w:t>k</w:t>
      </w:r>
      <w:r w:rsidR="002C0FA3" w:rsidRPr="005C094B">
        <w:rPr>
          <w:rFonts w:ascii="Times New Roman" w:eastAsia="Times New Roman" w:hAnsi="Times New Roman" w:cs="Times New Roman"/>
          <w:sz w:val="24"/>
          <w:szCs w:val="24"/>
          <w:lang w:eastAsia="ar-SA"/>
        </w:rPr>
        <w:t xml:space="preserve"> into consideration </w:t>
      </w:r>
      <w:r w:rsidR="00BC40E2">
        <w:rPr>
          <w:rFonts w:ascii="Times New Roman" w:eastAsia="Times New Roman" w:hAnsi="Times New Roman" w:cs="Times New Roman"/>
          <w:sz w:val="24"/>
          <w:szCs w:val="24"/>
          <w:lang w:eastAsia="ar-SA"/>
        </w:rPr>
        <w:t xml:space="preserve">internal political, </w:t>
      </w:r>
      <w:r w:rsidR="00DE3803" w:rsidRPr="005C094B">
        <w:rPr>
          <w:rFonts w:ascii="Times New Roman" w:eastAsia="Times New Roman" w:hAnsi="Times New Roman" w:cs="Times New Roman"/>
          <w:sz w:val="24"/>
          <w:szCs w:val="24"/>
          <w:lang w:eastAsia="ar-SA"/>
        </w:rPr>
        <w:t>economic</w:t>
      </w:r>
      <w:r w:rsidR="00BC40E2">
        <w:rPr>
          <w:rFonts w:ascii="Times New Roman" w:eastAsia="Times New Roman" w:hAnsi="Times New Roman" w:cs="Times New Roman"/>
          <w:sz w:val="24"/>
          <w:szCs w:val="24"/>
          <w:lang w:eastAsia="ar-SA"/>
        </w:rPr>
        <w:t xml:space="preserve"> and health</w:t>
      </w:r>
      <w:r w:rsidR="00DE3803" w:rsidRPr="005C094B">
        <w:rPr>
          <w:rFonts w:ascii="Times New Roman" w:eastAsia="Times New Roman" w:hAnsi="Times New Roman" w:cs="Times New Roman"/>
          <w:sz w:val="24"/>
          <w:szCs w:val="24"/>
          <w:lang w:eastAsia="ar-SA"/>
        </w:rPr>
        <w:t xml:space="preserve"> </w:t>
      </w:r>
      <w:r w:rsidR="00BF65CE" w:rsidRPr="005C094B">
        <w:rPr>
          <w:rFonts w:ascii="Times New Roman" w:eastAsia="Times New Roman" w:hAnsi="Times New Roman" w:cs="Times New Roman"/>
          <w:sz w:val="24"/>
          <w:szCs w:val="24"/>
          <w:lang w:eastAsia="ar-SA"/>
        </w:rPr>
        <w:t xml:space="preserve">circumstances </w:t>
      </w:r>
      <w:r w:rsidR="00DE3803" w:rsidRPr="005C094B">
        <w:rPr>
          <w:rFonts w:ascii="Times New Roman" w:eastAsia="Times New Roman" w:hAnsi="Times New Roman" w:cs="Times New Roman"/>
          <w:sz w:val="24"/>
          <w:szCs w:val="24"/>
          <w:lang w:eastAsia="ar-SA"/>
        </w:rPr>
        <w:t xml:space="preserve">for </w:t>
      </w:r>
      <w:r w:rsidR="00BC40E2">
        <w:rPr>
          <w:rFonts w:ascii="Times New Roman" w:eastAsia="Times New Roman" w:hAnsi="Times New Roman" w:cs="Times New Roman"/>
          <w:sz w:val="24"/>
          <w:szCs w:val="24"/>
          <w:lang w:eastAsia="ar-SA"/>
        </w:rPr>
        <w:t>2021</w:t>
      </w:r>
      <w:r w:rsidR="00A273F6" w:rsidRPr="005C094B">
        <w:rPr>
          <w:rFonts w:ascii="Times New Roman" w:eastAsia="Times New Roman" w:hAnsi="Times New Roman" w:cs="Times New Roman"/>
          <w:sz w:val="24"/>
          <w:szCs w:val="24"/>
          <w:lang w:eastAsia="ar-SA"/>
        </w:rPr>
        <w:t xml:space="preserve">, </w:t>
      </w:r>
      <w:r w:rsidR="00D67174">
        <w:rPr>
          <w:rFonts w:ascii="Times New Roman" w:eastAsia="Times New Roman" w:hAnsi="Times New Roman" w:cs="Times New Roman"/>
          <w:sz w:val="24"/>
          <w:szCs w:val="24"/>
          <w:lang w:eastAsia="ar-SA"/>
        </w:rPr>
        <w:t>including the continued impacts the</w:t>
      </w:r>
      <w:r w:rsidR="0097256B">
        <w:rPr>
          <w:rFonts w:ascii="Times New Roman" w:eastAsia="Times New Roman" w:hAnsi="Times New Roman" w:cs="Times New Roman"/>
          <w:sz w:val="24"/>
          <w:szCs w:val="24"/>
          <w:lang w:eastAsia="ar-SA"/>
        </w:rPr>
        <w:t xml:space="preserve"> </w:t>
      </w:r>
      <w:r w:rsidR="00AC0C00" w:rsidRPr="00AC0C00">
        <w:rPr>
          <w:rFonts w:ascii="Times New Roman" w:eastAsia="Times New Roman" w:hAnsi="Times New Roman" w:cs="Times New Roman"/>
          <w:sz w:val="24"/>
          <w:szCs w:val="24"/>
          <w:lang w:eastAsia="ar-SA"/>
        </w:rPr>
        <w:t>Coronavirus pandemic</w:t>
      </w:r>
      <w:r w:rsidR="00BC40E2">
        <w:rPr>
          <w:rFonts w:ascii="Times New Roman" w:eastAsia="Times New Roman" w:hAnsi="Times New Roman" w:cs="Times New Roman"/>
          <w:sz w:val="24"/>
          <w:szCs w:val="24"/>
          <w:lang w:eastAsia="ar-SA"/>
        </w:rPr>
        <w:t>,</w:t>
      </w:r>
      <w:r w:rsidR="00BC40E2" w:rsidRPr="005C094B">
        <w:rPr>
          <w:rFonts w:ascii="Times New Roman" w:eastAsia="Times New Roman" w:hAnsi="Times New Roman" w:cs="Times New Roman"/>
          <w:sz w:val="24"/>
          <w:szCs w:val="24"/>
          <w:lang w:eastAsia="ar-SA"/>
        </w:rPr>
        <w:t xml:space="preserve"> </w:t>
      </w:r>
      <w:r w:rsidR="00A273F6" w:rsidRPr="005C094B">
        <w:rPr>
          <w:rFonts w:ascii="Times New Roman" w:eastAsia="Times New Roman" w:hAnsi="Times New Roman" w:cs="Times New Roman"/>
          <w:sz w:val="24"/>
          <w:szCs w:val="24"/>
          <w:lang w:eastAsia="ar-SA"/>
        </w:rPr>
        <w:t xml:space="preserve">the </w:t>
      </w:r>
      <w:r w:rsidR="0097256B">
        <w:rPr>
          <w:rFonts w:ascii="Times New Roman" w:eastAsia="Times New Roman" w:hAnsi="Times New Roman" w:cs="Times New Roman"/>
          <w:sz w:val="24"/>
          <w:szCs w:val="24"/>
          <w:lang w:eastAsia="ar-SA"/>
        </w:rPr>
        <w:t>siege</w:t>
      </w:r>
      <w:r w:rsidR="00A273F6" w:rsidRPr="005C094B">
        <w:rPr>
          <w:rFonts w:ascii="Times New Roman" w:eastAsia="Times New Roman" w:hAnsi="Times New Roman" w:cs="Times New Roman"/>
          <w:sz w:val="24"/>
          <w:szCs w:val="24"/>
          <w:lang w:eastAsia="ar-SA"/>
        </w:rPr>
        <w:t xml:space="preserve"> imposed </w:t>
      </w:r>
      <w:r w:rsidR="0097256B">
        <w:rPr>
          <w:rFonts w:ascii="Times New Roman" w:eastAsia="Times New Roman" w:hAnsi="Times New Roman" w:cs="Times New Roman"/>
          <w:sz w:val="24"/>
          <w:szCs w:val="24"/>
          <w:lang w:eastAsia="ar-SA"/>
        </w:rPr>
        <w:t>on</w:t>
      </w:r>
      <w:r w:rsidR="00A273F6" w:rsidRPr="005C094B">
        <w:rPr>
          <w:rFonts w:ascii="Times New Roman" w:eastAsia="Times New Roman" w:hAnsi="Times New Roman" w:cs="Times New Roman"/>
          <w:sz w:val="24"/>
          <w:szCs w:val="24"/>
          <w:lang w:eastAsia="ar-SA"/>
        </w:rPr>
        <w:t xml:space="preserve"> G</w:t>
      </w:r>
      <w:r w:rsidR="00BF65CE" w:rsidRPr="005C094B">
        <w:rPr>
          <w:rFonts w:ascii="Times New Roman" w:eastAsia="Times New Roman" w:hAnsi="Times New Roman" w:cs="Times New Roman"/>
          <w:sz w:val="24"/>
          <w:szCs w:val="24"/>
          <w:lang w:eastAsia="ar-SA"/>
        </w:rPr>
        <w:t>aza Strip, foreign aid</w:t>
      </w:r>
      <w:r w:rsidR="00BC40E2">
        <w:rPr>
          <w:rFonts w:ascii="Times New Roman" w:eastAsia="Times New Roman" w:hAnsi="Times New Roman" w:cs="Times New Roman"/>
          <w:sz w:val="24"/>
          <w:szCs w:val="24"/>
          <w:lang w:eastAsia="ar-SA"/>
        </w:rPr>
        <w:t>s</w:t>
      </w:r>
      <w:r w:rsidR="00BF65CE" w:rsidRPr="005C094B">
        <w:rPr>
          <w:rFonts w:ascii="Times New Roman" w:eastAsia="Times New Roman" w:hAnsi="Times New Roman" w:cs="Times New Roman"/>
          <w:sz w:val="24"/>
          <w:szCs w:val="24"/>
          <w:lang w:eastAsia="ar-SA"/>
        </w:rPr>
        <w:t>, Israeli</w:t>
      </w:r>
      <w:r w:rsidR="00A273F6" w:rsidRPr="005C094B">
        <w:rPr>
          <w:rFonts w:ascii="Times New Roman" w:eastAsia="Times New Roman" w:hAnsi="Times New Roman" w:cs="Times New Roman"/>
          <w:sz w:val="24"/>
          <w:szCs w:val="24"/>
          <w:lang w:eastAsia="ar-SA"/>
        </w:rPr>
        <w:t xml:space="preserve"> </w:t>
      </w:r>
      <w:r w:rsidR="00D67174">
        <w:rPr>
          <w:rFonts w:ascii="Times New Roman" w:eastAsia="Times New Roman" w:hAnsi="Times New Roman" w:cs="Times New Roman"/>
          <w:sz w:val="24"/>
          <w:szCs w:val="24"/>
          <w:lang w:eastAsia="ar-SA"/>
        </w:rPr>
        <w:t xml:space="preserve">occupation </w:t>
      </w:r>
      <w:r w:rsidR="00A273F6" w:rsidRPr="005C094B">
        <w:rPr>
          <w:rFonts w:ascii="Times New Roman" w:eastAsia="Times New Roman" w:hAnsi="Times New Roman" w:cs="Times New Roman"/>
          <w:sz w:val="24"/>
          <w:szCs w:val="24"/>
          <w:lang w:eastAsia="ar-SA"/>
        </w:rPr>
        <w:t>measu</w:t>
      </w:r>
      <w:r w:rsidR="00D47632" w:rsidRPr="005C094B">
        <w:rPr>
          <w:rFonts w:ascii="Times New Roman" w:eastAsia="Times New Roman" w:hAnsi="Times New Roman" w:cs="Times New Roman"/>
          <w:sz w:val="24"/>
          <w:szCs w:val="24"/>
          <w:lang w:eastAsia="ar-SA"/>
        </w:rPr>
        <w:t xml:space="preserve">res </w:t>
      </w:r>
      <w:r w:rsidR="0097256B">
        <w:rPr>
          <w:rFonts w:ascii="Times New Roman" w:eastAsia="Times New Roman" w:hAnsi="Times New Roman" w:cs="Times New Roman"/>
          <w:sz w:val="24"/>
          <w:szCs w:val="24"/>
          <w:lang w:eastAsia="ar-SA"/>
        </w:rPr>
        <w:t>against</w:t>
      </w:r>
      <w:r w:rsidR="00D47632" w:rsidRPr="005C094B">
        <w:rPr>
          <w:rFonts w:ascii="Times New Roman" w:eastAsia="Times New Roman" w:hAnsi="Times New Roman" w:cs="Times New Roman"/>
          <w:sz w:val="24"/>
          <w:szCs w:val="24"/>
          <w:lang w:eastAsia="ar-SA"/>
        </w:rPr>
        <w:t xml:space="preserve"> </w:t>
      </w:r>
      <w:r w:rsidR="00A273F6" w:rsidRPr="005C094B">
        <w:rPr>
          <w:rFonts w:ascii="Times New Roman" w:eastAsia="Times New Roman" w:hAnsi="Times New Roman" w:cs="Times New Roman"/>
          <w:sz w:val="24"/>
          <w:szCs w:val="24"/>
          <w:lang w:eastAsia="ar-SA"/>
        </w:rPr>
        <w:t>Palestine</w:t>
      </w:r>
      <w:r w:rsidR="00BF65CE" w:rsidRPr="005C094B">
        <w:rPr>
          <w:rFonts w:ascii="Times New Roman" w:eastAsia="Times New Roman" w:hAnsi="Times New Roman" w:cs="Times New Roman"/>
          <w:sz w:val="24"/>
          <w:szCs w:val="24"/>
          <w:lang w:eastAsia="ar-SA"/>
        </w:rPr>
        <w:t>,</w:t>
      </w:r>
      <w:r w:rsidR="00A273F6" w:rsidRPr="005C094B">
        <w:rPr>
          <w:rFonts w:ascii="Times New Roman" w:eastAsia="Times New Roman" w:hAnsi="Times New Roman" w:cs="Times New Roman"/>
          <w:sz w:val="24"/>
          <w:szCs w:val="24"/>
          <w:lang w:eastAsia="ar-SA"/>
        </w:rPr>
        <w:t xml:space="preserve"> the numb</w:t>
      </w:r>
      <w:r w:rsidR="00BF65CE" w:rsidRPr="005C094B">
        <w:rPr>
          <w:rFonts w:ascii="Times New Roman" w:eastAsia="Times New Roman" w:hAnsi="Times New Roman" w:cs="Times New Roman"/>
          <w:sz w:val="24"/>
          <w:szCs w:val="24"/>
          <w:lang w:eastAsia="ar-SA"/>
        </w:rPr>
        <w:t xml:space="preserve">er of Palestinian </w:t>
      </w:r>
      <w:r w:rsidR="00BC40E2">
        <w:rPr>
          <w:rFonts w:ascii="Times New Roman" w:eastAsia="Times New Roman" w:hAnsi="Times New Roman" w:cs="Times New Roman"/>
          <w:sz w:val="24"/>
          <w:szCs w:val="24"/>
          <w:lang w:eastAsia="ar-SA"/>
        </w:rPr>
        <w:t>employees</w:t>
      </w:r>
      <w:r w:rsidR="00BF65CE" w:rsidRPr="005C094B">
        <w:rPr>
          <w:rFonts w:ascii="Times New Roman" w:eastAsia="Times New Roman" w:hAnsi="Times New Roman" w:cs="Times New Roman"/>
          <w:sz w:val="24"/>
          <w:szCs w:val="24"/>
          <w:lang w:eastAsia="ar-SA"/>
        </w:rPr>
        <w:t xml:space="preserve"> in</w:t>
      </w:r>
      <w:r w:rsidR="00A273F6" w:rsidRPr="005C094B">
        <w:rPr>
          <w:rFonts w:ascii="Times New Roman" w:eastAsia="Times New Roman" w:hAnsi="Times New Roman" w:cs="Times New Roman"/>
          <w:sz w:val="24"/>
          <w:szCs w:val="24"/>
          <w:lang w:eastAsia="ar-SA"/>
        </w:rPr>
        <w:t xml:space="preserve"> Israel</w:t>
      </w:r>
      <w:r w:rsidR="008F3604" w:rsidRPr="005C094B">
        <w:rPr>
          <w:rFonts w:ascii="Times New Roman" w:eastAsia="Times New Roman" w:hAnsi="Times New Roman" w:cs="Times New Roman"/>
          <w:sz w:val="24"/>
          <w:szCs w:val="24"/>
          <w:lang w:eastAsia="ar-SA"/>
        </w:rPr>
        <w:t xml:space="preserve"> and</w:t>
      </w:r>
      <w:r w:rsidR="00BF65CE" w:rsidRPr="005C094B">
        <w:rPr>
          <w:rFonts w:ascii="Times New Roman" w:eastAsia="Times New Roman" w:hAnsi="Times New Roman" w:cs="Times New Roman"/>
          <w:sz w:val="24"/>
          <w:szCs w:val="24"/>
          <w:lang w:eastAsia="ar-SA"/>
        </w:rPr>
        <w:t xml:space="preserve"> </w:t>
      </w:r>
      <w:r w:rsidR="0097256B">
        <w:rPr>
          <w:rFonts w:ascii="Times New Roman" w:eastAsia="Times New Roman" w:hAnsi="Times New Roman" w:cs="Times New Roman"/>
          <w:sz w:val="24"/>
          <w:szCs w:val="24"/>
          <w:lang w:eastAsia="ar-SA"/>
        </w:rPr>
        <w:t xml:space="preserve">of the </w:t>
      </w:r>
      <w:r w:rsidR="00A273F6" w:rsidRPr="005C094B">
        <w:rPr>
          <w:rFonts w:ascii="Times New Roman" w:eastAsia="Times New Roman" w:hAnsi="Times New Roman" w:cs="Times New Roman"/>
          <w:sz w:val="24"/>
          <w:szCs w:val="24"/>
          <w:lang w:eastAsia="ar-SA"/>
        </w:rPr>
        <w:t xml:space="preserve">economic and social variables. </w:t>
      </w:r>
    </w:p>
    <w:p w:rsidR="00A273F6" w:rsidRPr="00EC007B" w:rsidRDefault="00A273F6" w:rsidP="00A273F6">
      <w:pPr>
        <w:spacing w:after="0" w:line="240" w:lineRule="auto"/>
        <w:jc w:val="both"/>
        <w:rPr>
          <w:rFonts w:ascii="Times New Roman" w:eastAsia="Times New Roman" w:hAnsi="Times New Roman" w:cs="Times New Roman"/>
          <w:sz w:val="24"/>
          <w:szCs w:val="24"/>
          <w:lang w:eastAsia="ar-SA"/>
        </w:rPr>
      </w:pPr>
    </w:p>
    <w:p w:rsidR="00A273F6" w:rsidRPr="00EC007B" w:rsidRDefault="00A273F6" w:rsidP="00FD6777">
      <w:pPr>
        <w:numPr>
          <w:ilvl w:val="0"/>
          <w:numId w:val="6"/>
        </w:numPr>
        <w:spacing w:after="0" w:line="240" w:lineRule="auto"/>
        <w:jc w:val="both"/>
        <w:rPr>
          <w:rFonts w:ascii="Times New Roman" w:eastAsia="Times New Roman" w:hAnsi="Times New Roman" w:cs="Times New Roman"/>
          <w:sz w:val="24"/>
          <w:szCs w:val="24"/>
          <w:lang w:eastAsia="ar-SA"/>
        </w:rPr>
      </w:pPr>
      <w:r w:rsidRPr="005C094B">
        <w:rPr>
          <w:rFonts w:ascii="Times New Roman" w:eastAsia="Times New Roman" w:hAnsi="Times New Roman" w:cs="Times New Roman"/>
          <w:b/>
          <w:bCs/>
          <w:sz w:val="24"/>
          <w:szCs w:val="24"/>
          <w:lang w:eastAsia="ar-SA"/>
        </w:rPr>
        <w:t>Base</w:t>
      </w:r>
      <w:r w:rsidR="00081C7C" w:rsidRPr="005C094B">
        <w:rPr>
          <w:rFonts w:ascii="Times New Roman" w:eastAsia="Times New Roman" w:hAnsi="Times New Roman" w:cs="Times New Roman"/>
          <w:b/>
          <w:bCs/>
          <w:sz w:val="24"/>
          <w:szCs w:val="24"/>
          <w:lang w:eastAsia="ar-SA"/>
        </w:rPr>
        <w:t>line</w:t>
      </w:r>
      <w:r w:rsidRPr="005C094B">
        <w:rPr>
          <w:rFonts w:ascii="Times New Roman" w:eastAsia="Times New Roman" w:hAnsi="Times New Roman" w:cs="Times New Roman"/>
          <w:b/>
          <w:bCs/>
          <w:sz w:val="24"/>
          <w:szCs w:val="24"/>
          <w:lang w:eastAsia="ar-SA"/>
        </w:rPr>
        <w:t xml:space="preserve"> Scenario</w:t>
      </w:r>
      <w:r w:rsidRPr="00EC007B">
        <w:rPr>
          <w:rFonts w:ascii="Times New Roman" w:eastAsia="Times New Roman" w:hAnsi="Times New Roman" w:cs="Times New Roman"/>
          <w:sz w:val="24"/>
          <w:szCs w:val="24"/>
          <w:vertAlign w:val="superscript"/>
          <w:lang w:eastAsia="ar-SA"/>
        </w:rPr>
        <w:footnoteReference w:id="4"/>
      </w:r>
    </w:p>
    <w:p w:rsidR="00BC40E2" w:rsidRDefault="00BC40E2" w:rsidP="007D4535">
      <w:pPr>
        <w:spacing w:after="0" w:line="240" w:lineRule="auto"/>
        <w:jc w:val="both"/>
        <w:rPr>
          <w:rFonts w:ascii="Times New Roman" w:eastAsia="Times New Roman" w:hAnsi="Times New Roman" w:cs="Times New Roman"/>
          <w:sz w:val="24"/>
          <w:szCs w:val="24"/>
          <w:lang w:eastAsia="ar-SA"/>
        </w:rPr>
      </w:pPr>
      <w:r w:rsidRPr="00FE3ED2">
        <w:rPr>
          <w:rFonts w:ascii="Times New Roman" w:eastAsia="Times New Roman" w:hAnsi="Times New Roman" w:cs="Times New Roman"/>
          <w:sz w:val="24"/>
          <w:szCs w:val="24"/>
          <w:lang w:eastAsia="ar-SA"/>
        </w:rPr>
        <w:t xml:space="preserve">This scenario is based on the assumption that the Coronavirus pandemic will continue to impact </w:t>
      </w:r>
      <w:r w:rsidR="00D67174">
        <w:rPr>
          <w:rFonts w:ascii="Times New Roman" w:eastAsia="Times New Roman" w:hAnsi="Times New Roman" w:cs="Times New Roman"/>
          <w:sz w:val="24"/>
          <w:szCs w:val="24"/>
          <w:lang w:eastAsia="ar-SA"/>
        </w:rPr>
        <w:t xml:space="preserve">the </w:t>
      </w:r>
      <w:r w:rsidRPr="00FE3ED2">
        <w:rPr>
          <w:rFonts w:ascii="Times New Roman" w:eastAsia="Times New Roman" w:hAnsi="Times New Roman" w:cs="Times New Roman"/>
          <w:sz w:val="24"/>
          <w:szCs w:val="24"/>
          <w:lang w:eastAsia="ar-SA"/>
        </w:rPr>
        <w:t xml:space="preserve">economic and social aspects of life and that the government will </w:t>
      </w:r>
      <w:r w:rsidR="00D67174">
        <w:rPr>
          <w:rFonts w:ascii="Times New Roman" w:eastAsia="Times New Roman" w:hAnsi="Times New Roman" w:cs="Times New Roman"/>
          <w:sz w:val="24"/>
          <w:szCs w:val="24"/>
          <w:lang w:eastAsia="ar-SA"/>
        </w:rPr>
        <w:t xml:space="preserve">attempt to balance </w:t>
      </w:r>
      <w:r w:rsidR="00D67174" w:rsidRPr="00FE3ED2">
        <w:rPr>
          <w:rFonts w:ascii="Times New Roman" w:eastAsia="Times New Roman" w:hAnsi="Times New Roman" w:cs="Times New Roman"/>
          <w:sz w:val="24"/>
          <w:szCs w:val="24"/>
          <w:lang w:eastAsia="ar-SA"/>
        </w:rPr>
        <w:t>between</w:t>
      </w:r>
      <w:r w:rsidRPr="00FE3ED2">
        <w:rPr>
          <w:rFonts w:ascii="Times New Roman" w:eastAsia="Times New Roman" w:hAnsi="Times New Roman" w:cs="Times New Roman"/>
          <w:sz w:val="24"/>
          <w:szCs w:val="24"/>
          <w:lang w:eastAsia="ar-SA"/>
        </w:rPr>
        <w:t xml:space="preserve"> the economy and the health of citizens by imposing full lockdowns on outbreak areas for limited periods of time not exceeding one month and during separated periods in 2021. Such closures will aim to flatten the </w:t>
      </w:r>
      <w:r w:rsidR="00D67174">
        <w:rPr>
          <w:rFonts w:ascii="Times New Roman" w:eastAsia="Times New Roman" w:hAnsi="Times New Roman" w:cs="Times New Roman"/>
          <w:sz w:val="24"/>
          <w:szCs w:val="24"/>
          <w:lang w:eastAsia="ar-SA"/>
        </w:rPr>
        <w:t xml:space="preserve">curve of the </w:t>
      </w:r>
      <w:r w:rsidRPr="00FE3ED2">
        <w:rPr>
          <w:rFonts w:ascii="Times New Roman" w:eastAsia="Times New Roman" w:hAnsi="Times New Roman" w:cs="Times New Roman"/>
          <w:sz w:val="24"/>
          <w:szCs w:val="24"/>
          <w:lang w:eastAsia="ar-SA"/>
        </w:rPr>
        <w:t xml:space="preserve">pandemic </w:t>
      </w:r>
      <w:r w:rsidR="00D67174">
        <w:rPr>
          <w:rFonts w:ascii="Times New Roman" w:eastAsia="Times New Roman" w:hAnsi="Times New Roman" w:cs="Times New Roman"/>
          <w:sz w:val="24"/>
          <w:szCs w:val="24"/>
          <w:lang w:eastAsia="ar-SA"/>
        </w:rPr>
        <w:t>while taking all preventative</w:t>
      </w:r>
      <w:r w:rsidRPr="00FE3ED2">
        <w:rPr>
          <w:rFonts w:ascii="Times New Roman" w:eastAsia="Times New Roman" w:hAnsi="Times New Roman" w:cs="Times New Roman"/>
          <w:sz w:val="24"/>
          <w:szCs w:val="24"/>
          <w:lang w:eastAsia="ar-SA"/>
        </w:rPr>
        <w:t xml:space="preserve"> measures into consideration and ensuring that minimum amounts of necessary supplies reach residents during full lockdown periods. This will be coupled with a breakthrough in the </w:t>
      </w:r>
      <w:r w:rsidR="00D67174">
        <w:rPr>
          <w:rFonts w:ascii="Times New Roman" w:eastAsia="Times New Roman" w:hAnsi="Times New Roman" w:cs="Times New Roman"/>
          <w:sz w:val="24"/>
          <w:szCs w:val="24"/>
          <w:lang w:eastAsia="ar-SA"/>
        </w:rPr>
        <w:t>COVID- 19 vaccine. As it will be available</w:t>
      </w:r>
      <w:r w:rsidRPr="00FE3ED2">
        <w:rPr>
          <w:rFonts w:ascii="Times New Roman" w:eastAsia="Times New Roman" w:hAnsi="Times New Roman" w:cs="Times New Roman"/>
          <w:sz w:val="24"/>
          <w:szCs w:val="24"/>
          <w:lang w:eastAsia="ar-SA"/>
        </w:rPr>
        <w:t xml:space="preserve"> and </w:t>
      </w:r>
      <w:r w:rsidR="00D67174">
        <w:rPr>
          <w:rFonts w:ascii="Times New Roman" w:eastAsia="Times New Roman" w:hAnsi="Times New Roman" w:cs="Times New Roman"/>
          <w:sz w:val="24"/>
          <w:szCs w:val="24"/>
          <w:lang w:eastAsia="ar-SA"/>
        </w:rPr>
        <w:t xml:space="preserve">ready for </w:t>
      </w:r>
      <w:r w:rsidRPr="00FE3ED2">
        <w:rPr>
          <w:rFonts w:ascii="Times New Roman" w:eastAsia="Times New Roman" w:hAnsi="Times New Roman" w:cs="Times New Roman"/>
          <w:sz w:val="24"/>
          <w:szCs w:val="24"/>
          <w:lang w:eastAsia="ar-SA"/>
        </w:rPr>
        <w:t xml:space="preserve">distribution during </w:t>
      </w:r>
      <w:r w:rsidR="00D67174">
        <w:rPr>
          <w:rFonts w:ascii="Times New Roman" w:eastAsia="Times New Roman" w:hAnsi="Times New Roman" w:cs="Times New Roman"/>
          <w:sz w:val="24"/>
          <w:szCs w:val="24"/>
          <w:lang w:eastAsia="ar-SA"/>
        </w:rPr>
        <w:t xml:space="preserve">the </w:t>
      </w:r>
      <w:r w:rsidR="003F45A3" w:rsidRPr="00FE3ED2">
        <w:rPr>
          <w:rFonts w:ascii="Times New Roman" w:eastAsia="Times New Roman" w:hAnsi="Times New Roman" w:cs="Times New Roman"/>
          <w:sz w:val="24"/>
          <w:szCs w:val="24"/>
          <w:lang w:eastAsia="ar-SA"/>
        </w:rPr>
        <w:t>first quarter</w:t>
      </w:r>
      <w:r w:rsidRPr="00FE3ED2">
        <w:rPr>
          <w:rFonts w:ascii="Times New Roman" w:eastAsia="Times New Roman" w:hAnsi="Times New Roman" w:cs="Times New Roman"/>
          <w:sz w:val="24"/>
          <w:szCs w:val="24"/>
          <w:lang w:eastAsia="ar-SA"/>
        </w:rPr>
        <w:t xml:space="preserve"> </w:t>
      </w:r>
      <w:r w:rsidR="00D67174">
        <w:rPr>
          <w:rFonts w:ascii="Times New Roman" w:eastAsia="Times New Roman" w:hAnsi="Times New Roman" w:cs="Times New Roman"/>
          <w:sz w:val="24"/>
          <w:szCs w:val="24"/>
          <w:lang w:eastAsia="ar-SA"/>
        </w:rPr>
        <w:t xml:space="preserve">of </w:t>
      </w:r>
      <w:r w:rsidRPr="00FE3ED2">
        <w:rPr>
          <w:rFonts w:ascii="Times New Roman" w:eastAsia="Times New Roman" w:hAnsi="Times New Roman" w:cs="Times New Roman"/>
          <w:sz w:val="24"/>
          <w:szCs w:val="24"/>
          <w:lang w:eastAsia="ar-SA"/>
        </w:rPr>
        <w:t>2021. The scenario also assumes</w:t>
      </w:r>
      <w:r w:rsidR="00D67174">
        <w:rPr>
          <w:rFonts w:ascii="Times New Roman" w:eastAsia="Times New Roman" w:hAnsi="Times New Roman" w:cs="Times New Roman"/>
          <w:sz w:val="24"/>
          <w:szCs w:val="24"/>
          <w:lang w:eastAsia="ar-SA"/>
        </w:rPr>
        <w:t xml:space="preserve"> a</w:t>
      </w:r>
      <w:r w:rsidRPr="00FE3ED2">
        <w:rPr>
          <w:rFonts w:ascii="Times New Roman" w:eastAsia="Times New Roman" w:hAnsi="Times New Roman" w:cs="Times New Roman"/>
          <w:sz w:val="24"/>
          <w:szCs w:val="24"/>
          <w:lang w:eastAsia="ar-SA"/>
        </w:rPr>
        <w:t xml:space="preserve"> return to the normal political situation between the State of Palestine and the Israeli occupation as </w:t>
      </w:r>
      <w:r w:rsidR="00D67174">
        <w:rPr>
          <w:rFonts w:ascii="Times New Roman" w:eastAsia="Times New Roman" w:hAnsi="Times New Roman" w:cs="Times New Roman"/>
          <w:sz w:val="24"/>
          <w:szCs w:val="24"/>
          <w:lang w:eastAsia="ar-SA"/>
        </w:rPr>
        <w:t xml:space="preserve">it </w:t>
      </w:r>
      <w:r w:rsidRPr="00FE3ED2">
        <w:rPr>
          <w:rFonts w:ascii="Times New Roman" w:eastAsia="Times New Roman" w:hAnsi="Times New Roman" w:cs="Times New Roman"/>
          <w:sz w:val="24"/>
          <w:szCs w:val="24"/>
          <w:lang w:eastAsia="ar-SA"/>
        </w:rPr>
        <w:t>was during 2019</w:t>
      </w:r>
      <w:r w:rsidR="00D67174">
        <w:rPr>
          <w:rFonts w:ascii="Times New Roman" w:eastAsia="Times New Roman" w:hAnsi="Times New Roman" w:cs="Times New Roman"/>
          <w:sz w:val="24"/>
          <w:szCs w:val="24"/>
          <w:lang w:eastAsia="ar-SA"/>
        </w:rPr>
        <w:t>,</w:t>
      </w:r>
      <w:r w:rsidRPr="00FE3ED2">
        <w:rPr>
          <w:rFonts w:ascii="Times New Roman" w:eastAsia="Times New Roman" w:hAnsi="Times New Roman" w:cs="Times New Roman"/>
          <w:sz w:val="24"/>
          <w:szCs w:val="24"/>
          <w:lang w:eastAsia="ar-SA"/>
        </w:rPr>
        <w:t xml:space="preserve"> including the regular transfer of </w:t>
      </w:r>
      <w:r w:rsidR="003F45A3" w:rsidRPr="00FE3ED2">
        <w:rPr>
          <w:rFonts w:ascii="Times New Roman" w:eastAsia="Times New Roman" w:hAnsi="Times New Roman" w:cs="Times New Roman"/>
          <w:sz w:val="24"/>
          <w:szCs w:val="24"/>
          <w:lang w:eastAsia="ar-SA"/>
        </w:rPr>
        <w:t>clearance</w:t>
      </w:r>
      <w:r w:rsidRPr="00FE3ED2">
        <w:rPr>
          <w:rFonts w:ascii="Times New Roman" w:eastAsia="Times New Roman" w:hAnsi="Times New Roman" w:cs="Times New Roman"/>
          <w:sz w:val="24"/>
          <w:szCs w:val="24"/>
          <w:lang w:eastAsia="ar-SA"/>
        </w:rPr>
        <w:t xml:space="preserve"> revenues collected by the Israeli occupation on part of the Palestinian government and the continuance of sectorial strategies and cluster development </w:t>
      </w:r>
      <w:r w:rsidR="00D67174">
        <w:rPr>
          <w:rFonts w:ascii="Times New Roman" w:eastAsia="Times New Roman" w:hAnsi="Times New Roman" w:cs="Times New Roman"/>
          <w:sz w:val="24"/>
          <w:szCs w:val="24"/>
          <w:lang w:eastAsia="ar-SA"/>
        </w:rPr>
        <w:t xml:space="preserve">plan </w:t>
      </w:r>
      <w:r w:rsidRPr="00FE3ED2">
        <w:rPr>
          <w:rFonts w:ascii="Times New Roman" w:eastAsia="Times New Roman" w:hAnsi="Times New Roman" w:cs="Times New Roman"/>
          <w:sz w:val="24"/>
          <w:szCs w:val="24"/>
          <w:lang w:eastAsia="ar-SA"/>
        </w:rPr>
        <w:t>with focus on production sectors</w:t>
      </w:r>
      <w:r w:rsidR="00D67174">
        <w:rPr>
          <w:rFonts w:ascii="Times New Roman" w:eastAsia="Times New Roman" w:hAnsi="Times New Roman" w:cs="Times New Roman"/>
          <w:sz w:val="24"/>
          <w:szCs w:val="24"/>
          <w:lang w:eastAsia="ar-SA"/>
        </w:rPr>
        <w:t>,</w:t>
      </w:r>
      <w:r w:rsidRPr="00FE3ED2">
        <w:rPr>
          <w:rFonts w:ascii="Times New Roman" w:eastAsia="Times New Roman" w:hAnsi="Times New Roman" w:cs="Times New Roman"/>
          <w:sz w:val="24"/>
          <w:szCs w:val="24"/>
          <w:lang w:eastAsia="ar-SA"/>
        </w:rPr>
        <w:t xml:space="preserve"> such as the clean energy sector and technological creativity. These strategies will help the government implement economic policies </w:t>
      </w:r>
      <w:r w:rsidR="00D67174">
        <w:rPr>
          <w:rFonts w:ascii="Times New Roman" w:eastAsia="Times New Roman" w:hAnsi="Times New Roman" w:cs="Times New Roman"/>
          <w:sz w:val="24"/>
          <w:szCs w:val="24"/>
          <w:lang w:eastAsia="ar-SA"/>
        </w:rPr>
        <w:t>related to the</w:t>
      </w:r>
      <w:r w:rsidRPr="00FE3ED2">
        <w:rPr>
          <w:rFonts w:ascii="Times New Roman" w:eastAsia="Times New Roman" w:hAnsi="Times New Roman" w:cs="Times New Roman"/>
          <w:sz w:val="24"/>
          <w:szCs w:val="24"/>
          <w:lang w:eastAsia="ar-SA"/>
        </w:rPr>
        <w:t xml:space="preserve"> gradual detachment from the Israeli occupation’s economy along with increased credit facilities required to implement such policies on the ground and increased government transfer in the form of comprehensive balanced support to face the economic and social rebounds of the Coronavirus pandemic. This shall also involve a gradual return to current transfers provided to the private sector from abroad and to the normal amounts of international grants and </w:t>
      </w:r>
      <w:r w:rsidR="007D4535">
        <w:rPr>
          <w:rFonts w:ascii="Times New Roman" w:eastAsia="Times New Roman" w:hAnsi="Times New Roman" w:cs="Times New Roman"/>
          <w:sz w:val="24"/>
          <w:szCs w:val="24"/>
          <w:lang w:eastAsia="ar-SA"/>
        </w:rPr>
        <w:t>aids</w:t>
      </w:r>
      <w:r w:rsidRPr="00FE3ED2">
        <w:rPr>
          <w:rFonts w:ascii="Times New Roman" w:eastAsia="Times New Roman" w:hAnsi="Times New Roman" w:cs="Times New Roman"/>
          <w:sz w:val="24"/>
          <w:szCs w:val="24"/>
          <w:lang w:eastAsia="ar-SA"/>
        </w:rPr>
        <w:t xml:space="preserve"> provided to support the central government’s budget and other development projects as was the case in 2019.</w:t>
      </w:r>
    </w:p>
    <w:p w:rsidR="00232937" w:rsidRDefault="00232937" w:rsidP="007D4535">
      <w:pPr>
        <w:spacing w:after="0" w:line="240" w:lineRule="auto"/>
        <w:jc w:val="both"/>
        <w:rPr>
          <w:rFonts w:ascii="Times New Roman" w:eastAsia="Times New Roman" w:hAnsi="Times New Roman" w:cs="Times New Roman"/>
          <w:sz w:val="24"/>
          <w:szCs w:val="24"/>
          <w:lang w:eastAsia="ar-SA"/>
        </w:rPr>
      </w:pPr>
    </w:p>
    <w:p w:rsidR="00232937" w:rsidRDefault="00232937" w:rsidP="007D4535">
      <w:pPr>
        <w:spacing w:after="0" w:line="240" w:lineRule="auto"/>
        <w:jc w:val="both"/>
        <w:rPr>
          <w:rFonts w:ascii="Times New Roman" w:eastAsia="Times New Roman" w:hAnsi="Times New Roman" w:cs="Times New Roman"/>
          <w:sz w:val="24"/>
          <w:szCs w:val="24"/>
          <w:lang w:eastAsia="ar-SA"/>
        </w:rPr>
      </w:pPr>
    </w:p>
    <w:p w:rsidR="00232937" w:rsidRPr="00FE3ED2" w:rsidRDefault="00232937" w:rsidP="007D4535">
      <w:pPr>
        <w:spacing w:after="0" w:line="240" w:lineRule="auto"/>
        <w:jc w:val="both"/>
        <w:rPr>
          <w:rFonts w:ascii="Times New Roman" w:eastAsia="Times New Roman" w:hAnsi="Times New Roman" w:cs="Times New Roman"/>
          <w:sz w:val="24"/>
          <w:szCs w:val="24"/>
          <w:rtl/>
          <w:lang w:eastAsia="ar-SA"/>
        </w:rPr>
      </w:pPr>
    </w:p>
    <w:p w:rsidR="00BC40E2" w:rsidRDefault="00BC40E2" w:rsidP="00702B09">
      <w:pPr>
        <w:spacing w:after="0" w:line="240" w:lineRule="auto"/>
        <w:jc w:val="both"/>
        <w:rPr>
          <w:rFonts w:ascii="Times New Roman" w:eastAsia="Times New Roman" w:hAnsi="Times New Roman" w:cs="Times New Roman"/>
          <w:sz w:val="24"/>
          <w:szCs w:val="24"/>
          <w:lang w:eastAsia="ar-SA"/>
        </w:rPr>
      </w:pPr>
    </w:p>
    <w:p w:rsidR="00A273F6" w:rsidRPr="00EC007B" w:rsidRDefault="001D2BAA" w:rsidP="00A273F6">
      <w:pPr>
        <w:spacing w:after="0" w:line="240" w:lineRule="auto"/>
        <w:jc w:val="both"/>
        <w:rPr>
          <w:rFonts w:ascii="Times New Roman" w:eastAsia="Times New Roman" w:hAnsi="Times New Roman" w:cs="Times New Roman"/>
          <w:b/>
          <w:bCs/>
          <w:sz w:val="24"/>
          <w:szCs w:val="24"/>
          <w:lang w:eastAsia="ar-SA"/>
        </w:rPr>
      </w:pPr>
      <w:r w:rsidRPr="00EC007B">
        <w:rPr>
          <w:rFonts w:ascii="Times New Roman" w:eastAsia="Times New Roman" w:hAnsi="Times New Roman" w:cs="Times New Roman"/>
          <w:b/>
          <w:bCs/>
          <w:sz w:val="24"/>
          <w:szCs w:val="24"/>
          <w:lang w:eastAsia="ar-SA"/>
        </w:rPr>
        <w:lastRenderedPageBreak/>
        <w:t xml:space="preserve">Expectations </w:t>
      </w:r>
      <w:r w:rsidR="00B75DD5" w:rsidRPr="00EC007B">
        <w:rPr>
          <w:rFonts w:ascii="Times New Roman" w:eastAsia="Times New Roman" w:hAnsi="Times New Roman" w:cs="Times New Roman"/>
          <w:b/>
          <w:bCs/>
          <w:sz w:val="24"/>
          <w:szCs w:val="24"/>
          <w:lang w:eastAsia="ar-SA"/>
        </w:rPr>
        <w:t>of Base Scenario</w:t>
      </w:r>
    </w:p>
    <w:p w:rsidR="00A273F6" w:rsidRPr="00EC007B" w:rsidRDefault="00A273F6" w:rsidP="00AB7858">
      <w:pPr>
        <w:spacing w:after="0" w:line="240" w:lineRule="auto"/>
        <w:jc w:val="both"/>
        <w:rPr>
          <w:rFonts w:ascii="Times New Roman" w:eastAsia="Times New Roman" w:hAnsi="Times New Roman" w:cs="Times New Roman"/>
          <w:b/>
          <w:bCs/>
          <w:sz w:val="24"/>
          <w:szCs w:val="24"/>
          <w:lang w:eastAsia="ar-SA"/>
        </w:rPr>
      </w:pPr>
      <w:r w:rsidRPr="00EC007B">
        <w:rPr>
          <w:rFonts w:ascii="Times New Roman" w:eastAsia="Times New Roman" w:hAnsi="Times New Roman" w:cs="Times New Roman"/>
          <w:b/>
          <w:bCs/>
          <w:sz w:val="24"/>
          <w:szCs w:val="24"/>
          <w:lang w:eastAsia="ar-SA"/>
        </w:rPr>
        <w:t xml:space="preserve">Real </w:t>
      </w:r>
      <w:r w:rsidR="00AB7858" w:rsidRPr="00EC007B">
        <w:rPr>
          <w:rFonts w:ascii="Times New Roman" w:eastAsia="Times New Roman" w:hAnsi="Times New Roman" w:cs="Times New Roman"/>
          <w:b/>
          <w:bCs/>
          <w:sz w:val="24"/>
          <w:szCs w:val="24"/>
          <w:lang w:eastAsia="ar-SA"/>
        </w:rPr>
        <w:t>Sector</w:t>
      </w:r>
      <w:r w:rsidRPr="00EC007B">
        <w:rPr>
          <w:rFonts w:ascii="Times New Roman" w:eastAsia="Times New Roman" w:hAnsi="Times New Roman" w:cs="Times New Roman"/>
          <w:b/>
          <w:bCs/>
          <w:sz w:val="24"/>
          <w:szCs w:val="24"/>
          <w:lang w:eastAsia="ar-SA"/>
        </w:rPr>
        <w:t>:</w:t>
      </w:r>
    </w:p>
    <w:p w:rsidR="00D03B81" w:rsidRPr="00EC007B" w:rsidRDefault="00D03B81" w:rsidP="007D4535">
      <w:pPr>
        <w:spacing w:after="0" w:line="240" w:lineRule="auto"/>
        <w:jc w:val="both"/>
        <w:rPr>
          <w:rFonts w:ascii="Times New Roman" w:eastAsia="Times New Roman" w:hAnsi="Times New Roman" w:cs="Times New Roman"/>
          <w:sz w:val="24"/>
          <w:szCs w:val="24"/>
          <w:lang w:eastAsia="ar-SA"/>
        </w:rPr>
      </w:pPr>
      <w:r w:rsidRPr="00EC007B">
        <w:rPr>
          <w:rFonts w:ascii="Times New Roman" w:eastAsia="Times New Roman" w:hAnsi="Times New Roman" w:cs="Times New Roman"/>
          <w:sz w:val="24"/>
          <w:szCs w:val="24"/>
          <w:lang w:eastAsia="ar-SA"/>
        </w:rPr>
        <w:t>Gross Domestic Product (GDP): It is expect</w:t>
      </w:r>
      <w:r w:rsidR="007D4535" w:rsidRPr="00EC007B">
        <w:rPr>
          <w:rFonts w:ascii="Times New Roman" w:eastAsia="Times New Roman" w:hAnsi="Times New Roman" w:cs="Times New Roman"/>
          <w:sz w:val="24"/>
          <w:szCs w:val="24"/>
          <w:lang w:eastAsia="ar-SA"/>
        </w:rPr>
        <w:t>ed to increase by 6.0% in 2021. The</w:t>
      </w:r>
      <w:r w:rsidRPr="00EC007B">
        <w:rPr>
          <w:rFonts w:ascii="Times New Roman" w:eastAsia="Times New Roman" w:hAnsi="Times New Roman" w:cs="Times New Roman"/>
          <w:sz w:val="24"/>
          <w:szCs w:val="24"/>
          <w:lang w:eastAsia="ar-SA"/>
        </w:rPr>
        <w:t xml:space="preserve"> value of GDP per capita is expected to increase by 3.5%, and the value of gross consumption (private and public) is also </w:t>
      </w:r>
      <w:r w:rsidR="007D4535" w:rsidRPr="00EC007B">
        <w:rPr>
          <w:rFonts w:ascii="Times New Roman" w:eastAsia="Times New Roman" w:hAnsi="Times New Roman" w:cs="Times New Roman"/>
          <w:sz w:val="24"/>
          <w:szCs w:val="24"/>
          <w:lang w:eastAsia="ar-SA"/>
        </w:rPr>
        <w:t xml:space="preserve">expected to increase by 3.0%. </w:t>
      </w:r>
      <w:r w:rsidRPr="00EC007B">
        <w:rPr>
          <w:rFonts w:ascii="Times New Roman" w:eastAsia="Times New Roman" w:hAnsi="Times New Roman" w:cs="Times New Roman"/>
          <w:sz w:val="24"/>
          <w:szCs w:val="24"/>
          <w:lang w:eastAsia="ar-SA"/>
        </w:rPr>
        <w:t>The value of total investment is expected to increase by 31.5%</w:t>
      </w:r>
      <w:r w:rsidR="00BC297E" w:rsidRPr="00EC007B">
        <w:rPr>
          <w:rFonts w:ascii="Times New Roman" w:eastAsia="Times New Roman" w:hAnsi="Times New Roman" w:cs="Times New Roman"/>
          <w:sz w:val="24"/>
          <w:szCs w:val="24"/>
          <w:lang w:eastAsia="ar-SA"/>
        </w:rPr>
        <w:t xml:space="preserve"> compared with 2020</w:t>
      </w:r>
      <w:r w:rsidRPr="00EC007B">
        <w:rPr>
          <w:rFonts w:ascii="Times New Roman" w:eastAsia="Times New Roman" w:hAnsi="Times New Roman" w:cs="Times New Roman"/>
          <w:sz w:val="24"/>
          <w:szCs w:val="24"/>
          <w:lang w:eastAsia="ar-SA"/>
        </w:rPr>
        <w:t>.</w:t>
      </w:r>
    </w:p>
    <w:p w:rsidR="00A273F6" w:rsidRPr="00EC007B" w:rsidRDefault="00C14258" w:rsidP="00592E97">
      <w:pPr>
        <w:tabs>
          <w:tab w:val="left" w:pos="981"/>
          <w:tab w:val="left" w:pos="1393"/>
        </w:tabs>
        <w:spacing w:after="0" w:line="240" w:lineRule="auto"/>
        <w:jc w:val="both"/>
        <w:rPr>
          <w:rFonts w:ascii="Times New Roman" w:eastAsia="Times New Roman" w:hAnsi="Times New Roman" w:cs="Times New Roman"/>
          <w:sz w:val="24"/>
          <w:szCs w:val="24"/>
          <w:lang w:eastAsia="ar-SA"/>
        </w:rPr>
      </w:pPr>
      <w:r w:rsidRPr="00EC007B">
        <w:rPr>
          <w:rFonts w:ascii="Times New Roman" w:eastAsia="Times New Roman" w:hAnsi="Times New Roman" w:cs="Times New Roman"/>
          <w:sz w:val="24"/>
          <w:szCs w:val="24"/>
          <w:lang w:eastAsia="ar-SA"/>
        </w:rPr>
        <w:tab/>
      </w:r>
      <w:r w:rsidR="00592E97" w:rsidRPr="00EC007B">
        <w:rPr>
          <w:rFonts w:ascii="Times New Roman" w:eastAsia="Times New Roman" w:hAnsi="Times New Roman" w:cs="Times New Roman"/>
          <w:sz w:val="24"/>
          <w:szCs w:val="24"/>
          <w:lang w:eastAsia="ar-SA"/>
        </w:rPr>
        <w:tab/>
      </w:r>
    </w:p>
    <w:p w:rsidR="00D03B81" w:rsidRPr="00EC007B" w:rsidRDefault="007D4535" w:rsidP="00EC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9" w:lineRule="atLeast"/>
        <w:jc w:val="lowKashida"/>
        <w:rPr>
          <w:rFonts w:ascii="Times New Roman" w:eastAsia="Times New Roman" w:hAnsi="Times New Roman" w:cs="Times New Roman"/>
          <w:sz w:val="24"/>
          <w:szCs w:val="24"/>
          <w:lang w:eastAsia="ar-SA"/>
        </w:rPr>
      </w:pPr>
      <w:r w:rsidRPr="00EC007B">
        <w:rPr>
          <w:rFonts w:ascii="Times New Roman" w:eastAsia="Times New Roman" w:hAnsi="Times New Roman" w:cs="Times New Roman"/>
          <w:sz w:val="24"/>
          <w:szCs w:val="24"/>
          <w:lang w:eastAsia="ar-SA"/>
        </w:rPr>
        <w:t xml:space="preserve">At the </w:t>
      </w:r>
      <w:r w:rsidR="00D03B81" w:rsidRPr="00EC007B">
        <w:rPr>
          <w:rFonts w:ascii="Times New Roman" w:eastAsia="Times New Roman" w:hAnsi="Times New Roman" w:cs="Times New Roman"/>
          <w:sz w:val="24"/>
          <w:szCs w:val="24"/>
          <w:lang w:eastAsia="ar-SA"/>
        </w:rPr>
        <w:t>economic activities</w:t>
      </w:r>
      <w:r w:rsidRPr="00EC007B">
        <w:rPr>
          <w:rFonts w:ascii="Times New Roman" w:eastAsia="Times New Roman" w:hAnsi="Times New Roman" w:cs="Times New Roman"/>
          <w:sz w:val="24"/>
          <w:szCs w:val="24"/>
          <w:lang w:eastAsia="ar-SA"/>
        </w:rPr>
        <w:t xml:space="preserve"> level</w:t>
      </w:r>
      <w:r w:rsidR="00D03B81" w:rsidRPr="00EC007B">
        <w:rPr>
          <w:rFonts w:ascii="Times New Roman" w:eastAsia="Times New Roman" w:hAnsi="Times New Roman" w:cs="Times New Roman"/>
          <w:sz w:val="24"/>
          <w:szCs w:val="24"/>
          <w:lang w:eastAsia="ar-SA"/>
        </w:rPr>
        <w:t>, the value added of agricultural activities is expected to increase by 12.2%, industrial activities by 6.5%, construction activities by 42.4% and services activities by 2.6% during 2021 compared to 2020.</w:t>
      </w:r>
    </w:p>
    <w:p w:rsidR="00D03B81" w:rsidRPr="00EC007B" w:rsidRDefault="00D03B81" w:rsidP="002B56C9">
      <w:pPr>
        <w:spacing w:after="0" w:line="240" w:lineRule="auto"/>
        <w:jc w:val="both"/>
        <w:rPr>
          <w:rFonts w:ascii="Times New Roman" w:eastAsia="Times New Roman" w:hAnsi="Times New Roman" w:cs="Times New Roman"/>
          <w:sz w:val="24"/>
          <w:szCs w:val="24"/>
          <w:lang w:eastAsia="ar-SA"/>
        </w:rPr>
      </w:pPr>
    </w:p>
    <w:p w:rsidR="00D03B81" w:rsidRPr="00EC007B" w:rsidRDefault="00D03B81" w:rsidP="007D4535">
      <w:pPr>
        <w:spacing w:after="0" w:line="240" w:lineRule="auto"/>
        <w:jc w:val="both"/>
        <w:rPr>
          <w:rFonts w:ascii="Times New Roman" w:eastAsia="Times New Roman" w:hAnsi="Times New Roman" w:cs="Times New Roman"/>
          <w:sz w:val="24"/>
          <w:szCs w:val="24"/>
          <w:lang w:eastAsia="ar-SA"/>
        </w:rPr>
      </w:pPr>
      <w:r w:rsidRPr="00EC007B">
        <w:rPr>
          <w:rFonts w:ascii="Times New Roman" w:eastAsia="Times New Roman" w:hAnsi="Times New Roman" w:cs="Times New Roman"/>
          <w:sz w:val="24"/>
          <w:szCs w:val="24"/>
          <w:lang w:eastAsia="ar-SA"/>
        </w:rPr>
        <w:t xml:space="preserve">Work and Workers: </w:t>
      </w:r>
      <w:r w:rsidR="00E66F0F" w:rsidRPr="00EC007B">
        <w:rPr>
          <w:rFonts w:ascii="Times New Roman" w:eastAsia="Times New Roman" w:hAnsi="Times New Roman" w:cs="Times New Roman"/>
          <w:sz w:val="24"/>
          <w:szCs w:val="24"/>
          <w:lang w:eastAsia="ar-SA"/>
        </w:rPr>
        <w:t>T</w:t>
      </w:r>
      <w:r w:rsidRPr="00EC007B">
        <w:rPr>
          <w:rFonts w:ascii="Times New Roman" w:eastAsia="Times New Roman" w:hAnsi="Times New Roman" w:cs="Times New Roman"/>
          <w:sz w:val="24"/>
          <w:szCs w:val="24"/>
          <w:lang w:eastAsia="ar-SA"/>
        </w:rPr>
        <w:t xml:space="preserve">he unemployment rate is expected to </w:t>
      </w:r>
      <w:r w:rsidR="00E66F0F" w:rsidRPr="00EC007B">
        <w:rPr>
          <w:rFonts w:ascii="Times New Roman" w:eastAsia="Times New Roman" w:hAnsi="Times New Roman" w:cs="Times New Roman"/>
          <w:sz w:val="24"/>
          <w:szCs w:val="24"/>
          <w:lang w:eastAsia="ar-SA"/>
        </w:rPr>
        <w:t>reach</w:t>
      </w:r>
      <w:r w:rsidRPr="00EC007B">
        <w:rPr>
          <w:rFonts w:ascii="Times New Roman" w:eastAsia="Times New Roman" w:hAnsi="Times New Roman" w:cs="Times New Roman"/>
          <w:sz w:val="24"/>
          <w:szCs w:val="24"/>
          <w:lang w:eastAsia="ar-SA"/>
        </w:rPr>
        <w:t xml:space="preserve"> 27.2% </w:t>
      </w:r>
      <w:r w:rsidR="007D4535" w:rsidRPr="00EC007B">
        <w:rPr>
          <w:rFonts w:ascii="Times New Roman" w:eastAsia="Times New Roman" w:hAnsi="Times New Roman" w:cs="Times New Roman"/>
          <w:sz w:val="24"/>
          <w:szCs w:val="24"/>
          <w:lang w:eastAsia="ar-SA"/>
        </w:rPr>
        <w:t xml:space="preserve">in 2021 </w:t>
      </w:r>
      <w:r w:rsidRPr="00EC007B">
        <w:rPr>
          <w:rFonts w:ascii="Times New Roman" w:eastAsia="Times New Roman" w:hAnsi="Times New Roman" w:cs="Times New Roman"/>
          <w:sz w:val="24"/>
          <w:szCs w:val="24"/>
          <w:lang w:eastAsia="ar-SA"/>
        </w:rPr>
        <w:t>compared with 27.8% in 2020.</w:t>
      </w:r>
    </w:p>
    <w:p w:rsidR="00A273F6" w:rsidRPr="00EC007B" w:rsidRDefault="00A273F6" w:rsidP="00F5276B">
      <w:pPr>
        <w:spacing w:after="0" w:line="240" w:lineRule="auto"/>
        <w:jc w:val="both"/>
        <w:rPr>
          <w:rFonts w:ascii="Times New Roman" w:eastAsia="Times New Roman" w:hAnsi="Times New Roman" w:cs="Times New Roman"/>
          <w:sz w:val="24"/>
          <w:szCs w:val="24"/>
          <w:lang w:eastAsia="ar-SA"/>
        </w:rPr>
      </w:pPr>
      <w:r w:rsidRPr="00EC007B">
        <w:rPr>
          <w:rFonts w:ascii="Times New Roman" w:eastAsia="Times New Roman" w:hAnsi="Times New Roman" w:cs="Times New Roman"/>
          <w:b/>
          <w:bCs/>
          <w:sz w:val="24"/>
          <w:szCs w:val="24"/>
          <w:lang w:eastAsia="ar-SA"/>
        </w:rPr>
        <w:t xml:space="preserve">External </w:t>
      </w:r>
      <w:r w:rsidR="00F5276B" w:rsidRPr="00EC007B">
        <w:rPr>
          <w:rFonts w:ascii="Times New Roman" w:eastAsia="Times New Roman" w:hAnsi="Times New Roman" w:cs="Times New Roman"/>
          <w:b/>
          <w:bCs/>
          <w:sz w:val="24"/>
          <w:szCs w:val="24"/>
          <w:lang w:eastAsia="ar-SA"/>
        </w:rPr>
        <w:t>Sector</w:t>
      </w:r>
      <w:r w:rsidRPr="00EC007B">
        <w:rPr>
          <w:rFonts w:ascii="Times New Roman" w:eastAsia="Times New Roman" w:hAnsi="Times New Roman" w:cs="Times New Roman"/>
          <w:b/>
          <w:bCs/>
          <w:sz w:val="24"/>
          <w:szCs w:val="24"/>
          <w:lang w:eastAsia="ar-SA"/>
        </w:rPr>
        <w:t xml:space="preserve">: </w:t>
      </w:r>
    </w:p>
    <w:p w:rsidR="00D03B81" w:rsidRPr="00EC007B" w:rsidRDefault="00D03B81" w:rsidP="000530E8">
      <w:pPr>
        <w:spacing w:after="0" w:line="240" w:lineRule="auto"/>
        <w:jc w:val="both"/>
        <w:rPr>
          <w:rFonts w:ascii="Times New Roman" w:eastAsia="Times New Roman" w:hAnsi="Times New Roman" w:cs="Times New Roman"/>
          <w:sz w:val="24"/>
          <w:szCs w:val="24"/>
          <w:lang w:eastAsia="ar-SA"/>
        </w:rPr>
      </w:pPr>
      <w:r w:rsidRPr="00D03B81">
        <w:rPr>
          <w:rFonts w:ascii="Times New Roman" w:eastAsia="Times New Roman" w:hAnsi="Times New Roman" w:cs="Times New Roman"/>
          <w:sz w:val="24"/>
          <w:szCs w:val="24"/>
          <w:lang w:eastAsia="ar-SA"/>
        </w:rPr>
        <w:t>A de</w:t>
      </w:r>
      <w:r w:rsidR="00B75DD5" w:rsidRPr="00D03B81">
        <w:rPr>
          <w:rFonts w:ascii="Times New Roman" w:eastAsia="Times New Roman" w:hAnsi="Times New Roman" w:cs="Times New Roman"/>
          <w:sz w:val="24"/>
          <w:szCs w:val="24"/>
          <w:lang w:eastAsia="ar-SA"/>
        </w:rPr>
        <w:t xml:space="preserve">crease </w:t>
      </w:r>
      <w:r w:rsidR="000530E8">
        <w:rPr>
          <w:rFonts w:ascii="Times New Roman" w:eastAsia="Times New Roman" w:hAnsi="Times New Roman" w:cs="Times New Roman"/>
          <w:sz w:val="24"/>
          <w:szCs w:val="24"/>
          <w:lang w:eastAsia="ar-SA"/>
        </w:rPr>
        <w:t>of</w:t>
      </w:r>
      <w:r w:rsidR="00B75DD5" w:rsidRPr="00D03B81">
        <w:rPr>
          <w:rFonts w:ascii="Times New Roman" w:eastAsia="Times New Roman" w:hAnsi="Times New Roman" w:cs="Times New Roman"/>
          <w:sz w:val="24"/>
          <w:szCs w:val="24"/>
          <w:lang w:eastAsia="ar-SA"/>
        </w:rPr>
        <w:t xml:space="preserve"> </w:t>
      </w:r>
      <w:r w:rsidRPr="00D03B81">
        <w:rPr>
          <w:rFonts w:ascii="Times New Roman" w:eastAsia="Times New Roman" w:hAnsi="Times New Roman" w:cs="Times New Roman"/>
          <w:sz w:val="24"/>
          <w:szCs w:val="24"/>
          <w:lang w:eastAsia="ar-SA"/>
        </w:rPr>
        <w:t>10.8</w:t>
      </w:r>
      <w:r w:rsidR="00B75DD5" w:rsidRPr="00D03B81">
        <w:rPr>
          <w:rFonts w:ascii="Times New Roman" w:eastAsia="Times New Roman" w:hAnsi="Times New Roman" w:cs="Times New Roman"/>
          <w:sz w:val="24"/>
          <w:szCs w:val="24"/>
          <w:lang w:eastAsia="ar-SA"/>
        </w:rPr>
        <w:t xml:space="preserve">% </w:t>
      </w:r>
      <w:r w:rsidR="000530E8">
        <w:rPr>
          <w:rFonts w:ascii="Times New Roman" w:eastAsia="Times New Roman" w:hAnsi="Times New Roman" w:cs="Times New Roman"/>
          <w:sz w:val="24"/>
          <w:szCs w:val="24"/>
          <w:lang w:eastAsia="ar-SA"/>
        </w:rPr>
        <w:t xml:space="preserve">in Palestine’s </w:t>
      </w:r>
      <w:r w:rsidR="00B75DD5" w:rsidRPr="00D03B81">
        <w:rPr>
          <w:rFonts w:ascii="Times New Roman" w:eastAsia="Times New Roman" w:hAnsi="Times New Roman" w:cs="Times New Roman"/>
          <w:sz w:val="24"/>
          <w:szCs w:val="24"/>
          <w:lang w:eastAsia="ar-SA"/>
        </w:rPr>
        <w:t>net current account</w:t>
      </w:r>
      <w:r w:rsidR="00B75DD5" w:rsidRPr="00D03B81">
        <w:rPr>
          <w:rStyle w:val="FootnoteReference"/>
          <w:rFonts w:ascii="Times New Roman" w:eastAsia="Times New Roman" w:hAnsi="Times New Roman" w:cs="Times New Roman"/>
          <w:sz w:val="24"/>
          <w:szCs w:val="24"/>
          <w:lang w:eastAsia="ar-SA"/>
        </w:rPr>
        <w:footnoteReference w:id="5"/>
      </w:r>
      <w:r w:rsidR="00B75DD5" w:rsidRPr="00D03B81">
        <w:rPr>
          <w:rFonts w:ascii="Times New Roman" w:eastAsia="Times New Roman" w:hAnsi="Times New Roman" w:cs="Times New Roman"/>
          <w:sz w:val="24"/>
          <w:szCs w:val="24"/>
          <w:lang w:eastAsia="ar-SA"/>
        </w:rPr>
        <w:t xml:space="preserve"> deficit</w:t>
      </w:r>
      <w:r w:rsidR="0083163D" w:rsidRPr="00D03B81">
        <w:rPr>
          <w:rFonts w:ascii="Times New Roman" w:eastAsia="Times New Roman" w:hAnsi="Times New Roman" w:cs="Times New Roman"/>
          <w:sz w:val="24"/>
          <w:szCs w:val="24"/>
          <w:lang w:eastAsia="ar-SA"/>
        </w:rPr>
        <w:t xml:space="preserve"> value</w:t>
      </w:r>
      <w:r w:rsidR="000530E8">
        <w:rPr>
          <w:rFonts w:ascii="Times New Roman" w:eastAsia="Times New Roman" w:hAnsi="Times New Roman" w:cs="Times New Roman"/>
          <w:sz w:val="24"/>
          <w:szCs w:val="24"/>
          <w:lang w:eastAsia="ar-SA"/>
        </w:rPr>
        <w:t xml:space="preserve"> </w:t>
      </w:r>
      <w:r w:rsidR="000530E8" w:rsidRPr="00D03B81">
        <w:rPr>
          <w:rFonts w:ascii="Times New Roman" w:eastAsia="Times New Roman" w:hAnsi="Times New Roman" w:cs="Times New Roman"/>
          <w:sz w:val="24"/>
          <w:szCs w:val="24"/>
          <w:lang w:eastAsia="ar-SA"/>
        </w:rPr>
        <w:t>is anticipated</w:t>
      </w:r>
      <w:r w:rsidRPr="00D03B81">
        <w:rPr>
          <w:rFonts w:ascii="Times New Roman" w:eastAsia="Times New Roman" w:hAnsi="Times New Roman" w:cs="Times New Roman"/>
          <w:sz w:val="24"/>
          <w:szCs w:val="24"/>
          <w:lang w:eastAsia="ar-SA"/>
        </w:rPr>
        <w:t xml:space="preserve">, as a result of </w:t>
      </w:r>
      <w:r w:rsidRPr="00EC007B">
        <w:rPr>
          <w:rFonts w:ascii="Times New Roman" w:eastAsia="Times New Roman" w:hAnsi="Times New Roman" w:cs="Times New Roman"/>
          <w:sz w:val="24"/>
          <w:szCs w:val="24"/>
          <w:lang w:eastAsia="ar-SA"/>
        </w:rPr>
        <w:t xml:space="preserve">an increase </w:t>
      </w:r>
      <w:r w:rsidR="000530E8" w:rsidRPr="00EC007B">
        <w:rPr>
          <w:rFonts w:ascii="Times New Roman" w:eastAsia="Times New Roman" w:hAnsi="Times New Roman" w:cs="Times New Roman"/>
          <w:sz w:val="24"/>
          <w:szCs w:val="24"/>
          <w:lang w:eastAsia="ar-SA"/>
        </w:rPr>
        <w:t xml:space="preserve">of 10.1% </w:t>
      </w:r>
      <w:r w:rsidRPr="00EC007B">
        <w:rPr>
          <w:rFonts w:ascii="Times New Roman" w:eastAsia="Times New Roman" w:hAnsi="Times New Roman" w:cs="Times New Roman"/>
          <w:sz w:val="24"/>
          <w:szCs w:val="24"/>
          <w:lang w:eastAsia="ar-SA"/>
        </w:rPr>
        <w:t xml:space="preserve">in the value of net factor income and an increase </w:t>
      </w:r>
      <w:r w:rsidR="000530E8" w:rsidRPr="00EC007B">
        <w:rPr>
          <w:rFonts w:ascii="Times New Roman" w:eastAsia="Times New Roman" w:hAnsi="Times New Roman" w:cs="Times New Roman"/>
          <w:sz w:val="24"/>
          <w:szCs w:val="24"/>
          <w:lang w:eastAsia="ar-SA"/>
        </w:rPr>
        <w:t xml:space="preserve">54.4% </w:t>
      </w:r>
      <w:r w:rsidRPr="00EC007B">
        <w:rPr>
          <w:rFonts w:ascii="Times New Roman" w:eastAsia="Times New Roman" w:hAnsi="Times New Roman" w:cs="Times New Roman"/>
          <w:sz w:val="24"/>
          <w:szCs w:val="24"/>
          <w:lang w:eastAsia="ar-SA"/>
        </w:rPr>
        <w:t>in the</w:t>
      </w:r>
      <w:r w:rsidR="000530E8" w:rsidRPr="00EC007B">
        <w:rPr>
          <w:rFonts w:ascii="Times New Roman" w:eastAsia="Times New Roman" w:hAnsi="Times New Roman" w:cs="Times New Roman"/>
          <w:sz w:val="24"/>
          <w:szCs w:val="24"/>
          <w:lang w:eastAsia="ar-SA"/>
        </w:rPr>
        <w:t xml:space="preserve"> value of net current transfers</w:t>
      </w:r>
      <w:r w:rsidRPr="00EC007B">
        <w:rPr>
          <w:rFonts w:ascii="Times New Roman" w:eastAsia="Times New Roman" w:hAnsi="Times New Roman" w:cs="Times New Roman"/>
          <w:sz w:val="24"/>
          <w:szCs w:val="24"/>
          <w:lang w:eastAsia="ar-SA"/>
        </w:rPr>
        <w:t xml:space="preserve">, despite the increase </w:t>
      </w:r>
      <w:r w:rsidR="000530E8" w:rsidRPr="00EC007B">
        <w:rPr>
          <w:rFonts w:ascii="Times New Roman" w:eastAsia="Times New Roman" w:hAnsi="Times New Roman" w:cs="Times New Roman"/>
          <w:sz w:val="24"/>
          <w:szCs w:val="24"/>
          <w:lang w:eastAsia="ar-SA"/>
        </w:rPr>
        <w:t xml:space="preserve">of 9.9% </w:t>
      </w:r>
      <w:r w:rsidRPr="00EC007B">
        <w:rPr>
          <w:rFonts w:ascii="Times New Roman" w:eastAsia="Times New Roman" w:hAnsi="Times New Roman" w:cs="Times New Roman"/>
          <w:sz w:val="24"/>
          <w:szCs w:val="24"/>
          <w:lang w:eastAsia="ar-SA"/>
        </w:rPr>
        <w:t>in the value of the trade b</w:t>
      </w:r>
      <w:r w:rsidR="00FE3ED2" w:rsidRPr="00EC007B">
        <w:rPr>
          <w:rFonts w:ascii="Times New Roman" w:eastAsia="Times New Roman" w:hAnsi="Times New Roman" w:cs="Times New Roman"/>
          <w:sz w:val="24"/>
          <w:szCs w:val="24"/>
          <w:lang w:eastAsia="ar-SA"/>
        </w:rPr>
        <w:t>al</w:t>
      </w:r>
      <w:r w:rsidR="000530E8" w:rsidRPr="00EC007B">
        <w:rPr>
          <w:rFonts w:ascii="Times New Roman" w:eastAsia="Times New Roman" w:hAnsi="Times New Roman" w:cs="Times New Roman"/>
          <w:sz w:val="24"/>
          <w:szCs w:val="24"/>
          <w:lang w:eastAsia="ar-SA"/>
        </w:rPr>
        <w:t>ance deficit</w:t>
      </w:r>
      <w:r w:rsidR="00FE3ED2" w:rsidRPr="00EC007B">
        <w:rPr>
          <w:rFonts w:ascii="Times New Roman" w:eastAsia="Times New Roman" w:hAnsi="Times New Roman" w:cs="Times New Roman"/>
          <w:sz w:val="24"/>
          <w:szCs w:val="24"/>
          <w:lang w:eastAsia="ar-SA"/>
        </w:rPr>
        <w:t>.  The</w:t>
      </w:r>
      <w:r w:rsidRPr="00EC007B">
        <w:rPr>
          <w:rFonts w:ascii="Times New Roman" w:eastAsia="Times New Roman" w:hAnsi="Times New Roman" w:cs="Times New Roman"/>
          <w:sz w:val="24"/>
          <w:szCs w:val="24"/>
          <w:lang w:eastAsia="ar-SA"/>
        </w:rPr>
        <w:t xml:space="preserve"> value of gross national income and gross national disposable income will also increase</w:t>
      </w:r>
      <w:r w:rsidR="000530E8" w:rsidRPr="00EC007B">
        <w:rPr>
          <w:rFonts w:ascii="Times New Roman" w:eastAsia="Times New Roman" w:hAnsi="Times New Roman" w:cs="Times New Roman"/>
          <w:sz w:val="24"/>
          <w:szCs w:val="24"/>
          <w:lang w:eastAsia="ar-SA"/>
        </w:rPr>
        <w:t xml:space="preserve"> in 2021</w:t>
      </w:r>
      <w:r w:rsidRPr="00EC007B">
        <w:rPr>
          <w:rFonts w:ascii="Times New Roman" w:eastAsia="Times New Roman" w:hAnsi="Times New Roman" w:cs="Times New Roman"/>
          <w:sz w:val="24"/>
          <w:szCs w:val="24"/>
          <w:lang w:eastAsia="ar-SA"/>
        </w:rPr>
        <w:t xml:space="preserve"> by 6.6% and 9.0%, respectively</w:t>
      </w:r>
      <w:r w:rsidR="00E66F0F" w:rsidRPr="00EC007B">
        <w:rPr>
          <w:rFonts w:ascii="Times New Roman" w:eastAsia="Times New Roman" w:hAnsi="Times New Roman" w:cs="Times New Roman"/>
          <w:sz w:val="24"/>
          <w:szCs w:val="24"/>
          <w:lang w:eastAsia="ar-SA"/>
        </w:rPr>
        <w:t>, compared to 2020</w:t>
      </w:r>
      <w:r w:rsidRPr="00EC007B">
        <w:rPr>
          <w:rFonts w:ascii="Times New Roman" w:eastAsia="Times New Roman" w:hAnsi="Times New Roman" w:cs="Times New Roman"/>
          <w:sz w:val="24"/>
          <w:szCs w:val="24"/>
          <w:lang w:eastAsia="ar-SA"/>
        </w:rPr>
        <w:t>.</w:t>
      </w:r>
    </w:p>
    <w:p w:rsidR="005C0355" w:rsidRPr="005C094B" w:rsidRDefault="005C0355" w:rsidP="005C0355">
      <w:pPr>
        <w:spacing w:after="0" w:line="240" w:lineRule="auto"/>
        <w:jc w:val="both"/>
        <w:rPr>
          <w:rFonts w:ascii="Times New Roman" w:eastAsia="Times New Roman" w:hAnsi="Times New Roman" w:cs="Times New Roman"/>
          <w:sz w:val="24"/>
          <w:szCs w:val="24"/>
          <w:lang w:eastAsia="ar-SA"/>
        </w:rPr>
      </w:pPr>
    </w:p>
    <w:p w:rsidR="00A273F6" w:rsidRPr="00EC007B" w:rsidRDefault="009E206E" w:rsidP="009E206E">
      <w:pPr>
        <w:numPr>
          <w:ilvl w:val="0"/>
          <w:numId w:val="6"/>
        </w:numPr>
        <w:spacing w:after="0" w:line="240" w:lineRule="auto"/>
        <w:jc w:val="both"/>
        <w:rPr>
          <w:rFonts w:ascii="Times New Roman" w:eastAsia="Times New Roman" w:hAnsi="Times New Roman" w:cs="Times New Roman"/>
          <w:b/>
          <w:bCs/>
          <w:sz w:val="24"/>
          <w:szCs w:val="24"/>
          <w:lang w:eastAsia="ar-SA"/>
        </w:rPr>
      </w:pPr>
      <w:r w:rsidRPr="00EC007B">
        <w:rPr>
          <w:rFonts w:ascii="Times New Roman" w:eastAsia="Times New Roman" w:hAnsi="Times New Roman" w:cs="Times New Roman"/>
          <w:b/>
          <w:bCs/>
          <w:sz w:val="24"/>
          <w:szCs w:val="24"/>
          <w:lang w:eastAsia="ar-SA"/>
        </w:rPr>
        <w:t>Optimistic Scenario</w:t>
      </w:r>
    </w:p>
    <w:p w:rsidR="003F45A3" w:rsidRDefault="003F45A3" w:rsidP="009D7625">
      <w:pPr>
        <w:spacing w:after="0" w:line="240" w:lineRule="auto"/>
        <w:jc w:val="both"/>
        <w:rPr>
          <w:rFonts w:ascii="Times New Roman" w:eastAsia="Times New Roman" w:hAnsi="Times New Roman" w:cs="Times New Roman"/>
          <w:sz w:val="24"/>
          <w:szCs w:val="24"/>
          <w:lang w:eastAsia="ar-SA"/>
        </w:rPr>
      </w:pPr>
      <w:r w:rsidRPr="00FE3ED2">
        <w:rPr>
          <w:rFonts w:ascii="Times New Roman" w:eastAsia="Times New Roman" w:hAnsi="Times New Roman" w:cs="Times New Roman"/>
          <w:sz w:val="24"/>
          <w:szCs w:val="24"/>
          <w:lang w:eastAsia="ar-SA"/>
        </w:rPr>
        <w:t xml:space="preserve">This scenario is based on the assumption that the political situation will improve compared to 2020 through improvements at the local level with developments in </w:t>
      </w:r>
      <w:r w:rsidR="000530E8">
        <w:rPr>
          <w:rFonts w:ascii="Times New Roman" w:eastAsia="Times New Roman" w:hAnsi="Times New Roman" w:cs="Times New Roman"/>
          <w:sz w:val="24"/>
          <w:szCs w:val="24"/>
          <w:lang w:eastAsia="ar-SA"/>
        </w:rPr>
        <w:t xml:space="preserve">the </w:t>
      </w:r>
      <w:r w:rsidRPr="00FE3ED2">
        <w:rPr>
          <w:rFonts w:ascii="Times New Roman" w:eastAsia="Times New Roman" w:hAnsi="Times New Roman" w:cs="Times New Roman"/>
          <w:sz w:val="24"/>
          <w:szCs w:val="24"/>
          <w:lang w:eastAsia="ar-SA"/>
        </w:rPr>
        <w:t xml:space="preserve">Palestinian reconciliation efforts and </w:t>
      </w:r>
      <w:r w:rsidR="000530E8">
        <w:rPr>
          <w:rFonts w:ascii="Times New Roman" w:eastAsia="Times New Roman" w:hAnsi="Times New Roman" w:cs="Times New Roman"/>
          <w:sz w:val="24"/>
          <w:szCs w:val="24"/>
          <w:lang w:eastAsia="ar-SA"/>
        </w:rPr>
        <w:t xml:space="preserve">the </w:t>
      </w:r>
      <w:r w:rsidRPr="00FE3ED2">
        <w:rPr>
          <w:rFonts w:ascii="Times New Roman" w:eastAsia="Times New Roman" w:hAnsi="Times New Roman" w:cs="Times New Roman"/>
          <w:sz w:val="24"/>
          <w:szCs w:val="24"/>
          <w:lang w:eastAsia="ar-SA"/>
        </w:rPr>
        <w:t xml:space="preserve">preparations for Palestinian parliamentary and presidential elections in the West Bank and </w:t>
      </w:r>
      <w:r w:rsidR="000530E8">
        <w:rPr>
          <w:rFonts w:ascii="Times New Roman" w:eastAsia="Times New Roman" w:hAnsi="Times New Roman" w:cs="Times New Roman"/>
          <w:sz w:val="24"/>
          <w:szCs w:val="24"/>
          <w:lang w:eastAsia="ar-SA"/>
        </w:rPr>
        <w:t>Gaza Strip. On the</w:t>
      </w:r>
      <w:r w:rsidRPr="00FE3ED2">
        <w:rPr>
          <w:rFonts w:ascii="Times New Roman" w:eastAsia="Times New Roman" w:hAnsi="Times New Roman" w:cs="Times New Roman"/>
          <w:sz w:val="24"/>
          <w:szCs w:val="24"/>
          <w:lang w:eastAsia="ar-SA"/>
        </w:rPr>
        <w:t xml:space="preserve"> international </w:t>
      </w:r>
      <w:r w:rsidR="000530E8">
        <w:rPr>
          <w:rFonts w:ascii="Times New Roman" w:eastAsia="Times New Roman" w:hAnsi="Times New Roman" w:cs="Times New Roman"/>
          <w:sz w:val="24"/>
          <w:szCs w:val="24"/>
          <w:lang w:eastAsia="ar-SA"/>
        </w:rPr>
        <w:t>side</w:t>
      </w:r>
      <w:r w:rsidRPr="00FE3ED2">
        <w:rPr>
          <w:rFonts w:ascii="Times New Roman" w:eastAsia="Times New Roman" w:hAnsi="Times New Roman" w:cs="Times New Roman"/>
          <w:sz w:val="24"/>
          <w:szCs w:val="24"/>
          <w:lang w:eastAsia="ar-SA"/>
        </w:rPr>
        <w:t xml:space="preserve">, the </w:t>
      </w:r>
      <w:r w:rsidR="000530E8" w:rsidRPr="00FE3ED2">
        <w:rPr>
          <w:rFonts w:ascii="Times New Roman" w:eastAsia="Times New Roman" w:hAnsi="Times New Roman" w:cs="Times New Roman"/>
          <w:sz w:val="24"/>
          <w:szCs w:val="24"/>
          <w:lang w:eastAsia="ar-SA"/>
        </w:rPr>
        <w:t>political</w:t>
      </w:r>
      <w:r w:rsidRPr="00FE3ED2">
        <w:rPr>
          <w:rFonts w:ascii="Times New Roman" w:eastAsia="Times New Roman" w:hAnsi="Times New Roman" w:cs="Times New Roman"/>
          <w:sz w:val="24"/>
          <w:szCs w:val="24"/>
          <w:lang w:eastAsia="ar-SA"/>
        </w:rPr>
        <w:t xml:space="preserve"> vision of the new American administration will become clear and will be based on international agreements and references. An international conference will be held to discuss all current political and economic issues between Palestine and the Israeli occupation. Such an effort will reflect positively on the political and economic situation as it is expected that United States assistance will return to </w:t>
      </w:r>
      <w:r w:rsidR="000530E8">
        <w:rPr>
          <w:rFonts w:ascii="Times New Roman" w:eastAsia="Times New Roman" w:hAnsi="Times New Roman" w:cs="Times New Roman"/>
          <w:sz w:val="24"/>
          <w:szCs w:val="24"/>
          <w:lang w:eastAsia="ar-SA"/>
        </w:rPr>
        <w:t xml:space="preserve">its </w:t>
      </w:r>
      <w:r w:rsidRPr="00FE3ED2">
        <w:rPr>
          <w:rFonts w:ascii="Times New Roman" w:eastAsia="Times New Roman" w:hAnsi="Times New Roman" w:cs="Times New Roman"/>
          <w:sz w:val="24"/>
          <w:szCs w:val="24"/>
          <w:lang w:eastAsia="ar-SA"/>
        </w:rPr>
        <w:t>pre-2019 lev</w:t>
      </w:r>
      <w:r w:rsidR="000530E8">
        <w:rPr>
          <w:rFonts w:ascii="Times New Roman" w:eastAsia="Times New Roman" w:hAnsi="Times New Roman" w:cs="Times New Roman"/>
          <w:sz w:val="24"/>
          <w:szCs w:val="24"/>
          <w:lang w:eastAsia="ar-SA"/>
        </w:rPr>
        <w:t>els.  Thus,</w:t>
      </w:r>
      <w:r w:rsidRPr="00FE3ED2">
        <w:rPr>
          <w:rFonts w:ascii="Times New Roman" w:eastAsia="Times New Roman" w:hAnsi="Times New Roman" w:cs="Times New Roman"/>
          <w:sz w:val="24"/>
          <w:szCs w:val="24"/>
          <w:lang w:eastAsia="ar-SA"/>
        </w:rPr>
        <w:t xml:space="preserve"> there will be an increase in </w:t>
      </w:r>
      <w:r w:rsidR="00173CF7">
        <w:rPr>
          <w:rFonts w:ascii="Times New Roman" w:eastAsia="Times New Roman" w:hAnsi="Times New Roman" w:cs="Times New Roman"/>
          <w:sz w:val="24"/>
          <w:szCs w:val="24"/>
          <w:lang w:eastAsia="ar-SA"/>
        </w:rPr>
        <w:t xml:space="preserve">the </w:t>
      </w:r>
      <w:r w:rsidRPr="00FE3ED2">
        <w:rPr>
          <w:rFonts w:ascii="Times New Roman" w:eastAsia="Times New Roman" w:hAnsi="Times New Roman" w:cs="Times New Roman"/>
          <w:sz w:val="24"/>
          <w:szCs w:val="24"/>
          <w:lang w:eastAsia="ar-SA"/>
        </w:rPr>
        <w:t>aid</w:t>
      </w:r>
      <w:r w:rsidR="00173CF7">
        <w:rPr>
          <w:rFonts w:ascii="Times New Roman" w:eastAsia="Times New Roman" w:hAnsi="Times New Roman" w:cs="Times New Roman"/>
          <w:sz w:val="24"/>
          <w:szCs w:val="24"/>
          <w:lang w:eastAsia="ar-SA"/>
        </w:rPr>
        <w:t>s</w:t>
      </w:r>
      <w:r w:rsidRPr="00FE3ED2">
        <w:rPr>
          <w:rFonts w:ascii="Times New Roman" w:eastAsia="Times New Roman" w:hAnsi="Times New Roman" w:cs="Times New Roman"/>
          <w:sz w:val="24"/>
          <w:szCs w:val="24"/>
          <w:lang w:eastAsia="ar-SA"/>
        </w:rPr>
        <w:t xml:space="preserve"> provided by donor countries to </w:t>
      </w:r>
      <w:r w:rsidR="00173CF7">
        <w:rPr>
          <w:rFonts w:ascii="Times New Roman" w:eastAsia="Times New Roman" w:hAnsi="Times New Roman" w:cs="Times New Roman"/>
          <w:sz w:val="24"/>
          <w:szCs w:val="24"/>
          <w:lang w:eastAsia="ar-SA"/>
        </w:rPr>
        <w:t>finance</w:t>
      </w:r>
      <w:r w:rsidRPr="00FE3ED2">
        <w:rPr>
          <w:rFonts w:ascii="Times New Roman" w:eastAsia="Times New Roman" w:hAnsi="Times New Roman" w:cs="Times New Roman"/>
          <w:sz w:val="24"/>
          <w:szCs w:val="24"/>
          <w:lang w:eastAsia="ar-SA"/>
        </w:rPr>
        <w:t xml:space="preserve"> the Palestinian central government’s budget, and </w:t>
      </w:r>
      <w:r w:rsidR="00173CF7">
        <w:rPr>
          <w:rFonts w:ascii="Times New Roman" w:eastAsia="Times New Roman" w:hAnsi="Times New Roman" w:cs="Times New Roman"/>
          <w:sz w:val="24"/>
          <w:szCs w:val="24"/>
          <w:lang w:eastAsia="ar-SA"/>
        </w:rPr>
        <w:t>the support</w:t>
      </w:r>
      <w:r w:rsidRPr="00FE3ED2">
        <w:rPr>
          <w:rFonts w:ascii="Times New Roman" w:eastAsia="Times New Roman" w:hAnsi="Times New Roman" w:cs="Times New Roman"/>
          <w:sz w:val="24"/>
          <w:szCs w:val="24"/>
          <w:lang w:eastAsia="ar-SA"/>
        </w:rPr>
        <w:t xml:space="preserve"> for development projects</w:t>
      </w:r>
      <w:r w:rsidR="00173CF7">
        <w:rPr>
          <w:rFonts w:ascii="Times New Roman" w:eastAsia="Times New Roman" w:hAnsi="Times New Roman" w:cs="Times New Roman"/>
          <w:sz w:val="24"/>
          <w:szCs w:val="24"/>
          <w:lang w:eastAsia="ar-SA"/>
        </w:rPr>
        <w:t xml:space="preserve"> will increase, as well as increasing the support provided to development projects and </w:t>
      </w:r>
      <w:r w:rsidRPr="00FE3ED2">
        <w:rPr>
          <w:rFonts w:ascii="Times New Roman" w:eastAsia="Times New Roman" w:hAnsi="Times New Roman" w:cs="Times New Roman"/>
          <w:sz w:val="24"/>
          <w:szCs w:val="24"/>
          <w:lang w:eastAsia="ar-SA"/>
        </w:rPr>
        <w:t xml:space="preserve">credit facilities needed to fund youth projects in line with the Palestinian government’s plan to support youth and combat unemployment and poverty. This scenario is also based on combating tax evasion and raising the efficiency of tax collection by increasing the numbers of staff and </w:t>
      </w:r>
      <w:r w:rsidR="00173CF7">
        <w:rPr>
          <w:rFonts w:ascii="Times New Roman" w:eastAsia="Times New Roman" w:hAnsi="Times New Roman" w:cs="Times New Roman"/>
          <w:sz w:val="24"/>
          <w:szCs w:val="24"/>
          <w:lang w:eastAsia="ar-SA"/>
        </w:rPr>
        <w:t xml:space="preserve">using </w:t>
      </w:r>
      <w:r w:rsidRPr="00FE3ED2">
        <w:rPr>
          <w:rFonts w:ascii="Times New Roman" w:eastAsia="Times New Roman" w:hAnsi="Times New Roman" w:cs="Times New Roman"/>
          <w:sz w:val="24"/>
          <w:szCs w:val="24"/>
          <w:lang w:eastAsia="ar-SA"/>
        </w:rPr>
        <w:t xml:space="preserve">modern technological systems, and through improving income tax and VAT collection (both </w:t>
      </w:r>
      <w:r w:rsidR="0049320D" w:rsidRPr="00FE3ED2">
        <w:rPr>
          <w:rFonts w:ascii="Times New Roman" w:eastAsia="Times New Roman" w:hAnsi="Times New Roman" w:cs="Times New Roman"/>
          <w:sz w:val="24"/>
          <w:szCs w:val="24"/>
          <w:lang w:eastAsia="ar-SA"/>
        </w:rPr>
        <w:t>domestic</w:t>
      </w:r>
      <w:r w:rsidRPr="00FE3ED2">
        <w:rPr>
          <w:rFonts w:ascii="Times New Roman" w:eastAsia="Times New Roman" w:hAnsi="Times New Roman" w:cs="Times New Roman"/>
          <w:sz w:val="24"/>
          <w:szCs w:val="24"/>
          <w:lang w:eastAsia="ar-SA"/>
        </w:rPr>
        <w:t xml:space="preserve"> and related to </w:t>
      </w:r>
      <w:r w:rsidR="0049320D" w:rsidRPr="00FE3ED2">
        <w:rPr>
          <w:rFonts w:ascii="Times New Roman" w:eastAsia="Times New Roman" w:hAnsi="Times New Roman" w:cs="Times New Roman"/>
          <w:sz w:val="24"/>
          <w:szCs w:val="24"/>
          <w:lang w:eastAsia="ar-SA"/>
        </w:rPr>
        <w:t>clearance</w:t>
      </w:r>
      <w:r w:rsidRPr="00FE3ED2">
        <w:rPr>
          <w:rFonts w:ascii="Times New Roman" w:eastAsia="Times New Roman" w:hAnsi="Times New Roman" w:cs="Times New Roman"/>
          <w:sz w:val="24"/>
          <w:szCs w:val="24"/>
          <w:lang w:eastAsia="ar-SA"/>
        </w:rPr>
        <w:t xml:space="preserve"> revenues from Israel), which will accompany the improvements in the economy. This will be accompanied by the assumption that the occupation will loosen its grip on the movement of individuals and goods from and to Palestine and that there will be an increase in current transfers provided to the private sector from abroad to above-annual levels. This scenario assumes</w:t>
      </w:r>
      <w:r w:rsidR="00173CF7">
        <w:rPr>
          <w:rFonts w:ascii="Times New Roman" w:eastAsia="Times New Roman" w:hAnsi="Times New Roman" w:cs="Times New Roman"/>
          <w:sz w:val="24"/>
          <w:szCs w:val="24"/>
          <w:lang w:eastAsia="ar-SA"/>
        </w:rPr>
        <w:t xml:space="preserve"> that the </w:t>
      </w:r>
      <w:r w:rsidRPr="00FE3ED2">
        <w:rPr>
          <w:rFonts w:ascii="Times New Roman" w:eastAsia="Times New Roman" w:hAnsi="Times New Roman" w:cs="Times New Roman"/>
          <w:sz w:val="24"/>
          <w:szCs w:val="24"/>
          <w:lang w:eastAsia="ar-SA"/>
        </w:rPr>
        <w:t xml:space="preserve">impacts of the </w:t>
      </w:r>
      <w:r w:rsidR="00173CF7" w:rsidRPr="00FE3ED2">
        <w:rPr>
          <w:rFonts w:ascii="Times New Roman" w:eastAsia="Times New Roman" w:hAnsi="Times New Roman" w:cs="Times New Roman"/>
          <w:sz w:val="24"/>
          <w:szCs w:val="24"/>
          <w:lang w:eastAsia="ar-SA"/>
        </w:rPr>
        <w:t>Coronavirus</w:t>
      </w:r>
      <w:r w:rsidRPr="00FE3ED2">
        <w:rPr>
          <w:rFonts w:ascii="Times New Roman" w:eastAsia="Times New Roman" w:hAnsi="Times New Roman" w:cs="Times New Roman"/>
          <w:sz w:val="24"/>
          <w:szCs w:val="24"/>
          <w:lang w:eastAsia="ar-SA"/>
        </w:rPr>
        <w:t xml:space="preserve"> pandemic </w:t>
      </w:r>
      <w:r w:rsidR="00173CF7">
        <w:rPr>
          <w:rFonts w:ascii="Times New Roman" w:eastAsia="Times New Roman" w:hAnsi="Times New Roman" w:cs="Times New Roman"/>
          <w:sz w:val="24"/>
          <w:szCs w:val="24"/>
          <w:lang w:eastAsia="ar-SA"/>
        </w:rPr>
        <w:t xml:space="preserve">will continue </w:t>
      </w:r>
      <w:r w:rsidRPr="00FE3ED2">
        <w:rPr>
          <w:rFonts w:ascii="Times New Roman" w:eastAsia="Times New Roman" w:hAnsi="Times New Roman" w:cs="Times New Roman"/>
          <w:sz w:val="24"/>
          <w:szCs w:val="24"/>
          <w:lang w:eastAsia="ar-SA"/>
        </w:rPr>
        <w:t>on economic</w:t>
      </w:r>
      <w:r w:rsidR="00173CF7">
        <w:rPr>
          <w:rFonts w:ascii="Times New Roman" w:eastAsia="Times New Roman" w:hAnsi="Times New Roman" w:cs="Times New Roman"/>
          <w:sz w:val="24"/>
          <w:szCs w:val="24"/>
          <w:lang w:eastAsia="ar-SA"/>
        </w:rPr>
        <w:t xml:space="preserve"> and social aspects of life and;</w:t>
      </w:r>
      <w:r w:rsidRPr="00FE3ED2">
        <w:rPr>
          <w:rFonts w:ascii="Times New Roman" w:eastAsia="Times New Roman" w:hAnsi="Times New Roman" w:cs="Times New Roman"/>
          <w:sz w:val="24"/>
          <w:szCs w:val="24"/>
          <w:lang w:eastAsia="ar-SA"/>
        </w:rPr>
        <w:t xml:space="preserve"> therefore, the government’s </w:t>
      </w:r>
      <w:r w:rsidR="00173CF7">
        <w:rPr>
          <w:rFonts w:ascii="Times New Roman" w:eastAsia="Times New Roman" w:hAnsi="Times New Roman" w:cs="Times New Roman"/>
          <w:sz w:val="24"/>
          <w:szCs w:val="24"/>
          <w:lang w:eastAsia="ar-SA"/>
        </w:rPr>
        <w:t>shall continue</w:t>
      </w:r>
      <w:r w:rsidRPr="00FE3ED2">
        <w:rPr>
          <w:rFonts w:ascii="Times New Roman" w:eastAsia="Times New Roman" w:hAnsi="Times New Roman" w:cs="Times New Roman"/>
          <w:sz w:val="24"/>
          <w:szCs w:val="24"/>
          <w:lang w:eastAsia="ar-SA"/>
        </w:rPr>
        <w:t xml:space="preserve"> </w:t>
      </w:r>
      <w:r w:rsidR="00BA6C09">
        <w:rPr>
          <w:rFonts w:ascii="Times New Roman" w:eastAsia="Times New Roman" w:hAnsi="Times New Roman" w:cs="Times New Roman"/>
          <w:sz w:val="24"/>
          <w:szCs w:val="24"/>
          <w:lang w:eastAsia="ar-SA"/>
        </w:rPr>
        <w:t>with its attempt to create balance</w:t>
      </w:r>
      <w:r w:rsidRPr="00FE3ED2">
        <w:rPr>
          <w:rFonts w:ascii="Times New Roman" w:eastAsia="Times New Roman" w:hAnsi="Times New Roman" w:cs="Times New Roman"/>
          <w:sz w:val="24"/>
          <w:szCs w:val="24"/>
          <w:lang w:eastAsia="ar-SA"/>
        </w:rPr>
        <w:t xml:space="preserve"> between the economy and the health of citizens, </w:t>
      </w:r>
      <w:r w:rsidR="009D7625">
        <w:rPr>
          <w:rFonts w:ascii="Times New Roman" w:eastAsia="Times New Roman" w:hAnsi="Times New Roman" w:cs="Times New Roman"/>
          <w:sz w:val="24"/>
          <w:szCs w:val="24"/>
          <w:lang w:eastAsia="ar-SA"/>
        </w:rPr>
        <w:t>through</w:t>
      </w:r>
      <w:r w:rsidRPr="00FE3ED2">
        <w:rPr>
          <w:rFonts w:ascii="Times New Roman" w:eastAsia="Times New Roman" w:hAnsi="Times New Roman" w:cs="Times New Roman"/>
          <w:sz w:val="24"/>
          <w:szCs w:val="24"/>
          <w:lang w:eastAsia="ar-SA"/>
        </w:rPr>
        <w:t xml:space="preserve"> imposing limited partial lockdowns and other full lockdowns lasting for a few days on </w:t>
      </w:r>
      <w:r w:rsidR="009D7625">
        <w:rPr>
          <w:rFonts w:ascii="Times New Roman" w:eastAsia="Times New Roman" w:hAnsi="Times New Roman" w:cs="Times New Roman"/>
          <w:sz w:val="24"/>
          <w:szCs w:val="24"/>
          <w:lang w:eastAsia="ar-SA"/>
        </w:rPr>
        <w:t>areas</w:t>
      </w:r>
      <w:r w:rsidRPr="00FE3ED2">
        <w:rPr>
          <w:rFonts w:ascii="Times New Roman" w:eastAsia="Times New Roman" w:hAnsi="Times New Roman" w:cs="Times New Roman"/>
          <w:sz w:val="24"/>
          <w:szCs w:val="24"/>
          <w:lang w:eastAsia="ar-SA"/>
        </w:rPr>
        <w:t xml:space="preserve"> with </w:t>
      </w:r>
      <w:r w:rsidR="009D7625">
        <w:rPr>
          <w:rFonts w:ascii="Times New Roman" w:eastAsia="Times New Roman" w:hAnsi="Times New Roman" w:cs="Times New Roman"/>
          <w:sz w:val="24"/>
          <w:szCs w:val="24"/>
          <w:lang w:eastAsia="ar-SA"/>
        </w:rPr>
        <w:t xml:space="preserve">COVID-19 </w:t>
      </w:r>
      <w:r w:rsidRPr="00FE3ED2">
        <w:rPr>
          <w:rFonts w:ascii="Times New Roman" w:eastAsia="Times New Roman" w:hAnsi="Times New Roman" w:cs="Times New Roman"/>
          <w:sz w:val="24"/>
          <w:szCs w:val="24"/>
          <w:lang w:eastAsia="ar-SA"/>
        </w:rPr>
        <w:t>outbreaks in order to flatten the curve. There</w:t>
      </w:r>
      <w:r w:rsidR="009D7625">
        <w:rPr>
          <w:rFonts w:ascii="Times New Roman" w:eastAsia="Times New Roman" w:hAnsi="Times New Roman" w:cs="Times New Roman"/>
          <w:sz w:val="24"/>
          <w:szCs w:val="24"/>
          <w:lang w:eastAsia="ar-SA"/>
        </w:rPr>
        <w:t xml:space="preserve"> will also be a breakthrough in the COVID- 19 </w:t>
      </w:r>
      <w:r w:rsidRPr="00FE3ED2">
        <w:rPr>
          <w:rFonts w:ascii="Times New Roman" w:eastAsia="Times New Roman" w:hAnsi="Times New Roman" w:cs="Times New Roman"/>
          <w:sz w:val="24"/>
          <w:szCs w:val="24"/>
          <w:lang w:eastAsia="ar-SA"/>
        </w:rPr>
        <w:t>vaccine</w:t>
      </w:r>
      <w:r w:rsidR="009D7625">
        <w:rPr>
          <w:rFonts w:ascii="Times New Roman" w:eastAsia="Times New Roman" w:hAnsi="Times New Roman" w:cs="Times New Roman"/>
          <w:sz w:val="24"/>
          <w:szCs w:val="24"/>
          <w:lang w:eastAsia="ar-SA"/>
        </w:rPr>
        <w:t xml:space="preserve">, as it will be available and ready for </w:t>
      </w:r>
      <w:r w:rsidRPr="00FE3ED2">
        <w:rPr>
          <w:rFonts w:ascii="Times New Roman" w:eastAsia="Times New Roman" w:hAnsi="Times New Roman" w:cs="Times New Roman"/>
          <w:sz w:val="24"/>
          <w:szCs w:val="24"/>
          <w:lang w:eastAsia="ar-SA"/>
        </w:rPr>
        <w:t xml:space="preserve">distribution </w:t>
      </w:r>
      <w:r w:rsidR="009D7625">
        <w:rPr>
          <w:rFonts w:ascii="Times New Roman" w:eastAsia="Times New Roman" w:hAnsi="Times New Roman" w:cs="Times New Roman"/>
          <w:sz w:val="24"/>
          <w:szCs w:val="24"/>
          <w:lang w:eastAsia="ar-SA"/>
        </w:rPr>
        <w:t>in</w:t>
      </w:r>
      <w:r w:rsidRPr="00FE3ED2">
        <w:rPr>
          <w:rFonts w:ascii="Times New Roman" w:eastAsia="Times New Roman" w:hAnsi="Times New Roman" w:cs="Times New Roman"/>
          <w:sz w:val="24"/>
          <w:szCs w:val="24"/>
          <w:lang w:eastAsia="ar-SA"/>
        </w:rPr>
        <w:t xml:space="preserve"> 2021. </w:t>
      </w:r>
    </w:p>
    <w:p w:rsidR="00232937" w:rsidRDefault="00232937" w:rsidP="009D7625">
      <w:pPr>
        <w:spacing w:after="0" w:line="240" w:lineRule="auto"/>
        <w:jc w:val="both"/>
        <w:rPr>
          <w:rFonts w:ascii="Times New Roman" w:eastAsia="Times New Roman" w:hAnsi="Times New Roman" w:cs="Times New Roman"/>
          <w:sz w:val="24"/>
          <w:szCs w:val="24"/>
          <w:lang w:eastAsia="ar-SA"/>
        </w:rPr>
      </w:pPr>
    </w:p>
    <w:p w:rsidR="00232937" w:rsidRPr="00FE3ED2" w:rsidRDefault="00232937" w:rsidP="009D7625">
      <w:pPr>
        <w:spacing w:after="0" w:line="240" w:lineRule="auto"/>
        <w:jc w:val="both"/>
        <w:rPr>
          <w:rFonts w:ascii="Times New Roman" w:eastAsia="Times New Roman" w:hAnsi="Times New Roman" w:cs="Times New Roman"/>
          <w:sz w:val="24"/>
          <w:szCs w:val="24"/>
          <w:lang w:eastAsia="ar-SA"/>
        </w:rPr>
      </w:pPr>
    </w:p>
    <w:p w:rsidR="003F45A3" w:rsidRPr="003F45A3" w:rsidRDefault="003F45A3" w:rsidP="00046E2D">
      <w:pPr>
        <w:spacing w:after="0" w:line="240" w:lineRule="auto"/>
        <w:jc w:val="both"/>
        <w:rPr>
          <w:rFonts w:ascii="Times New Roman" w:eastAsia="Times New Roman" w:hAnsi="Times New Roman" w:cs="Times New Roman"/>
          <w:sz w:val="24"/>
          <w:szCs w:val="24"/>
          <w:lang w:val="fr-CH" w:eastAsia="ar-SA"/>
        </w:rPr>
      </w:pPr>
    </w:p>
    <w:p w:rsidR="00A273F6" w:rsidRPr="00EC007B" w:rsidRDefault="001A456B" w:rsidP="00A273F6">
      <w:pPr>
        <w:spacing w:after="0" w:line="240" w:lineRule="auto"/>
        <w:jc w:val="both"/>
        <w:rPr>
          <w:rFonts w:ascii="Times New Roman" w:eastAsia="Times New Roman" w:hAnsi="Times New Roman" w:cs="Times New Roman"/>
          <w:b/>
          <w:bCs/>
          <w:sz w:val="24"/>
          <w:szCs w:val="24"/>
          <w:lang w:eastAsia="ar-SA"/>
        </w:rPr>
      </w:pPr>
      <w:r w:rsidRPr="00EC007B">
        <w:rPr>
          <w:rFonts w:ascii="Times New Roman" w:eastAsia="Times New Roman" w:hAnsi="Times New Roman" w:cs="Times New Roman"/>
          <w:b/>
          <w:bCs/>
          <w:sz w:val="24"/>
          <w:szCs w:val="24"/>
          <w:lang w:eastAsia="ar-SA"/>
        </w:rPr>
        <w:t>Expectations</w:t>
      </w:r>
      <w:r w:rsidR="00CE2787" w:rsidRPr="00EC007B">
        <w:rPr>
          <w:rFonts w:ascii="Times New Roman" w:eastAsia="Times New Roman" w:hAnsi="Times New Roman" w:cs="Times New Roman"/>
          <w:b/>
          <w:bCs/>
          <w:sz w:val="24"/>
          <w:szCs w:val="24"/>
          <w:lang w:eastAsia="ar-SA"/>
        </w:rPr>
        <w:t xml:space="preserve"> of the Optimistic Scenario</w:t>
      </w:r>
    </w:p>
    <w:p w:rsidR="00C14258" w:rsidRPr="00EC007B" w:rsidRDefault="00C14258" w:rsidP="00C14258">
      <w:pPr>
        <w:spacing w:after="0" w:line="240" w:lineRule="auto"/>
        <w:jc w:val="both"/>
        <w:rPr>
          <w:rFonts w:ascii="Times New Roman" w:eastAsia="Times New Roman" w:hAnsi="Times New Roman" w:cs="Times New Roman"/>
          <w:b/>
          <w:bCs/>
          <w:sz w:val="24"/>
          <w:szCs w:val="24"/>
          <w:lang w:eastAsia="ar-SA"/>
        </w:rPr>
      </w:pPr>
      <w:r w:rsidRPr="00EC007B">
        <w:rPr>
          <w:rFonts w:ascii="Times New Roman" w:eastAsia="Times New Roman" w:hAnsi="Times New Roman" w:cs="Times New Roman"/>
          <w:b/>
          <w:bCs/>
          <w:sz w:val="24"/>
          <w:szCs w:val="24"/>
          <w:lang w:eastAsia="ar-SA"/>
        </w:rPr>
        <w:t>Real Sector:</w:t>
      </w:r>
    </w:p>
    <w:p w:rsidR="00D03B81" w:rsidRPr="00EC007B" w:rsidRDefault="00D03B81" w:rsidP="00B43665">
      <w:pPr>
        <w:spacing w:after="0" w:line="240" w:lineRule="auto"/>
        <w:jc w:val="both"/>
        <w:rPr>
          <w:rFonts w:ascii="Times New Roman" w:eastAsia="Times New Roman" w:hAnsi="Times New Roman" w:cs="Times New Roman"/>
          <w:sz w:val="24"/>
          <w:szCs w:val="24"/>
          <w:lang w:eastAsia="ar-SA"/>
        </w:rPr>
      </w:pPr>
      <w:r w:rsidRPr="00EC007B">
        <w:rPr>
          <w:rFonts w:ascii="Times New Roman" w:eastAsia="Times New Roman" w:hAnsi="Times New Roman" w:cs="Times New Roman"/>
          <w:sz w:val="24"/>
          <w:szCs w:val="24"/>
          <w:lang w:eastAsia="ar-SA"/>
        </w:rPr>
        <w:t>Gross Domestic Product (GDP): It is anticipated to increase by 13.0% during 2021</w:t>
      </w:r>
      <w:r w:rsidR="00B43665" w:rsidRPr="00EC007B">
        <w:rPr>
          <w:rFonts w:ascii="Times New Roman" w:eastAsia="Times New Roman" w:hAnsi="Times New Roman" w:cs="Times New Roman"/>
          <w:sz w:val="24"/>
          <w:szCs w:val="24"/>
          <w:lang w:eastAsia="ar-SA"/>
        </w:rPr>
        <w:t>. The</w:t>
      </w:r>
      <w:r w:rsidRPr="00EC007B">
        <w:rPr>
          <w:rFonts w:ascii="Times New Roman" w:eastAsia="Times New Roman" w:hAnsi="Times New Roman" w:cs="Times New Roman"/>
          <w:sz w:val="24"/>
          <w:szCs w:val="24"/>
          <w:lang w:eastAsia="ar-SA"/>
        </w:rPr>
        <w:t xml:space="preserve"> GDP per capita will increase by 10.4%.  It also assumes that gross consumption value (private and public) will increase by 6.9% and the value of total investments will increase by 62.1%</w:t>
      </w:r>
      <w:r w:rsidR="00E66F0F" w:rsidRPr="00EC007B">
        <w:rPr>
          <w:rFonts w:ascii="Times New Roman" w:eastAsia="Times New Roman" w:hAnsi="Times New Roman" w:cs="Times New Roman"/>
          <w:sz w:val="24"/>
          <w:szCs w:val="24"/>
          <w:lang w:eastAsia="ar-SA"/>
        </w:rPr>
        <w:t xml:space="preserve"> compared with 2020.</w:t>
      </w:r>
    </w:p>
    <w:p w:rsidR="00C14258" w:rsidRPr="00EC007B" w:rsidRDefault="00C14258" w:rsidP="00C14258">
      <w:pPr>
        <w:tabs>
          <w:tab w:val="left" w:pos="981"/>
        </w:tabs>
        <w:spacing w:after="0" w:line="240" w:lineRule="auto"/>
        <w:jc w:val="both"/>
        <w:rPr>
          <w:rFonts w:ascii="Times New Roman" w:eastAsia="Times New Roman" w:hAnsi="Times New Roman" w:cs="Times New Roman"/>
          <w:sz w:val="24"/>
          <w:szCs w:val="24"/>
          <w:lang w:eastAsia="ar-SA"/>
        </w:rPr>
      </w:pPr>
      <w:r w:rsidRPr="00EC007B">
        <w:rPr>
          <w:rFonts w:ascii="Times New Roman" w:eastAsia="Times New Roman" w:hAnsi="Times New Roman" w:cs="Times New Roman"/>
          <w:sz w:val="24"/>
          <w:szCs w:val="24"/>
          <w:lang w:eastAsia="ar-SA"/>
        </w:rPr>
        <w:tab/>
      </w:r>
    </w:p>
    <w:p w:rsidR="00D03B81" w:rsidRPr="00EC007B" w:rsidRDefault="00B43665" w:rsidP="00EC00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9" w:lineRule="atLeast"/>
        <w:jc w:val="lowKashida"/>
        <w:rPr>
          <w:rFonts w:ascii="Times New Roman" w:eastAsia="Times New Roman" w:hAnsi="Times New Roman" w:cs="Times New Roman"/>
          <w:sz w:val="24"/>
          <w:szCs w:val="24"/>
          <w:lang w:eastAsia="ar-SA"/>
        </w:rPr>
      </w:pPr>
      <w:r w:rsidRPr="00EC007B">
        <w:rPr>
          <w:rFonts w:ascii="Times New Roman" w:eastAsia="Times New Roman" w:hAnsi="Times New Roman" w:cs="Times New Roman"/>
          <w:sz w:val="24"/>
          <w:szCs w:val="24"/>
          <w:lang w:eastAsia="ar-SA"/>
        </w:rPr>
        <w:t xml:space="preserve">At the </w:t>
      </w:r>
      <w:r w:rsidR="00D03B81" w:rsidRPr="00EC007B">
        <w:rPr>
          <w:rFonts w:ascii="Times New Roman" w:eastAsia="Times New Roman" w:hAnsi="Times New Roman" w:cs="Times New Roman"/>
          <w:sz w:val="24"/>
          <w:szCs w:val="24"/>
          <w:lang w:eastAsia="ar-SA"/>
        </w:rPr>
        <w:t>economic activities</w:t>
      </w:r>
      <w:r w:rsidRPr="00EC007B">
        <w:rPr>
          <w:rFonts w:ascii="Times New Roman" w:eastAsia="Times New Roman" w:hAnsi="Times New Roman" w:cs="Times New Roman"/>
          <w:sz w:val="24"/>
          <w:szCs w:val="24"/>
          <w:lang w:eastAsia="ar-SA"/>
        </w:rPr>
        <w:t xml:space="preserve"> level</w:t>
      </w:r>
      <w:r w:rsidR="00D03B81" w:rsidRPr="00EC007B">
        <w:rPr>
          <w:rFonts w:ascii="Times New Roman" w:eastAsia="Times New Roman" w:hAnsi="Times New Roman" w:cs="Times New Roman"/>
          <w:sz w:val="24"/>
          <w:szCs w:val="24"/>
          <w:lang w:eastAsia="ar-SA"/>
        </w:rPr>
        <w:t>, the value added of agricultural activities is expected to increase by 22.3%, industrial activities by 10.1%, construction activities by 73.4% and services activities by 6.7% during 2021 compared to 2020.</w:t>
      </w:r>
    </w:p>
    <w:p w:rsidR="00D03B81" w:rsidRPr="00EC007B" w:rsidRDefault="00D03B81" w:rsidP="00C14258">
      <w:pPr>
        <w:tabs>
          <w:tab w:val="left" w:pos="981"/>
        </w:tabs>
        <w:spacing w:after="0" w:line="240" w:lineRule="auto"/>
        <w:jc w:val="both"/>
        <w:rPr>
          <w:rFonts w:ascii="Times New Roman" w:eastAsia="Times New Roman" w:hAnsi="Times New Roman" w:cs="Times New Roman"/>
          <w:sz w:val="24"/>
          <w:szCs w:val="24"/>
          <w:lang w:eastAsia="ar-SA"/>
        </w:rPr>
      </w:pPr>
    </w:p>
    <w:p w:rsidR="00D03B81" w:rsidRPr="00EC007B" w:rsidRDefault="00D03B81" w:rsidP="00B43665">
      <w:pPr>
        <w:spacing w:after="0" w:line="240" w:lineRule="auto"/>
        <w:jc w:val="both"/>
        <w:rPr>
          <w:rFonts w:ascii="Times New Roman" w:eastAsia="Times New Roman" w:hAnsi="Times New Roman" w:cs="Times New Roman"/>
          <w:sz w:val="24"/>
          <w:szCs w:val="24"/>
          <w:lang w:eastAsia="ar-SA"/>
        </w:rPr>
      </w:pPr>
      <w:r w:rsidRPr="00EC007B">
        <w:rPr>
          <w:rFonts w:ascii="Times New Roman" w:eastAsia="Times New Roman" w:hAnsi="Times New Roman" w:cs="Times New Roman"/>
          <w:sz w:val="24"/>
          <w:szCs w:val="24"/>
          <w:lang w:eastAsia="ar-SA"/>
        </w:rPr>
        <w:t xml:space="preserve">Work and Workers: An increase </w:t>
      </w:r>
      <w:r w:rsidR="00B43665" w:rsidRPr="00EC007B">
        <w:rPr>
          <w:rFonts w:ascii="Times New Roman" w:eastAsia="Times New Roman" w:hAnsi="Times New Roman" w:cs="Times New Roman"/>
          <w:sz w:val="24"/>
          <w:szCs w:val="24"/>
          <w:lang w:eastAsia="ar-SA"/>
        </w:rPr>
        <w:t xml:space="preserve">of </w:t>
      </w:r>
      <w:r w:rsidRPr="00EC007B">
        <w:rPr>
          <w:rFonts w:ascii="Times New Roman" w:eastAsia="Times New Roman" w:hAnsi="Times New Roman" w:cs="Times New Roman"/>
          <w:sz w:val="24"/>
          <w:szCs w:val="24"/>
          <w:lang w:eastAsia="ar-SA"/>
        </w:rPr>
        <w:t xml:space="preserve">11% in the </w:t>
      </w:r>
      <w:r w:rsidR="00E66F0F" w:rsidRPr="00EC007B">
        <w:rPr>
          <w:rFonts w:ascii="Times New Roman" w:eastAsia="Times New Roman" w:hAnsi="Times New Roman" w:cs="Times New Roman"/>
          <w:sz w:val="24"/>
          <w:szCs w:val="24"/>
          <w:lang w:eastAsia="ar-SA"/>
        </w:rPr>
        <w:t xml:space="preserve">total </w:t>
      </w:r>
      <w:r w:rsidRPr="00EC007B">
        <w:rPr>
          <w:rFonts w:ascii="Times New Roman" w:eastAsia="Times New Roman" w:hAnsi="Times New Roman" w:cs="Times New Roman"/>
          <w:sz w:val="24"/>
          <w:szCs w:val="24"/>
          <w:lang w:eastAsia="ar-SA"/>
        </w:rPr>
        <w:t xml:space="preserve">number of </w:t>
      </w:r>
      <w:r w:rsidR="00E66F0F" w:rsidRPr="00EC007B">
        <w:rPr>
          <w:rFonts w:ascii="Times New Roman" w:eastAsia="Times New Roman" w:hAnsi="Times New Roman" w:cs="Times New Roman"/>
          <w:sz w:val="24"/>
          <w:szCs w:val="24"/>
          <w:lang w:eastAsia="ar-SA"/>
        </w:rPr>
        <w:t xml:space="preserve">Palestinian </w:t>
      </w:r>
      <w:r w:rsidRPr="00EC007B">
        <w:rPr>
          <w:rFonts w:ascii="Times New Roman" w:eastAsia="Times New Roman" w:hAnsi="Times New Roman" w:cs="Times New Roman"/>
          <w:sz w:val="24"/>
          <w:szCs w:val="24"/>
          <w:lang w:eastAsia="ar-SA"/>
        </w:rPr>
        <w:t>employees</w:t>
      </w:r>
      <w:r w:rsidR="00E66F0F" w:rsidRPr="00EC007B">
        <w:rPr>
          <w:rFonts w:ascii="Times New Roman" w:eastAsia="Times New Roman" w:hAnsi="Times New Roman" w:cs="Times New Roman"/>
          <w:sz w:val="24"/>
          <w:szCs w:val="24"/>
          <w:lang w:eastAsia="ar-SA"/>
        </w:rPr>
        <w:t xml:space="preserve"> in do</w:t>
      </w:r>
      <w:r w:rsidR="00E545FE" w:rsidRPr="00EC007B">
        <w:rPr>
          <w:rFonts w:ascii="Times New Roman" w:eastAsia="Times New Roman" w:hAnsi="Times New Roman" w:cs="Times New Roman"/>
          <w:sz w:val="24"/>
          <w:szCs w:val="24"/>
          <w:lang w:eastAsia="ar-SA"/>
        </w:rPr>
        <w:t>mestic market and in</w:t>
      </w:r>
      <w:r w:rsidR="00B43665" w:rsidRPr="00EC007B">
        <w:rPr>
          <w:rFonts w:ascii="Times New Roman" w:eastAsia="Times New Roman" w:hAnsi="Times New Roman" w:cs="Times New Roman"/>
          <w:sz w:val="24"/>
          <w:szCs w:val="24"/>
          <w:lang w:eastAsia="ar-SA"/>
        </w:rPr>
        <w:t>side</w:t>
      </w:r>
      <w:r w:rsidR="00E545FE" w:rsidRPr="00EC007B">
        <w:rPr>
          <w:rFonts w:ascii="Times New Roman" w:eastAsia="Times New Roman" w:hAnsi="Times New Roman" w:cs="Times New Roman"/>
          <w:sz w:val="24"/>
          <w:szCs w:val="24"/>
          <w:lang w:eastAsia="ar-SA"/>
        </w:rPr>
        <w:t xml:space="preserve"> Israel</w:t>
      </w:r>
      <w:r w:rsidR="00E66F0F" w:rsidRPr="00EC007B">
        <w:rPr>
          <w:rFonts w:ascii="Times New Roman" w:eastAsia="Times New Roman" w:hAnsi="Times New Roman" w:cs="Times New Roman"/>
          <w:sz w:val="24"/>
          <w:szCs w:val="24"/>
          <w:lang w:eastAsia="ar-SA"/>
        </w:rPr>
        <w:t xml:space="preserve"> and Israeli settlements</w:t>
      </w:r>
      <w:r w:rsidRPr="00EC007B">
        <w:rPr>
          <w:rFonts w:ascii="Times New Roman" w:eastAsia="Times New Roman" w:hAnsi="Times New Roman" w:cs="Times New Roman"/>
          <w:sz w:val="24"/>
          <w:szCs w:val="24"/>
          <w:lang w:eastAsia="ar-SA"/>
        </w:rPr>
        <w:t xml:space="preserve"> is anticipated</w:t>
      </w:r>
      <w:r w:rsidR="00B43665" w:rsidRPr="00EC007B">
        <w:rPr>
          <w:rFonts w:ascii="Times New Roman" w:eastAsia="Times New Roman" w:hAnsi="Times New Roman" w:cs="Times New Roman"/>
          <w:sz w:val="24"/>
          <w:szCs w:val="24"/>
          <w:lang w:eastAsia="ar-SA"/>
        </w:rPr>
        <w:t>. The</w:t>
      </w:r>
      <w:r w:rsidRPr="00EC007B">
        <w:rPr>
          <w:rFonts w:ascii="Times New Roman" w:eastAsia="Times New Roman" w:hAnsi="Times New Roman" w:cs="Times New Roman"/>
          <w:sz w:val="24"/>
          <w:szCs w:val="24"/>
          <w:lang w:eastAsia="ar-SA"/>
        </w:rPr>
        <w:t xml:space="preserve"> unemployment rate is expected to </w:t>
      </w:r>
      <w:r w:rsidR="00E66F0F" w:rsidRPr="00EC007B">
        <w:rPr>
          <w:rFonts w:ascii="Times New Roman" w:eastAsia="Times New Roman" w:hAnsi="Times New Roman" w:cs="Times New Roman"/>
          <w:sz w:val="24"/>
          <w:szCs w:val="24"/>
          <w:lang w:eastAsia="ar-SA"/>
        </w:rPr>
        <w:t>reach</w:t>
      </w:r>
      <w:r w:rsidRPr="00EC007B">
        <w:rPr>
          <w:rFonts w:ascii="Times New Roman" w:eastAsia="Times New Roman" w:hAnsi="Times New Roman" w:cs="Times New Roman"/>
          <w:sz w:val="24"/>
          <w:szCs w:val="24"/>
          <w:lang w:eastAsia="ar-SA"/>
        </w:rPr>
        <w:t xml:space="preserve"> </w:t>
      </w:r>
      <w:r w:rsidR="00E66F0F" w:rsidRPr="00EC007B">
        <w:rPr>
          <w:rFonts w:ascii="Times New Roman" w:eastAsia="Times New Roman" w:hAnsi="Times New Roman" w:cs="Times New Roman"/>
          <w:sz w:val="24"/>
          <w:szCs w:val="24"/>
          <w:lang w:eastAsia="ar-SA"/>
        </w:rPr>
        <w:t>26.4</w:t>
      </w:r>
      <w:r w:rsidRPr="00EC007B">
        <w:rPr>
          <w:rFonts w:ascii="Times New Roman" w:eastAsia="Times New Roman" w:hAnsi="Times New Roman" w:cs="Times New Roman"/>
          <w:sz w:val="24"/>
          <w:szCs w:val="24"/>
          <w:lang w:eastAsia="ar-SA"/>
        </w:rPr>
        <w:t xml:space="preserve">% during 2021 compared to </w:t>
      </w:r>
      <w:r w:rsidR="00E66F0F" w:rsidRPr="00EC007B">
        <w:rPr>
          <w:rFonts w:ascii="Times New Roman" w:eastAsia="Times New Roman" w:hAnsi="Times New Roman" w:cs="Times New Roman"/>
          <w:sz w:val="24"/>
          <w:szCs w:val="24"/>
          <w:lang w:eastAsia="ar-SA"/>
        </w:rPr>
        <w:t>27.8</w:t>
      </w:r>
      <w:r w:rsidRPr="00EC007B">
        <w:rPr>
          <w:rFonts w:ascii="Times New Roman" w:eastAsia="Times New Roman" w:hAnsi="Times New Roman" w:cs="Times New Roman"/>
          <w:sz w:val="24"/>
          <w:szCs w:val="24"/>
          <w:lang w:eastAsia="ar-SA"/>
        </w:rPr>
        <w:t>% in 2020.</w:t>
      </w:r>
    </w:p>
    <w:p w:rsidR="00C14258" w:rsidRPr="00EC007B" w:rsidRDefault="00C14258" w:rsidP="00C14258">
      <w:pPr>
        <w:spacing w:after="0" w:line="240" w:lineRule="auto"/>
        <w:jc w:val="both"/>
        <w:rPr>
          <w:rFonts w:ascii="Times New Roman" w:eastAsia="Times New Roman" w:hAnsi="Times New Roman" w:cs="Times New Roman"/>
          <w:sz w:val="24"/>
          <w:szCs w:val="24"/>
          <w:lang w:eastAsia="ar-SA"/>
        </w:rPr>
      </w:pPr>
      <w:r w:rsidRPr="00EC007B">
        <w:rPr>
          <w:rFonts w:ascii="Times New Roman" w:eastAsia="Times New Roman" w:hAnsi="Times New Roman" w:cs="Times New Roman"/>
          <w:b/>
          <w:bCs/>
          <w:sz w:val="24"/>
          <w:szCs w:val="24"/>
          <w:lang w:eastAsia="ar-SA"/>
        </w:rPr>
        <w:t xml:space="preserve">External Sector: </w:t>
      </w:r>
    </w:p>
    <w:p w:rsidR="00924088" w:rsidRPr="00924088" w:rsidRDefault="00335480" w:rsidP="00A20FBA">
      <w:pPr>
        <w:spacing w:after="0" w:line="240" w:lineRule="auto"/>
        <w:jc w:val="both"/>
        <w:rPr>
          <w:rFonts w:ascii="Times New Roman" w:hAnsi="Times New Roman" w:cs="Times New Roman"/>
          <w:sz w:val="24"/>
          <w:szCs w:val="24"/>
          <w:lang w:eastAsia="ar-SA"/>
        </w:rPr>
      </w:pPr>
      <w:r w:rsidRPr="00924088">
        <w:rPr>
          <w:rFonts w:ascii="Times New Roman" w:eastAsia="Times New Roman" w:hAnsi="Times New Roman" w:cs="Times New Roman"/>
          <w:sz w:val="24"/>
          <w:szCs w:val="24"/>
          <w:lang w:eastAsia="ar-SA"/>
        </w:rPr>
        <w:t xml:space="preserve">A decrease </w:t>
      </w:r>
      <w:r w:rsidR="00B43665">
        <w:rPr>
          <w:rFonts w:ascii="Times New Roman" w:eastAsia="Times New Roman" w:hAnsi="Times New Roman" w:cs="Times New Roman"/>
          <w:sz w:val="24"/>
          <w:szCs w:val="24"/>
          <w:lang w:eastAsia="ar-SA"/>
        </w:rPr>
        <w:t>of</w:t>
      </w:r>
      <w:r w:rsidRPr="00924088">
        <w:rPr>
          <w:rFonts w:ascii="Times New Roman" w:eastAsia="Times New Roman" w:hAnsi="Times New Roman" w:cs="Times New Roman"/>
          <w:sz w:val="24"/>
          <w:szCs w:val="24"/>
          <w:lang w:eastAsia="ar-SA"/>
        </w:rPr>
        <w:t xml:space="preserve"> </w:t>
      </w:r>
      <w:r w:rsidR="00924088" w:rsidRPr="00924088">
        <w:rPr>
          <w:rFonts w:ascii="Times New Roman" w:eastAsia="Times New Roman" w:hAnsi="Times New Roman" w:cs="Times New Roman"/>
          <w:sz w:val="24"/>
          <w:szCs w:val="24"/>
          <w:lang w:eastAsia="ar-SA"/>
        </w:rPr>
        <w:t>31.6</w:t>
      </w:r>
      <w:r w:rsidRPr="00924088">
        <w:rPr>
          <w:rFonts w:ascii="Times New Roman" w:eastAsia="Times New Roman" w:hAnsi="Times New Roman" w:cs="Times New Roman"/>
          <w:sz w:val="24"/>
          <w:szCs w:val="24"/>
          <w:lang w:eastAsia="ar-SA"/>
        </w:rPr>
        <w:t>% Palestine</w:t>
      </w:r>
      <w:r w:rsidR="00B43665">
        <w:rPr>
          <w:rFonts w:ascii="Times New Roman" w:eastAsia="Times New Roman" w:hAnsi="Times New Roman" w:cs="Times New Roman"/>
          <w:sz w:val="24"/>
          <w:szCs w:val="24"/>
          <w:lang w:eastAsia="ar-SA"/>
        </w:rPr>
        <w:t>’s</w:t>
      </w:r>
      <w:r w:rsidRPr="00924088">
        <w:rPr>
          <w:rFonts w:ascii="Times New Roman" w:eastAsia="Times New Roman" w:hAnsi="Times New Roman" w:cs="Times New Roman"/>
          <w:sz w:val="24"/>
          <w:szCs w:val="24"/>
          <w:lang w:eastAsia="ar-SA"/>
        </w:rPr>
        <w:t xml:space="preserve"> </w:t>
      </w:r>
      <w:r w:rsidR="00B43665" w:rsidRPr="00924088">
        <w:rPr>
          <w:rFonts w:ascii="Times New Roman" w:eastAsia="Times New Roman" w:hAnsi="Times New Roman" w:cs="Times New Roman"/>
          <w:sz w:val="24"/>
          <w:szCs w:val="24"/>
          <w:lang w:eastAsia="ar-SA"/>
        </w:rPr>
        <w:t xml:space="preserve">net current account deficit value </w:t>
      </w:r>
      <w:r w:rsidRPr="00924088">
        <w:rPr>
          <w:rFonts w:ascii="Times New Roman" w:eastAsia="Times New Roman" w:hAnsi="Times New Roman" w:cs="Times New Roman"/>
          <w:sz w:val="24"/>
          <w:szCs w:val="24"/>
          <w:lang w:eastAsia="ar-SA"/>
        </w:rPr>
        <w:t xml:space="preserve">is anticipated </w:t>
      </w:r>
      <w:r w:rsidR="008D5B8F" w:rsidRPr="00924088">
        <w:rPr>
          <w:rFonts w:ascii="Times New Roman" w:eastAsia="Times New Roman" w:hAnsi="Times New Roman" w:cs="Times New Roman"/>
          <w:sz w:val="24"/>
          <w:szCs w:val="24"/>
          <w:lang w:eastAsia="ar-SA"/>
        </w:rPr>
        <w:t xml:space="preserve">as a result of </w:t>
      </w:r>
      <w:r w:rsidR="00B43665" w:rsidRPr="00924088">
        <w:rPr>
          <w:rFonts w:ascii="Times New Roman" w:eastAsia="Times New Roman" w:hAnsi="Times New Roman" w:cs="Times New Roman"/>
          <w:sz w:val="24"/>
          <w:szCs w:val="24"/>
          <w:lang w:eastAsia="ar-SA"/>
        </w:rPr>
        <w:t>18.5</w:t>
      </w:r>
      <w:r w:rsidR="00B43665">
        <w:rPr>
          <w:rFonts w:ascii="Times New Roman" w:eastAsia="Times New Roman" w:hAnsi="Times New Roman" w:cs="Times New Roman"/>
          <w:sz w:val="24"/>
          <w:szCs w:val="24"/>
          <w:lang w:eastAsia="ar-SA"/>
        </w:rPr>
        <w:t>%</w:t>
      </w:r>
      <w:r w:rsidR="008D5B8F" w:rsidRPr="00924088">
        <w:rPr>
          <w:rFonts w:ascii="Times New Roman" w:eastAsia="Times New Roman" w:hAnsi="Times New Roman" w:cs="Times New Roman"/>
          <w:sz w:val="24"/>
          <w:szCs w:val="24"/>
          <w:lang w:eastAsia="ar-SA"/>
        </w:rPr>
        <w:t xml:space="preserve"> </w:t>
      </w:r>
      <w:r w:rsidR="00924088" w:rsidRPr="00924088">
        <w:rPr>
          <w:rFonts w:ascii="Times New Roman" w:eastAsia="Times New Roman" w:hAnsi="Times New Roman" w:cs="Times New Roman"/>
          <w:sz w:val="24"/>
          <w:szCs w:val="24"/>
          <w:lang w:eastAsia="ar-SA"/>
        </w:rPr>
        <w:t>increase</w:t>
      </w:r>
      <w:r w:rsidR="008D5B8F" w:rsidRPr="00924088">
        <w:rPr>
          <w:rFonts w:ascii="Times New Roman" w:eastAsia="Times New Roman" w:hAnsi="Times New Roman" w:cs="Times New Roman"/>
          <w:sz w:val="24"/>
          <w:szCs w:val="24"/>
          <w:lang w:eastAsia="ar-SA"/>
        </w:rPr>
        <w:t xml:space="preserve"> </w:t>
      </w:r>
      <w:r w:rsidR="00B43665">
        <w:rPr>
          <w:rFonts w:ascii="Times New Roman" w:eastAsia="Times New Roman" w:hAnsi="Times New Roman" w:cs="Times New Roman"/>
          <w:sz w:val="24"/>
          <w:szCs w:val="24"/>
          <w:lang w:eastAsia="ar-SA"/>
        </w:rPr>
        <w:t>in</w:t>
      </w:r>
      <w:r w:rsidRPr="00924088">
        <w:rPr>
          <w:rFonts w:ascii="Times New Roman" w:eastAsia="Times New Roman" w:hAnsi="Times New Roman" w:cs="Times New Roman"/>
          <w:sz w:val="24"/>
          <w:szCs w:val="24"/>
          <w:lang w:eastAsia="ar-SA"/>
        </w:rPr>
        <w:t xml:space="preserve"> </w:t>
      </w:r>
      <w:r w:rsidR="00924088" w:rsidRPr="00924088">
        <w:rPr>
          <w:rFonts w:ascii="Times New Roman" w:eastAsia="Times New Roman" w:hAnsi="Times New Roman" w:cs="Times New Roman"/>
          <w:sz w:val="24"/>
          <w:szCs w:val="24"/>
          <w:lang w:eastAsia="ar-SA"/>
        </w:rPr>
        <w:t xml:space="preserve">net factor income </w:t>
      </w:r>
      <w:r w:rsidR="00B43665">
        <w:rPr>
          <w:rFonts w:ascii="Times New Roman" w:eastAsia="Times New Roman" w:hAnsi="Times New Roman" w:cs="Times New Roman"/>
          <w:sz w:val="24"/>
          <w:szCs w:val="24"/>
          <w:lang w:eastAsia="ar-SA"/>
        </w:rPr>
        <w:t xml:space="preserve">value </w:t>
      </w:r>
      <w:r w:rsidR="00924088" w:rsidRPr="00924088">
        <w:rPr>
          <w:rFonts w:ascii="Times New Roman" w:eastAsia="Times New Roman" w:hAnsi="Times New Roman" w:cs="Times New Roman"/>
          <w:sz w:val="24"/>
          <w:szCs w:val="24"/>
          <w:lang w:eastAsia="ar-SA"/>
        </w:rPr>
        <w:t xml:space="preserve">and </w:t>
      </w:r>
      <w:r w:rsidR="00B43665">
        <w:rPr>
          <w:rFonts w:ascii="Times New Roman" w:eastAsia="Times New Roman" w:hAnsi="Times New Roman" w:cs="Times New Roman"/>
          <w:sz w:val="24"/>
          <w:szCs w:val="24"/>
          <w:lang w:eastAsia="ar-SA"/>
        </w:rPr>
        <w:t xml:space="preserve">an </w:t>
      </w:r>
      <w:r w:rsidR="00924088" w:rsidRPr="00924088">
        <w:rPr>
          <w:rFonts w:ascii="Times New Roman" w:eastAsia="Times New Roman" w:hAnsi="Times New Roman" w:cs="Times New Roman"/>
          <w:sz w:val="24"/>
          <w:szCs w:val="24"/>
          <w:lang w:eastAsia="ar-SA"/>
        </w:rPr>
        <w:t>increase</w:t>
      </w:r>
      <w:r w:rsidR="00B43665">
        <w:rPr>
          <w:rFonts w:ascii="Times New Roman" w:eastAsia="Times New Roman" w:hAnsi="Times New Roman" w:cs="Times New Roman"/>
          <w:sz w:val="24"/>
          <w:szCs w:val="24"/>
          <w:lang w:eastAsia="ar-SA"/>
        </w:rPr>
        <w:t xml:space="preserve"> in</w:t>
      </w:r>
      <w:r w:rsidR="00924088" w:rsidRPr="00924088">
        <w:rPr>
          <w:rFonts w:ascii="Times New Roman" w:eastAsia="Times New Roman" w:hAnsi="Times New Roman" w:cs="Times New Roman"/>
          <w:sz w:val="24"/>
          <w:szCs w:val="24"/>
          <w:lang w:eastAsia="ar-SA"/>
        </w:rPr>
        <w:t xml:space="preserve"> net current transfers by 131.6%,</w:t>
      </w:r>
      <w:r w:rsidR="00E66F0F">
        <w:rPr>
          <w:rFonts w:ascii="Times New Roman" w:eastAsia="Times New Roman" w:hAnsi="Times New Roman" w:cs="Times New Roman"/>
          <w:sz w:val="24"/>
          <w:szCs w:val="24"/>
          <w:lang w:eastAsia="ar-SA"/>
        </w:rPr>
        <w:t xml:space="preserve"> </w:t>
      </w:r>
      <w:r w:rsidR="00924088" w:rsidRPr="00924088">
        <w:rPr>
          <w:rFonts w:ascii="Times New Roman" w:hAnsi="Times New Roman" w:cs="Times New Roman"/>
          <w:sz w:val="24"/>
          <w:szCs w:val="24"/>
          <w:lang w:eastAsia="ar-SA"/>
        </w:rPr>
        <w:t xml:space="preserve">despite the increase in the value of the </w:t>
      </w:r>
      <w:r w:rsidR="00BA7391">
        <w:rPr>
          <w:rFonts w:ascii="Times New Roman" w:hAnsi="Times New Roman" w:cs="Times New Roman"/>
          <w:sz w:val="24"/>
          <w:szCs w:val="24"/>
          <w:lang w:eastAsia="ar-SA"/>
        </w:rPr>
        <w:t xml:space="preserve">trade balance deficit by 19.3%.  </w:t>
      </w:r>
      <w:r w:rsidR="00B43665">
        <w:rPr>
          <w:rFonts w:ascii="Times New Roman" w:hAnsi="Times New Roman" w:cs="Times New Roman"/>
          <w:sz w:val="24"/>
          <w:szCs w:val="24"/>
          <w:lang w:eastAsia="ar-SA"/>
        </w:rPr>
        <w:t xml:space="preserve">Compared to 2020, </w:t>
      </w:r>
      <w:r w:rsidR="00BA7391">
        <w:rPr>
          <w:rFonts w:ascii="Times New Roman" w:hAnsi="Times New Roman" w:cs="Times New Roman"/>
          <w:sz w:val="24"/>
          <w:szCs w:val="24"/>
          <w:lang w:eastAsia="ar-SA"/>
        </w:rPr>
        <w:t>The</w:t>
      </w:r>
      <w:r w:rsidR="00924088" w:rsidRPr="00924088">
        <w:rPr>
          <w:rFonts w:ascii="Times New Roman" w:hAnsi="Times New Roman" w:cs="Times New Roman"/>
          <w:sz w:val="24"/>
          <w:szCs w:val="24"/>
          <w:lang w:eastAsia="ar-SA"/>
        </w:rPr>
        <w:t xml:space="preserve"> value of gross national income and gross national disposable income will also </w:t>
      </w:r>
      <w:r w:rsidR="00B43665">
        <w:rPr>
          <w:rFonts w:ascii="Times New Roman" w:hAnsi="Times New Roman" w:cs="Times New Roman"/>
          <w:sz w:val="24"/>
          <w:szCs w:val="24"/>
          <w:lang w:eastAsia="ar-SA"/>
        </w:rPr>
        <w:t>rise by</w:t>
      </w:r>
      <w:r w:rsidR="00924088" w:rsidRPr="00924088">
        <w:rPr>
          <w:rFonts w:ascii="Times New Roman" w:hAnsi="Times New Roman" w:cs="Times New Roman"/>
          <w:sz w:val="24"/>
          <w:szCs w:val="24"/>
          <w:lang w:eastAsia="ar-SA"/>
        </w:rPr>
        <w:t xml:space="preserve"> 13.8% and 19.8%, respectively</w:t>
      </w:r>
      <w:r w:rsidR="00A20FBA">
        <w:rPr>
          <w:rFonts w:ascii="Times New Roman" w:hAnsi="Times New Roman" w:cs="Times New Roman"/>
          <w:sz w:val="24"/>
          <w:szCs w:val="24"/>
          <w:lang w:eastAsia="ar-SA"/>
        </w:rPr>
        <w:t>,</w:t>
      </w:r>
      <w:r w:rsidR="00E66F0F">
        <w:rPr>
          <w:rFonts w:ascii="Times New Roman" w:hAnsi="Times New Roman" w:cs="Times New Roman" w:hint="cs"/>
          <w:sz w:val="24"/>
          <w:szCs w:val="24"/>
          <w:rtl/>
          <w:lang w:eastAsia="ar-SA"/>
        </w:rPr>
        <w:t xml:space="preserve"> </w:t>
      </w:r>
      <w:r w:rsidR="00E66F0F" w:rsidRPr="00EC007B">
        <w:rPr>
          <w:rFonts w:ascii="Times New Roman" w:eastAsia="Times New Roman" w:hAnsi="Times New Roman" w:cs="Times New Roman"/>
          <w:sz w:val="24"/>
          <w:szCs w:val="24"/>
          <w:lang w:eastAsia="ar-SA"/>
        </w:rPr>
        <w:t>during the year 2021.</w:t>
      </w:r>
    </w:p>
    <w:p w:rsidR="00310AC6" w:rsidRPr="00EC007B" w:rsidRDefault="00310AC6" w:rsidP="00A273F6">
      <w:pPr>
        <w:spacing w:after="0" w:line="240" w:lineRule="auto"/>
        <w:jc w:val="both"/>
        <w:rPr>
          <w:rFonts w:ascii="Times New Roman" w:eastAsia="Times New Roman" w:hAnsi="Times New Roman" w:cs="Times New Roman"/>
          <w:b/>
          <w:bCs/>
          <w:sz w:val="24"/>
          <w:szCs w:val="24"/>
          <w:lang w:eastAsia="ar-SA"/>
        </w:rPr>
      </w:pPr>
    </w:p>
    <w:p w:rsidR="00A273F6" w:rsidRPr="00EC007B" w:rsidRDefault="00335480" w:rsidP="00335480">
      <w:pPr>
        <w:numPr>
          <w:ilvl w:val="0"/>
          <w:numId w:val="6"/>
        </w:numPr>
        <w:spacing w:after="0" w:line="240" w:lineRule="auto"/>
        <w:rPr>
          <w:rFonts w:ascii="Times New Roman" w:eastAsia="Times New Roman" w:hAnsi="Times New Roman" w:cs="Times New Roman"/>
          <w:b/>
          <w:bCs/>
          <w:sz w:val="24"/>
          <w:szCs w:val="24"/>
          <w:lang w:eastAsia="ar-SA"/>
        </w:rPr>
      </w:pPr>
      <w:r w:rsidRPr="00EC007B">
        <w:rPr>
          <w:rFonts w:ascii="Times New Roman" w:eastAsia="Times New Roman" w:hAnsi="Times New Roman" w:cs="Times New Roman"/>
          <w:b/>
          <w:bCs/>
          <w:sz w:val="24"/>
          <w:szCs w:val="24"/>
          <w:lang w:eastAsia="ar-SA"/>
        </w:rPr>
        <w:t>Pessimistic Scenario</w:t>
      </w:r>
      <w:r w:rsidR="00A273F6" w:rsidRPr="00EC007B">
        <w:rPr>
          <w:rFonts w:ascii="Times New Roman" w:eastAsia="Times New Roman" w:hAnsi="Times New Roman" w:cs="Times New Roman"/>
          <w:b/>
          <w:bCs/>
          <w:sz w:val="24"/>
          <w:szCs w:val="24"/>
          <w:lang w:eastAsia="ar-SA"/>
        </w:rPr>
        <w:t xml:space="preserve">    </w:t>
      </w:r>
    </w:p>
    <w:p w:rsidR="004F0DDD" w:rsidRPr="00BA7391" w:rsidRDefault="004F0DDD" w:rsidP="00177A28">
      <w:pPr>
        <w:spacing w:after="0" w:line="240" w:lineRule="auto"/>
        <w:jc w:val="both"/>
        <w:rPr>
          <w:rFonts w:ascii="Times New Roman" w:eastAsia="Times New Roman" w:hAnsi="Times New Roman" w:cs="Times New Roman"/>
          <w:sz w:val="24"/>
          <w:szCs w:val="24"/>
          <w:lang w:eastAsia="ar-SA"/>
        </w:rPr>
      </w:pPr>
      <w:r w:rsidRPr="00BA7391">
        <w:rPr>
          <w:rFonts w:ascii="Times New Roman" w:eastAsia="Times New Roman" w:hAnsi="Times New Roman" w:cs="Times New Roman"/>
          <w:sz w:val="24"/>
          <w:szCs w:val="24"/>
          <w:lang w:eastAsia="ar-SA"/>
        </w:rPr>
        <w:t xml:space="preserve">This scenario is based on the assumption that there will be acceleration in the numbers of Coronavirus cases due </w:t>
      </w:r>
      <w:r w:rsidR="00A20FBA">
        <w:rPr>
          <w:rFonts w:ascii="Times New Roman" w:eastAsia="Times New Roman" w:hAnsi="Times New Roman" w:cs="Times New Roman"/>
          <w:sz w:val="24"/>
          <w:szCs w:val="24"/>
          <w:lang w:eastAsia="ar-SA"/>
        </w:rPr>
        <w:t xml:space="preserve">to </w:t>
      </w:r>
      <w:r w:rsidRPr="00BA7391">
        <w:rPr>
          <w:rFonts w:ascii="Times New Roman" w:eastAsia="Times New Roman" w:hAnsi="Times New Roman" w:cs="Times New Roman"/>
          <w:sz w:val="24"/>
          <w:szCs w:val="24"/>
          <w:lang w:eastAsia="ar-SA"/>
        </w:rPr>
        <w:t xml:space="preserve">a new wave of the pandemic, especially during </w:t>
      </w:r>
      <w:r w:rsidR="00BA7391">
        <w:rPr>
          <w:rFonts w:ascii="Times New Roman" w:eastAsia="Times New Roman" w:hAnsi="Times New Roman" w:cs="Times New Roman"/>
          <w:sz w:val="24"/>
          <w:szCs w:val="24"/>
          <w:lang w:eastAsia="ar-SA"/>
        </w:rPr>
        <w:t>the first quarter</w:t>
      </w:r>
      <w:r w:rsidRPr="00BA7391">
        <w:rPr>
          <w:rFonts w:ascii="Times New Roman" w:eastAsia="Times New Roman" w:hAnsi="Times New Roman" w:cs="Times New Roman"/>
          <w:sz w:val="24"/>
          <w:szCs w:val="24"/>
          <w:lang w:eastAsia="ar-SA"/>
        </w:rPr>
        <w:t xml:space="preserve"> </w:t>
      </w:r>
      <w:r w:rsidR="00A20FBA">
        <w:rPr>
          <w:rFonts w:ascii="Times New Roman" w:eastAsia="Times New Roman" w:hAnsi="Times New Roman" w:cs="Times New Roman"/>
          <w:sz w:val="24"/>
          <w:szCs w:val="24"/>
          <w:lang w:eastAsia="ar-SA"/>
        </w:rPr>
        <w:t xml:space="preserve">of </w:t>
      </w:r>
      <w:r w:rsidRPr="00BA7391">
        <w:rPr>
          <w:rFonts w:ascii="Times New Roman" w:eastAsia="Times New Roman" w:hAnsi="Times New Roman" w:cs="Times New Roman"/>
          <w:sz w:val="24"/>
          <w:szCs w:val="24"/>
          <w:lang w:eastAsia="ar-SA"/>
        </w:rPr>
        <w:t xml:space="preserve">2021. A full lockdown is expected on both sides of the country as was the case in 2020 due to </w:t>
      </w:r>
      <w:r w:rsidR="00A20FBA">
        <w:rPr>
          <w:rFonts w:ascii="Times New Roman" w:eastAsia="Times New Roman" w:hAnsi="Times New Roman" w:cs="Times New Roman"/>
          <w:sz w:val="24"/>
          <w:szCs w:val="24"/>
          <w:lang w:eastAsia="ar-SA"/>
        </w:rPr>
        <w:t xml:space="preserve">a significant increase in the </w:t>
      </w:r>
      <w:r w:rsidRPr="00BA7391">
        <w:rPr>
          <w:rFonts w:ascii="Times New Roman" w:eastAsia="Times New Roman" w:hAnsi="Times New Roman" w:cs="Times New Roman"/>
          <w:sz w:val="24"/>
          <w:szCs w:val="24"/>
          <w:lang w:eastAsia="ar-SA"/>
        </w:rPr>
        <w:t>new cases and delays in</w:t>
      </w:r>
      <w:r w:rsidR="00A20FBA">
        <w:rPr>
          <w:rFonts w:ascii="Times New Roman" w:eastAsia="Times New Roman" w:hAnsi="Times New Roman" w:cs="Times New Roman"/>
          <w:sz w:val="24"/>
          <w:szCs w:val="24"/>
          <w:lang w:eastAsia="ar-SA"/>
        </w:rPr>
        <w:t xml:space="preserve"> obtaining</w:t>
      </w:r>
      <w:r w:rsidRPr="00BA7391">
        <w:rPr>
          <w:rFonts w:ascii="Times New Roman" w:eastAsia="Times New Roman" w:hAnsi="Times New Roman" w:cs="Times New Roman"/>
          <w:sz w:val="24"/>
          <w:szCs w:val="24"/>
          <w:lang w:eastAsia="ar-SA"/>
        </w:rPr>
        <w:t xml:space="preserve"> the vaccine. This scenario also assumes that the amounts of assistance provided by donor countries to </w:t>
      </w:r>
      <w:r w:rsidR="00A20FBA">
        <w:rPr>
          <w:rFonts w:ascii="Times New Roman" w:eastAsia="Times New Roman" w:hAnsi="Times New Roman" w:cs="Times New Roman"/>
          <w:sz w:val="24"/>
          <w:szCs w:val="24"/>
          <w:lang w:eastAsia="ar-SA"/>
        </w:rPr>
        <w:t>finance</w:t>
      </w:r>
      <w:r w:rsidRPr="00BA7391">
        <w:rPr>
          <w:rFonts w:ascii="Times New Roman" w:eastAsia="Times New Roman" w:hAnsi="Times New Roman" w:cs="Times New Roman"/>
          <w:sz w:val="24"/>
          <w:szCs w:val="24"/>
          <w:lang w:eastAsia="ar-SA"/>
        </w:rPr>
        <w:t xml:space="preserve"> the Palestinian government’s budget and to fund development projects will remain the same as 2020 due to </w:t>
      </w:r>
      <w:r w:rsidR="00A20FBA">
        <w:rPr>
          <w:rFonts w:ascii="Times New Roman" w:eastAsia="Times New Roman" w:hAnsi="Times New Roman" w:cs="Times New Roman"/>
          <w:sz w:val="24"/>
          <w:szCs w:val="24"/>
          <w:lang w:eastAsia="ar-SA"/>
        </w:rPr>
        <w:t xml:space="preserve">a downturn </w:t>
      </w:r>
      <w:r w:rsidRPr="00BA7391">
        <w:rPr>
          <w:rFonts w:ascii="Times New Roman" w:eastAsia="Times New Roman" w:hAnsi="Times New Roman" w:cs="Times New Roman"/>
          <w:sz w:val="24"/>
          <w:szCs w:val="24"/>
          <w:lang w:eastAsia="ar-SA"/>
        </w:rPr>
        <w:t xml:space="preserve">in the global economy, including the </w:t>
      </w:r>
      <w:r w:rsidR="00A20FBA">
        <w:rPr>
          <w:rFonts w:ascii="Times New Roman" w:eastAsia="Times New Roman" w:hAnsi="Times New Roman" w:cs="Times New Roman"/>
          <w:sz w:val="24"/>
          <w:szCs w:val="24"/>
          <w:lang w:eastAsia="ar-SA"/>
        </w:rPr>
        <w:t xml:space="preserve">donor </w:t>
      </w:r>
      <w:r w:rsidRPr="00BA7391">
        <w:rPr>
          <w:rFonts w:ascii="Times New Roman" w:eastAsia="Times New Roman" w:hAnsi="Times New Roman" w:cs="Times New Roman"/>
          <w:sz w:val="24"/>
          <w:szCs w:val="24"/>
          <w:lang w:eastAsia="ar-SA"/>
        </w:rPr>
        <w:t>economies and Arab countries. There will also be a</w:t>
      </w:r>
      <w:r w:rsidR="00A20FBA">
        <w:rPr>
          <w:rFonts w:ascii="Times New Roman" w:eastAsia="Times New Roman" w:hAnsi="Times New Roman" w:cs="Times New Roman"/>
          <w:sz w:val="24"/>
          <w:szCs w:val="24"/>
          <w:lang w:eastAsia="ar-SA"/>
        </w:rPr>
        <w:t xml:space="preserve">n increase </w:t>
      </w:r>
      <w:r w:rsidRPr="00BA7391">
        <w:rPr>
          <w:rFonts w:ascii="Times New Roman" w:eastAsia="Times New Roman" w:hAnsi="Times New Roman" w:cs="Times New Roman"/>
          <w:sz w:val="24"/>
          <w:szCs w:val="24"/>
          <w:lang w:eastAsia="ar-SA"/>
        </w:rPr>
        <w:t xml:space="preserve">in tax </w:t>
      </w:r>
      <w:r w:rsidR="00A20FBA">
        <w:rPr>
          <w:rFonts w:ascii="Times New Roman" w:eastAsia="Times New Roman" w:hAnsi="Times New Roman" w:cs="Times New Roman"/>
          <w:sz w:val="24"/>
          <w:szCs w:val="24"/>
          <w:lang w:eastAsia="ar-SA"/>
        </w:rPr>
        <w:t>avoidance</w:t>
      </w:r>
      <w:r w:rsidRPr="00BA7391">
        <w:rPr>
          <w:rFonts w:ascii="Times New Roman" w:eastAsia="Times New Roman" w:hAnsi="Times New Roman" w:cs="Times New Roman"/>
          <w:sz w:val="24"/>
          <w:szCs w:val="24"/>
          <w:lang w:eastAsia="ar-SA"/>
        </w:rPr>
        <w:t xml:space="preserve"> and a decrease in local VAT and income tax collection</w:t>
      </w:r>
      <w:r w:rsidR="00A20FBA">
        <w:rPr>
          <w:rFonts w:ascii="Times New Roman" w:eastAsia="Times New Roman" w:hAnsi="Times New Roman" w:cs="Times New Roman"/>
          <w:sz w:val="24"/>
          <w:szCs w:val="24"/>
          <w:lang w:eastAsia="ar-SA"/>
        </w:rPr>
        <w:t>,</w:t>
      </w:r>
      <w:r w:rsidRPr="00BA7391">
        <w:rPr>
          <w:rFonts w:ascii="Times New Roman" w:eastAsia="Times New Roman" w:hAnsi="Times New Roman" w:cs="Times New Roman"/>
          <w:sz w:val="24"/>
          <w:szCs w:val="24"/>
          <w:lang w:eastAsia="ar-SA"/>
        </w:rPr>
        <w:t xml:space="preserve"> as a result of the economic recession. Also, no new development projects will be implemented and </w:t>
      </w:r>
      <w:r w:rsidR="00A20FBA">
        <w:rPr>
          <w:rFonts w:ascii="Times New Roman" w:eastAsia="Times New Roman" w:hAnsi="Times New Roman" w:cs="Times New Roman"/>
          <w:sz w:val="24"/>
          <w:szCs w:val="24"/>
          <w:lang w:eastAsia="ar-SA"/>
        </w:rPr>
        <w:t xml:space="preserve">the </w:t>
      </w:r>
      <w:r w:rsidRPr="00BA7391">
        <w:rPr>
          <w:rFonts w:ascii="Times New Roman" w:eastAsia="Times New Roman" w:hAnsi="Times New Roman" w:cs="Times New Roman"/>
          <w:sz w:val="24"/>
          <w:szCs w:val="24"/>
          <w:lang w:eastAsia="ar-SA"/>
        </w:rPr>
        <w:t xml:space="preserve">previous </w:t>
      </w:r>
      <w:r w:rsidR="00A20FBA">
        <w:rPr>
          <w:rFonts w:ascii="Times New Roman" w:eastAsia="Times New Roman" w:hAnsi="Times New Roman" w:cs="Times New Roman"/>
          <w:sz w:val="24"/>
          <w:szCs w:val="24"/>
          <w:lang w:eastAsia="ar-SA"/>
        </w:rPr>
        <w:t xml:space="preserve">projects will not be completed. </w:t>
      </w:r>
      <w:r w:rsidRPr="00BA7391">
        <w:rPr>
          <w:rFonts w:ascii="Times New Roman" w:eastAsia="Times New Roman" w:hAnsi="Times New Roman" w:cs="Times New Roman"/>
          <w:sz w:val="24"/>
          <w:szCs w:val="24"/>
          <w:lang w:eastAsia="ar-SA"/>
        </w:rPr>
        <w:t xml:space="preserve">This scenario also assumes tighter restrictions </w:t>
      </w:r>
      <w:r w:rsidR="00A20FBA" w:rsidRPr="00BA7391">
        <w:rPr>
          <w:rFonts w:ascii="Times New Roman" w:eastAsia="Times New Roman" w:hAnsi="Times New Roman" w:cs="Times New Roman"/>
          <w:sz w:val="24"/>
          <w:szCs w:val="24"/>
          <w:lang w:eastAsia="ar-SA"/>
        </w:rPr>
        <w:t xml:space="preserve">on the movement of individuals and goods to and from Palestine </w:t>
      </w:r>
      <w:r w:rsidRPr="00BA7391">
        <w:rPr>
          <w:rFonts w:ascii="Times New Roman" w:eastAsia="Times New Roman" w:hAnsi="Times New Roman" w:cs="Times New Roman"/>
          <w:sz w:val="24"/>
          <w:szCs w:val="24"/>
          <w:lang w:eastAsia="ar-SA"/>
        </w:rPr>
        <w:t xml:space="preserve">imposed by the Israeli occupation and an expected closure that will limit the numbers of permits issued </w:t>
      </w:r>
      <w:r w:rsidR="00A20FBA">
        <w:rPr>
          <w:rFonts w:ascii="Times New Roman" w:eastAsia="Times New Roman" w:hAnsi="Times New Roman" w:cs="Times New Roman"/>
          <w:sz w:val="24"/>
          <w:szCs w:val="24"/>
          <w:lang w:eastAsia="ar-SA"/>
        </w:rPr>
        <w:t xml:space="preserve">by </w:t>
      </w:r>
      <w:r w:rsidR="00A20FBA" w:rsidRPr="00BA7391">
        <w:rPr>
          <w:rFonts w:ascii="Times New Roman" w:eastAsia="Times New Roman" w:hAnsi="Times New Roman" w:cs="Times New Roman"/>
          <w:sz w:val="24"/>
          <w:szCs w:val="24"/>
          <w:lang w:eastAsia="ar-SA"/>
        </w:rPr>
        <w:t xml:space="preserve">Israeli occupation </w:t>
      </w:r>
      <w:r w:rsidR="00A20FBA">
        <w:rPr>
          <w:rFonts w:ascii="Times New Roman" w:eastAsia="Times New Roman" w:hAnsi="Times New Roman" w:cs="Times New Roman"/>
          <w:sz w:val="24"/>
          <w:szCs w:val="24"/>
          <w:lang w:eastAsia="ar-SA"/>
        </w:rPr>
        <w:t xml:space="preserve">to the Palestinians </w:t>
      </w:r>
      <w:r w:rsidRPr="00BA7391">
        <w:rPr>
          <w:rFonts w:ascii="Times New Roman" w:eastAsia="Times New Roman" w:hAnsi="Times New Roman" w:cs="Times New Roman"/>
          <w:sz w:val="24"/>
          <w:szCs w:val="24"/>
          <w:lang w:eastAsia="ar-SA"/>
        </w:rPr>
        <w:t>workers and merchants</w:t>
      </w:r>
      <w:r w:rsidR="00177A28">
        <w:rPr>
          <w:rFonts w:ascii="Times New Roman" w:eastAsia="Times New Roman" w:hAnsi="Times New Roman" w:cs="Times New Roman"/>
          <w:sz w:val="24"/>
          <w:szCs w:val="24"/>
          <w:lang w:eastAsia="ar-SA"/>
        </w:rPr>
        <w:t>.</w:t>
      </w:r>
    </w:p>
    <w:p w:rsidR="0049320D" w:rsidRPr="00EC007B" w:rsidRDefault="0049320D" w:rsidP="0049320D">
      <w:pPr>
        <w:spacing w:after="0" w:line="240" w:lineRule="auto"/>
        <w:rPr>
          <w:rFonts w:ascii="Times New Roman" w:eastAsia="Times New Roman" w:hAnsi="Times New Roman" w:cs="Times New Roman"/>
          <w:b/>
          <w:bCs/>
          <w:sz w:val="24"/>
          <w:szCs w:val="24"/>
          <w:lang w:eastAsia="ar-SA"/>
        </w:rPr>
      </w:pPr>
    </w:p>
    <w:p w:rsidR="00A273F6" w:rsidRPr="00EC007B" w:rsidRDefault="00F1374B" w:rsidP="00A273F6">
      <w:pPr>
        <w:spacing w:after="0" w:line="240" w:lineRule="auto"/>
        <w:jc w:val="both"/>
        <w:rPr>
          <w:rFonts w:ascii="Times New Roman" w:eastAsia="Times New Roman" w:hAnsi="Times New Roman" w:cs="Times New Roman"/>
          <w:b/>
          <w:bCs/>
          <w:sz w:val="24"/>
          <w:szCs w:val="24"/>
          <w:lang w:eastAsia="ar-SA"/>
        </w:rPr>
      </w:pPr>
      <w:r w:rsidRPr="00EC007B">
        <w:rPr>
          <w:rFonts w:ascii="Times New Roman" w:eastAsia="Times New Roman" w:hAnsi="Times New Roman" w:cs="Times New Roman"/>
          <w:b/>
          <w:bCs/>
          <w:sz w:val="24"/>
          <w:szCs w:val="24"/>
          <w:lang w:eastAsia="ar-SA"/>
        </w:rPr>
        <w:t xml:space="preserve">Expectations </w:t>
      </w:r>
      <w:r w:rsidR="00A368A0" w:rsidRPr="00EC007B">
        <w:rPr>
          <w:rFonts w:ascii="Times New Roman" w:eastAsia="Times New Roman" w:hAnsi="Times New Roman" w:cs="Times New Roman"/>
          <w:b/>
          <w:bCs/>
          <w:sz w:val="24"/>
          <w:szCs w:val="24"/>
          <w:lang w:eastAsia="ar-SA"/>
        </w:rPr>
        <w:t>of the Pessimistic Scenario</w:t>
      </w:r>
    </w:p>
    <w:p w:rsidR="003F6D18" w:rsidRPr="00EC007B" w:rsidRDefault="003F6D18" w:rsidP="003F6D18">
      <w:pPr>
        <w:spacing w:after="0" w:line="240" w:lineRule="auto"/>
        <w:jc w:val="both"/>
        <w:rPr>
          <w:rFonts w:ascii="Times New Roman" w:eastAsia="Times New Roman" w:hAnsi="Times New Roman" w:cs="Times New Roman"/>
          <w:b/>
          <w:bCs/>
          <w:sz w:val="24"/>
          <w:szCs w:val="24"/>
          <w:lang w:eastAsia="ar-SA"/>
        </w:rPr>
      </w:pPr>
      <w:r w:rsidRPr="00EC007B">
        <w:rPr>
          <w:rFonts w:ascii="Times New Roman" w:eastAsia="Times New Roman" w:hAnsi="Times New Roman" w:cs="Times New Roman"/>
          <w:b/>
          <w:bCs/>
          <w:sz w:val="24"/>
          <w:szCs w:val="24"/>
          <w:lang w:eastAsia="ar-SA"/>
        </w:rPr>
        <w:t>Real Sector:</w:t>
      </w:r>
    </w:p>
    <w:p w:rsidR="00924088" w:rsidRPr="00EC007B" w:rsidRDefault="0036660F" w:rsidP="00E05315">
      <w:pPr>
        <w:spacing w:after="0" w:line="240" w:lineRule="auto"/>
        <w:jc w:val="both"/>
        <w:rPr>
          <w:rFonts w:ascii="Times New Roman" w:eastAsia="Times New Roman" w:hAnsi="Times New Roman" w:cs="Times New Roman"/>
          <w:sz w:val="24"/>
          <w:szCs w:val="24"/>
          <w:lang w:eastAsia="ar-SA"/>
        </w:rPr>
      </w:pPr>
      <w:r w:rsidRPr="00EC007B">
        <w:rPr>
          <w:rFonts w:ascii="Times New Roman" w:eastAsia="Times New Roman" w:hAnsi="Times New Roman" w:cs="Times New Roman"/>
          <w:sz w:val="24"/>
          <w:szCs w:val="24"/>
          <w:lang w:eastAsia="ar-SA"/>
        </w:rPr>
        <w:t xml:space="preserve">Gross Domestic Product (GDP): </w:t>
      </w:r>
      <w:r w:rsidR="004D4DD0" w:rsidRPr="00EC007B">
        <w:rPr>
          <w:rFonts w:ascii="Times New Roman" w:eastAsia="Times New Roman" w:hAnsi="Times New Roman" w:cs="Times New Roman"/>
          <w:sz w:val="24"/>
          <w:szCs w:val="24"/>
          <w:lang w:eastAsia="ar-SA"/>
        </w:rPr>
        <w:t>GDP</w:t>
      </w:r>
      <w:r w:rsidRPr="00EC007B">
        <w:rPr>
          <w:rFonts w:ascii="Times New Roman" w:eastAsia="Times New Roman" w:hAnsi="Times New Roman" w:cs="Times New Roman"/>
          <w:sz w:val="24"/>
          <w:szCs w:val="24"/>
          <w:lang w:eastAsia="ar-SA"/>
        </w:rPr>
        <w:t xml:space="preserve"> is </w:t>
      </w:r>
      <w:r w:rsidR="004D4DD0" w:rsidRPr="00EC007B">
        <w:rPr>
          <w:rFonts w:ascii="Times New Roman" w:eastAsia="Times New Roman" w:hAnsi="Times New Roman" w:cs="Times New Roman"/>
          <w:sz w:val="24"/>
          <w:szCs w:val="24"/>
          <w:lang w:eastAsia="ar-SA"/>
        </w:rPr>
        <w:t xml:space="preserve">expected </w:t>
      </w:r>
      <w:r w:rsidRPr="00EC007B">
        <w:rPr>
          <w:rFonts w:ascii="Times New Roman" w:eastAsia="Times New Roman" w:hAnsi="Times New Roman" w:cs="Times New Roman"/>
          <w:sz w:val="24"/>
          <w:szCs w:val="24"/>
          <w:lang w:eastAsia="ar-SA"/>
        </w:rPr>
        <w:t xml:space="preserve">to </w:t>
      </w:r>
      <w:r w:rsidR="00924088" w:rsidRPr="00EC007B">
        <w:rPr>
          <w:rFonts w:ascii="Times New Roman" w:eastAsia="Times New Roman" w:hAnsi="Times New Roman" w:cs="Times New Roman"/>
          <w:sz w:val="24"/>
          <w:szCs w:val="24"/>
          <w:lang w:eastAsia="ar-SA"/>
        </w:rPr>
        <w:t xml:space="preserve">remain </w:t>
      </w:r>
      <w:r w:rsidR="00731C3C" w:rsidRPr="00EC007B">
        <w:rPr>
          <w:rFonts w:ascii="Times New Roman" w:eastAsia="Times New Roman" w:hAnsi="Times New Roman" w:cs="Times New Roman"/>
          <w:sz w:val="24"/>
          <w:szCs w:val="24"/>
          <w:lang w:eastAsia="ar-SA"/>
        </w:rPr>
        <w:t>approximately the same value of 2020</w:t>
      </w:r>
      <w:r w:rsidR="00924088" w:rsidRPr="00EC007B">
        <w:rPr>
          <w:rFonts w:ascii="Times New Roman" w:eastAsia="Times New Roman" w:hAnsi="Times New Roman" w:cs="Times New Roman"/>
          <w:sz w:val="24"/>
          <w:szCs w:val="24"/>
          <w:lang w:eastAsia="ar-SA"/>
        </w:rPr>
        <w:t xml:space="preserve"> </w:t>
      </w:r>
      <w:r w:rsidRPr="00EC007B">
        <w:rPr>
          <w:rFonts w:ascii="Times New Roman" w:eastAsia="Times New Roman" w:hAnsi="Times New Roman" w:cs="Times New Roman"/>
          <w:sz w:val="24"/>
          <w:szCs w:val="24"/>
          <w:lang w:eastAsia="ar-SA"/>
        </w:rPr>
        <w:t xml:space="preserve">and GDP per capita </w:t>
      </w:r>
      <w:r w:rsidR="00E05315" w:rsidRPr="00EC007B">
        <w:rPr>
          <w:rFonts w:ascii="Times New Roman" w:eastAsia="Times New Roman" w:hAnsi="Times New Roman" w:cs="Times New Roman"/>
          <w:sz w:val="24"/>
          <w:szCs w:val="24"/>
          <w:lang w:eastAsia="ar-SA"/>
        </w:rPr>
        <w:t xml:space="preserve">is expected to </w:t>
      </w:r>
      <w:r w:rsidR="00671A4B" w:rsidRPr="00EC007B">
        <w:rPr>
          <w:rFonts w:ascii="Times New Roman" w:eastAsia="Times New Roman" w:hAnsi="Times New Roman" w:cs="Times New Roman"/>
          <w:sz w:val="24"/>
          <w:szCs w:val="24"/>
          <w:lang w:eastAsia="ar-SA"/>
        </w:rPr>
        <w:t>decrease</w:t>
      </w:r>
      <w:r w:rsidRPr="00EC007B">
        <w:rPr>
          <w:rFonts w:ascii="Times New Roman" w:eastAsia="Times New Roman" w:hAnsi="Times New Roman" w:cs="Times New Roman"/>
          <w:sz w:val="24"/>
          <w:szCs w:val="24"/>
          <w:lang w:eastAsia="ar-SA"/>
        </w:rPr>
        <w:t xml:space="preserve"> by </w:t>
      </w:r>
      <w:r w:rsidR="00924088" w:rsidRPr="00EC007B">
        <w:rPr>
          <w:rFonts w:ascii="Times New Roman" w:eastAsia="Times New Roman" w:hAnsi="Times New Roman" w:cs="Times New Roman"/>
          <w:sz w:val="24"/>
          <w:szCs w:val="24"/>
          <w:lang w:eastAsia="ar-SA"/>
        </w:rPr>
        <w:t>1.4</w:t>
      </w:r>
      <w:r w:rsidRPr="00EC007B">
        <w:rPr>
          <w:rFonts w:ascii="Times New Roman" w:eastAsia="Times New Roman" w:hAnsi="Times New Roman" w:cs="Times New Roman"/>
          <w:sz w:val="24"/>
          <w:szCs w:val="24"/>
          <w:lang w:eastAsia="ar-SA"/>
        </w:rPr>
        <w:t xml:space="preserve">%.  In addition, </w:t>
      </w:r>
      <w:r w:rsidR="000F3553" w:rsidRPr="00EC007B">
        <w:rPr>
          <w:rFonts w:ascii="Times New Roman" w:eastAsia="Times New Roman" w:hAnsi="Times New Roman" w:cs="Times New Roman"/>
          <w:sz w:val="24"/>
          <w:szCs w:val="24"/>
          <w:lang w:eastAsia="ar-SA"/>
        </w:rPr>
        <w:t xml:space="preserve">the </w:t>
      </w:r>
      <w:r w:rsidRPr="00EC007B">
        <w:rPr>
          <w:rFonts w:ascii="Times New Roman" w:eastAsia="Times New Roman" w:hAnsi="Times New Roman" w:cs="Times New Roman"/>
          <w:sz w:val="24"/>
          <w:szCs w:val="24"/>
          <w:lang w:eastAsia="ar-SA"/>
        </w:rPr>
        <w:t xml:space="preserve">gross consumption </w:t>
      </w:r>
      <w:r w:rsidR="00C55AB5" w:rsidRPr="00EC007B">
        <w:rPr>
          <w:rFonts w:ascii="Times New Roman" w:eastAsia="Times New Roman" w:hAnsi="Times New Roman" w:cs="Times New Roman"/>
          <w:sz w:val="24"/>
          <w:szCs w:val="24"/>
          <w:lang w:eastAsia="ar-SA"/>
        </w:rPr>
        <w:t xml:space="preserve">value </w:t>
      </w:r>
      <w:r w:rsidRPr="00EC007B">
        <w:rPr>
          <w:rFonts w:ascii="Times New Roman" w:eastAsia="Times New Roman" w:hAnsi="Times New Roman" w:cs="Times New Roman"/>
          <w:sz w:val="24"/>
          <w:szCs w:val="24"/>
          <w:lang w:eastAsia="ar-SA"/>
        </w:rPr>
        <w:t xml:space="preserve">(private and public) will </w:t>
      </w:r>
      <w:r w:rsidR="00FD065C" w:rsidRPr="00EC007B">
        <w:rPr>
          <w:rFonts w:ascii="Times New Roman" w:eastAsia="Times New Roman" w:hAnsi="Times New Roman" w:cs="Times New Roman"/>
          <w:sz w:val="24"/>
          <w:szCs w:val="24"/>
          <w:lang w:eastAsia="ar-SA"/>
        </w:rPr>
        <w:t>in</w:t>
      </w:r>
      <w:r w:rsidR="00401396" w:rsidRPr="00EC007B">
        <w:rPr>
          <w:rFonts w:ascii="Times New Roman" w:eastAsia="Times New Roman" w:hAnsi="Times New Roman" w:cs="Times New Roman"/>
          <w:sz w:val="24"/>
          <w:szCs w:val="24"/>
          <w:lang w:eastAsia="ar-SA"/>
        </w:rPr>
        <w:t>crease</w:t>
      </w:r>
      <w:r w:rsidRPr="00EC007B">
        <w:rPr>
          <w:rFonts w:ascii="Times New Roman" w:eastAsia="Times New Roman" w:hAnsi="Times New Roman" w:cs="Times New Roman"/>
          <w:sz w:val="24"/>
          <w:szCs w:val="24"/>
          <w:lang w:eastAsia="ar-SA"/>
        </w:rPr>
        <w:t xml:space="preserve"> by </w:t>
      </w:r>
      <w:r w:rsidR="00FD065C" w:rsidRPr="00EC007B">
        <w:rPr>
          <w:rFonts w:ascii="Times New Roman" w:eastAsia="Times New Roman" w:hAnsi="Times New Roman" w:cs="Times New Roman"/>
          <w:sz w:val="24"/>
          <w:szCs w:val="24"/>
          <w:lang w:eastAsia="ar-SA"/>
        </w:rPr>
        <w:t>1.1%</w:t>
      </w:r>
      <w:r w:rsidR="00E66F0F" w:rsidRPr="00EC007B">
        <w:rPr>
          <w:rFonts w:ascii="Times New Roman" w:eastAsia="Times New Roman" w:hAnsi="Times New Roman" w:cs="Times New Roman"/>
          <w:sz w:val="24"/>
          <w:szCs w:val="24"/>
          <w:lang w:eastAsia="ar-SA"/>
        </w:rPr>
        <w:t xml:space="preserve"> compared to 2020</w:t>
      </w:r>
      <w:r w:rsidR="00FD065C" w:rsidRPr="00EC007B">
        <w:rPr>
          <w:rFonts w:ascii="Times New Roman" w:eastAsia="Times New Roman" w:hAnsi="Times New Roman" w:cs="Times New Roman"/>
          <w:sz w:val="24"/>
          <w:szCs w:val="24"/>
          <w:lang w:eastAsia="ar-SA"/>
        </w:rPr>
        <w:t>.</w:t>
      </w:r>
    </w:p>
    <w:p w:rsidR="00FD065C" w:rsidRPr="00EC007B" w:rsidRDefault="00FD065C" w:rsidP="00FD065C">
      <w:pPr>
        <w:spacing w:after="0" w:line="240" w:lineRule="auto"/>
        <w:jc w:val="both"/>
        <w:rPr>
          <w:rFonts w:ascii="Times New Roman" w:hAnsi="Times New Roman" w:cs="Times New Roman"/>
          <w:color w:val="FF0000"/>
          <w:sz w:val="24"/>
          <w:szCs w:val="24"/>
          <w:lang w:eastAsia="ar-SA"/>
        </w:rPr>
      </w:pPr>
    </w:p>
    <w:p w:rsidR="00FD065C" w:rsidRPr="00EC007B" w:rsidRDefault="00FD065C" w:rsidP="000F3553">
      <w:pPr>
        <w:spacing w:after="0" w:line="240" w:lineRule="auto"/>
        <w:jc w:val="lowKashida"/>
        <w:rPr>
          <w:rFonts w:ascii="Times New Roman" w:eastAsia="Times New Roman" w:hAnsi="Times New Roman" w:cs="Times New Roman"/>
          <w:sz w:val="24"/>
          <w:szCs w:val="24"/>
          <w:lang w:eastAsia="ar-SA"/>
        </w:rPr>
      </w:pPr>
      <w:r w:rsidRPr="00EC007B">
        <w:rPr>
          <w:rFonts w:ascii="Times New Roman" w:eastAsia="Times New Roman" w:hAnsi="Times New Roman" w:cs="Times New Roman"/>
          <w:sz w:val="24"/>
          <w:szCs w:val="24"/>
          <w:lang w:eastAsia="ar-SA"/>
        </w:rPr>
        <w:t>At the of economic activities</w:t>
      </w:r>
      <w:r w:rsidR="000F3553" w:rsidRPr="00EC007B">
        <w:rPr>
          <w:rFonts w:ascii="Times New Roman" w:eastAsia="Times New Roman" w:hAnsi="Times New Roman" w:cs="Times New Roman"/>
          <w:sz w:val="24"/>
          <w:szCs w:val="24"/>
          <w:lang w:eastAsia="ar-SA"/>
        </w:rPr>
        <w:t xml:space="preserve"> level</w:t>
      </w:r>
      <w:r w:rsidRPr="00EC007B">
        <w:rPr>
          <w:rFonts w:ascii="Times New Roman" w:eastAsia="Times New Roman" w:hAnsi="Times New Roman" w:cs="Times New Roman"/>
          <w:sz w:val="24"/>
          <w:szCs w:val="24"/>
          <w:lang w:eastAsia="ar-SA"/>
        </w:rPr>
        <w:t xml:space="preserve">, the value added of agricultural activities is expected to increase by 12.8%, construction activities by 19.2% and industrial activities by 2.0%, while services activities will </w:t>
      </w:r>
      <w:r w:rsidR="000F3553" w:rsidRPr="00EC007B">
        <w:rPr>
          <w:rFonts w:ascii="Times New Roman" w:eastAsia="Times New Roman" w:hAnsi="Times New Roman" w:cs="Times New Roman"/>
          <w:sz w:val="24"/>
          <w:szCs w:val="24"/>
          <w:lang w:eastAsia="ar-SA"/>
        </w:rPr>
        <w:t>drop</w:t>
      </w:r>
      <w:r w:rsidRPr="00EC007B">
        <w:rPr>
          <w:rFonts w:ascii="Times New Roman" w:eastAsia="Times New Roman" w:hAnsi="Times New Roman" w:cs="Times New Roman"/>
          <w:sz w:val="24"/>
          <w:szCs w:val="24"/>
          <w:lang w:eastAsia="ar-SA"/>
        </w:rPr>
        <w:t xml:space="preserve"> by 2.2% during 2021 compared to 2020.</w:t>
      </w:r>
    </w:p>
    <w:p w:rsidR="003F6D18" w:rsidRPr="00EC007B" w:rsidRDefault="003F6D18" w:rsidP="003F6D18">
      <w:pPr>
        <w:tabs>
          <w:tab w:val="left" w:pos="981"/>
        </w:tabs>
        <w:spacing w:after="0" w:line="240" w:lineRule="auto"/>
        <w:jc w:val="both"/>
        <w:rPr>
          <w:rFonts w:ascii="Times New Roman" w:eastAsia="Times New Roman" w:hAnsi="Times New Roman" w:cs="Times New Roman"/>
          <w:sz w:val="24"/>
          <w:szCs w:val="24"/>
          <w:lang w:eastAsia="ar-SA"/>
        </w:rPr>
      </w:pPr>
      <w:r w:rsidRPr="00EC007B">
        <w:rPr>
          <w:rFonts w:ascii="Times New Roman" w:eastAsia="Times New Roman" w:hAnsi="Times New Roman" w:cs="Times New Roman"/>
          <w:sz w:val="24"/>
          <w:szCs w:val="24"/>
          <w:lang w:eastAsia="ar-SA"/>
        </w:rPr>
        <w:tab/>
      </w:r>
    </w:p>
    <w:p w:rsidR="00C55AB5" w:rsidRDefault="00C55AB5" w:rsidP="000F3553">
      <w:pPr>
        <w:spacing w:after="0" w:line="240" w:lineRule="auto"/>
        <w:jc w:val="both"/>
        <w:rPr>
          <w:rFonts w:ascii="Times New Roman" w:eastAsia="Times New Roman" w:hAnsi="Times New Roman" w:cs="Times New Roman"/>
          <w:sz w:val="24"/>
          <w:szCs w:val="24"/>
          <w:lang w:eastAsia="ar-SA"/>
        </w:rPr>
      </w:pPr>
      <w:r w:rsidRPr="00EC007B">
        <w:rPr>
          <w:rFonts w:ascii="Times New Roman" w:eastAsia="Times New Roman" w:hAnsi="Times New Roman" w:cs="Times New Roman"/>
          <w:sz w:val="24"/>
          <w:szCs w:val="24"/>
          <w:lang w:eastAsia="ar-SA"/>
        </w:rPr>
        <w:t xml:space="preserve">Work and Workers: </w:t>
      </w:r>
      <w:r w:rsidR="009D124A" w:rsidRPr="00EC007B">
        <w:rPr>
          <w:rFonts w:ascii="Times New Roman" w:hAnsi="Times New Roman" w:cs="Times New Roman"/>
          <w:sz w:val="24"/>
          <w:szCs w:val="24"/>
          <w:lang w:eastAsia="ar-SA"/>
        </w:rPr>
        <w:t xml:space="preserve">The unemployment rate is expected to </w:t>
      </w:r>
      <w:r w:rsidR="00F36D2B" w:rsidRPr="00EC007B">
        <w:rPr>
          <w:rFonts w:ascii="Times New Roman" w:hAnsi="Times New Roman" w:cs="Times New Roman"/>
          <w:sz w:val="24"/>
          <w:szCs w:val="24"/>
          <w:lang w:eastAsia="ar-SA"/>
        </w:rPr>
        <w:t>reach</w:t>
      </w:r>
      <w:r w:rsidR="009D124A" w:rsidRPr="00EC007B">
        <w:rPr>
          <w:rFonts w:ascii="Times New Roman" w:hAnsi="Times New Roman" w:cs="Times New Roman"/>
          <w:sz w:val="24"/>
          <w:szCs w:val="24"/>
          <w:lang w:eastAsia="ar-SA"/>
        </w:rPr>
        <w:t xml:space="preserve"> 27.5% during</w:t>
      </w:r>
      <w:r w:rsidR="000F3553" w:rsidRPr="00EC007B">
        <w:rPr>
          <w:rFonts w:ascii="Times New Roman" w:hAnsi="Times New Roman" w:cs="Times New Roman"/>
          <w:sz w:val="24"/>
          <w:szCs w:val="24"/>
          <w:lang w:eastAsia="ar-SA"/>
        </w:rPr>
        <w:t xml:space="preserve"> the next year</w:t>
      </w:r>
      <w:r w:rsidR="009D124A" w:rsidRPr="00EC007B">
        <w:rPr>
          <w:rFonts w:ascii="Times New Roman" w:hAnsi="Times New Roman" w:cs="Times New Roman"/>
          <w:sz w:val="24"/>
          <w:szCs w:val="24"/>
          <w:lang w:eastAsia="ar-SA"/>
        </w:rPr>
        <w:t xml:space="preserve"> 2021</w:t>
      </w:r>
    </w:p>
    <w:p w:rsidR="00232937" w:rsidRPr="00EC007B" w:rsidRDefault="00232937" w:rsidP="000F3553">
      <w:pPr>
        <w:spacing w:after="0" w:line="240" w:lineRule="auto"/>
        <w:jc w:val="both"/>
        <w:rPr>
          <w:rFonts w:ascii="Times New Roman" w:eastAsia="Times New Roman" w:hAnsi="Times New Roman" w:cs="Times New Roman"/>
          <w:sz w:val="24"/>
          <w:szCs w:val="24"/>
          <w:lang w:eastAsia="ar-SA"/>
        </w:rPr>
      </w:pPr>
    </w:p>
    <w:p w:rsidR="003F6D18" w:rsidRPr="00EC007B" w:rsidRDefault="003F6D18" w:rsidP="003F6D18">
      <w:pPr>
        <w:tabs>
          <w:tab w:val="left" w:pos="1238"/>
        </w:tabs>
        <w:spacing w:after="0" w:line="240" w:lineRule="auto"/>
        <w:jc w:val="both"/>
        <w:rPr>
          <w:rFonts w:ascii="Times New Roman" w:eastAsia="Times New Roman" w:hAnsi="Times New Roman" w:cs="Times New Roman"/>
          <w:sz w:val="24"/>
          <w:szCs w:val="24"/>
          <w:lang w:eastAsia="ar-SA"/>
        </w:rPr>
      </w:pPr>
      <w:r w:rsidRPr="00EC007B">
        <w:rPr>
          <w:rFonts w:ascii="Times New Roman" w:eastAsia="Times New Roman" w:hAnsi="Times New Roman" w:cs="Times New Roman"/>
          <w:sz w:val="24"/>
          <w:szCs w:val="24"/>
          <w:lang w:eastAsia="ar-SA"/>
        </w:rPr>
        <w:tab/>
      </w:r>
    </w:p>
    <w:p w:rsidR="003F6D18" w:rsidRPr="00EC007B" w:rsidRDefault="003F6D18" w:rsidP="003F6D18">
      <w:pPr>
        <w:spacing w:after="0" w:line="240" w:lineRule="auto"/>
        <w:jc w:val="both"/>
        <w:rPr>
          <w:rFonts w:ascii="Times New Roman" w:eastAsia="Times New Roman" w:hAnsi="Times New Roman" w:cs="Times New Roman"/>
          <w:sz w:val="24"/>
          <w:szCs w:val="24"/>
          <w:lang w:eastAsia="ar-SA"/>
        </w:rPr>
      </w:pPr>
      <w:r w:rsidRPr="00EC007B">
        <w:rPr>
          <w:rFonts w:ascii="Times New Roman" w:eastAsia="Times New Roman" w:hAnsi="Times New Roman" w:cs="Times New Roman"/>
          <w:b/>
          <w:bCs/>
          <w:sz w:val="24"/>
          <w:szCs w:val="24"/>
          <w:lang w:eastAsia="ar-SA"/>
        </w:rPr>
        <w:lastRenderedPageBreak/>
        <w:t xml:space="preserve">External Sector: </w:t>
      </w:r>
    </w:p>
    <w:p w:rsidR="00672F5A" w:rsidRPr="00FB09FD" w:rsidRDefault="000F3553" w:rsidP="005E38EB">
      <w:pPr>
        <w:spacing w:after="0" w:line="240" w:lineRule="auto"/>
        <w:jc w:val="both"/>
        <w:rPr>
          <w:rFonts w:ascii="Times New Roman" w:eastAsia="Times New Roman" w:hAnsi="Times New Roman" w:cs="Times New Roman"/>
          <w:sz w:val="24"/>
          <w:szCs w:val="24"/>
          <w:lang w:eastAsia="ar-SA"/>
        </w:rPr>
      </w:pPr>
      <w:r w:rsidRPr="00FB09FD">
        <w:rPr>
          <w:rFonts w:ascii="Times New Roman" w:eastAsia="Times New Roman" w:hAnsi="Times New Roman" w:cs="Times New Roman"/>
          <w:sz w:val="24"/>
          <w:szCs w:val="24"/>
          <w:lang w:eastAsia="ar-SA"/>
        </w:rPr>
        <w:t>Palestine</w:t>
      </w:r>
      <w:r>
        <w:rPr>
          <w:rFonts w:ascii="Times New Roman" w:eastAsia="Times New Roman" w:hAnsi="Times New Roman" w:cs="Times New Roman"/>
          <w:sz w:val="24"/>
          <w:szCs w:val="24"/>
          <w:lang w:eastAsia="ar-SA"/>
        </w:rPr>
        <w:t>’s</w:t>
      </w:r>
      <w:r w:rsidR="00672F5A" w:rsidRPr="00EC007B">
        <w:rPr>
          <w:rFonts w:ascii="Times New Roman" w:eastAsia="Times New Roman" w:hAnsi="Times New Roman" w:cs="Times New Roman"/>
          <w:sz w:val="24"/>
          <w:szCs w:val="24"/>
          <w:lang w:eastAsia="ar-SA"/>
        </w:rPr>
        <w:t xml:space="preserve"> </w:t>
      </w:r>
      <w:r w:rsidR="00672F5A" w:rsidRPr="00FB09FD">
        <w:rPr>
          <w:rFonts w:ascii="Times New Roman" w:eastAsia="Times New Roman" w:hAnsi="Times New Roman" w:cs="Times New Roman"/>
          <w:sz w:val="24"/>
          <w:szCs w:val="24"/>
          <w:lang w:eastAsia="ar-SA"/>
        </w:rPr>
        <w:t>ne</w:t>
      </w:r>
      <w:r>
        <w:rPr>
          <w:rFonts w:ascii="Times New Roman" w:eastAsia="Times New Roman" w:hAnsi="Times New Roman" w:cs="Times New Roman"/>
          <w:sz w:val="24"/>
          <w:szCs w:val="24"/>
          <w:lang w:eastAsia="ar-SA"/>
        </w:rPr>
        <w:t xml:space="preserve">t current account deficit value </w:t>
      </w:r>
      <w:r w:rsidR="00672F5A" w:rsidRPr="00FB09FD">
        <w:rPr>
          <w:rFonts w:ascii="Times New Roman" w:eastAsia="Times New Roman" w:hAnsi="Times New Roman" w:cs="Times New Roman"/>
          <w:sz w:val="24"/>
          <w:szCs w:val="24"/>
          <w:lang w:eastAsia="ar-SA"/>
        </w:rPr>
        <w:t xml:space="preserve">is anticipated to </w:t>
      </w:r>
      <w:r w:rsidR="009D124A" w:rsidRPr="00FB09FD">
        <w:rPr>
          <w:rFonts w:ascii="Times New Roman" w:eastAsia="Times New Roman" w:hAnsi="Times New Roman" w:cs="Times New Roman"/>
          <w:sz w:val="24"/>
          <w:szCs w:val="24"/>
          <w:lang w:eastAsia="ar-SA"/>
        </w:rPr>
        <w:t>de</w:t>
      </w:r>
      <w:r w:rsidR="00672F5A" w:rsidRPr="00FB09FD">
        <w:rPr>
          <w:rFonts w:ascii="Times New Roman" w:eastAsia="Times New Roman" w:hAnsi="Times New Roman" w:cs="Times New Roman"/>
          <w:sz w:val="24"/>
          <w:szCs w:val="24"/>
          <w:lang w:eastAsia="ar-SA"/>
        </w:rPr>
        <w:t xml:space="preserve">crease by </w:t>
      </w:r>
      <w:r w:rsidR="009D124A" w:rsidRPr="00FB09FD">
        <w:rPr>
          <w:rFonts w:ascii="Times New Roman" w:eastAsia="Times New Roman" w:hAnsi="Times New Roman" w:cs="Times New Roman"/>
          <w:sz w:val="24"/>
          <w:szCs w:val="24"/>
          <w:lang w:eastAsia="ar-SA"/>
        </w:rPr>
        <w:t>23.9</w:t>
      </w:r>
      <w:r w:rsidR="00F118B5" w:rsidRPr="00FB09FD">
        <w:rPr>
          <w:rFonts w:ascii="Times New Roman" w:eastAsia="Times New Roman" w:hAnsi="Times New Roman" w:cs="Times New Roman"/>
          <w:sz w:val="24"/>
          <w:szCs w:val="24"/>
          <w:lang w:eastAsia="ar-SA"/>
        </w:rPr>
        <w:t>% due to</w:t>
      </w:r>
      <w:r w:rsidR="00672F5A" w:rsidRPr="00FB09FD">
        <w:rPr>
          <w:rFonts w:ascii="Times New Roman" w:eastAsia="Times New Roman" w:hAnsi="Times New Roman" w:cs="Times New Roman"/>
          <w:sz w:val="24"/>
          <w:szCs w:val="24"/>
          <w:lang w:eastAsia="ar-SA"/>
        </w:rPr>
        <w:t xml:space="preserve"> </w:t>
      </w:r>
      <w:r w:rsidR="00401396" w:rsidRPr="00FB09FD">
        <w:rPr>
          <w:rFonts w:ascii="Times New Roman" w:eastAsia="Times New Roman" w:hAnsi="Times New Roman" w:cs="Times New Roman"/>
          <w:sz w:val="24"/>
          <w:szCs w:val="24"/>
          <w:lang w:eastAsia="ar-SA"/>
        </w:rPr>
        <w:t>an</w:t>
      </w:r>
      <w:r w:rsidR="00672F5A" w:rsidRPr="00FB09FD">
        <w:rPr>
          <w:rFonts w:ascii="Times New Roman" w:eastAsia="Times New Roman" w:hAnsi="Times New Roman" w:cs="Times New Roman"/>
          <w:sz w:val="24"/>
          <w:szCs w:val="24"/>
          <w:lang w:eastAsia="ar-SA"/>
        </w:rPr>
        <w:t xml:space="preserve"> </w:t>
      </w:r>
      <w:r w:rsidR="009D124A" w:rsidRPr="00FB09FD">
        <w:rPr>
          <w:rFonts w:ascii="Times New Roman" w:eastAsia="Times New Roman" w:hAnsi="Times New Roman" w:cs="Times New Roman"/>
          <w:sz w:val="24"/>
          <w:szCs w:val="24"/>
          <w:lang w:eastAsia="ar-SA"/>
        </w:rPr>
        <w:t>increase</w:t>
      </w:r>
      <w:r>
        <w:rPr>
          <w:rFonts w:ascii="Times New Roman" w:eastAsia="Times New Roman" w:hAnsi="Times New Roman" w:cs="Times New Roman"/>
          <w:sz w:val="24"/>
          <w:szCs w:val="24"/>
          <w:lang w:eastAsia="ar-SA"/>
        </w:rPr>
        <w:t xml:space="preserve"> of</w:t>
      </w:r>
      <w:r w:rsidR="009D124A" w:rsidRPr="00FB09F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54.4% </w:t>
      </w:r>
      <w:r w:rsidR="009D124A" w:rsidRPr="00FB09FD">
        <w:rPr>
          <w:rFonts w:ascii="Times New Roman" w:eastAsia="Times New Roman" w:hAnsi="Times New Roman" w:cs="Times New Roman"/>
          <w:sz w:val="24"/>
          <w:szCs w:val="24"/>
          <w:lang w:eastAsia="ar-SA"/>
        </w:rPr>
        <w:t xml:space="preserve">in net current transfers and an increase </w:t>
      </w:r>
      <w:r>
        <w:rPr>
          <w:rFonts w:ascii="Times New Roman" w:eastAsia="Times New Roman" w:hAnsi="Times New Roman" w:cs="Times New Roman"/>
          <w:sz w:val="24"/>
          <w:szCs w:val="24"/>
          <w:lang w:eastAsia="ar-SA"/>
        </w:rPr>
        <w:t xml:space="preserve">of 3.7% </w:t>
      </w:r>
      <w:r w:rsidR="003B0B2A" w:rsidRPr="00FB09FD">
        <w:rPr>
          <w:rFonts w:ascii="Times New Roman" w:eastAsia="Times New Roman" w:hAnsi="Times New Roman" w:cs="Times New Roman"/>
          <w:sz w:val="24"/>
          <w:szCs w:val="24"/>
          <w:lang w:eastAsia="ar-SA"/>
        </w:rPr>
        <w:t xml:space="preserve">in </w:t>
      </w:r>
      <w:r w:rsidR="006E5424" w:rsidRPr="00FB09FD">
        <w:rPr>
          <w:rFonts w:ascii="Times New Roman" w:eastAsia="Times New Roman" w:hAnsi="Times New Roman" w:cs="Times New Roman"/>
          <w:sz w:val="24"/>
          <w:szCs w:val="24"/>
          <w:lang w:eastAsia="ar-SA"/>
        </w:rPr>
        <w:t xml:space="preserve">the </w:t>
      </w:r>
      <w:r w:rsidR="006E5424" w:rsidRPr="00EC007B">
        <w:rPr>
          <w:rFonts w:ascii="Times New Roman" w:eastAsia="Times New Roman" w:hAnsi="Times New Roman" w:cs="Times New Roman"/>
          <w:sz w:val="24"/>
          <w:szCs w:val="24"/>
          <w:lang w:eastAsia="ar-SA"/>
        </w:rPr>
        <w:t>net</w:t>
      </w:r>
      <w:r w:rsidR="006E5424" w:rsidRPr="00FB09FD">
        <w:rPr>
          <w:rFonts w:ascii="Times New Roman" w:eastAsia="Times New Roman" w:hAnsi="Times New Roman" w:cs="Times New Roman"/>
          <w:sz w:val="24"/>
          <w:szCs w:val="24"/>
          <w:lang w:eastAsia="ar-SA"/>
        </w:rPr>
        <w:t xml:space="preserve"> factor income value</w:t>
      </w:r>
      <w:r>
        <w:rPr>
          <w:rFonts w:ascii="Times New Roman" w:eastAsia="Times New Roman" w:hAnsi="Times New Roman" w:cs="Times New Roman"/>
          <w:sz w:val="24"/>
          <w:szCs w:val="24"/>
          <w:lang w:eastAsia="ar-SA"/>
        </w:rPr>
        <w:t xml:space="preserve">, </w:t>
      </w:r>
      <w:r w:rsidR="00310AC6" w:rsidRPr="00FB09FD">
        <w:rPr>
          <w:rStyle w:val="hps"/>
          <w:rFonts w:ascii="Times New Roman" w:hAnsi="Times New Roman" w:cs="Times New Roman"/>
          <w:sz w:val="24"/>
          <w:szCs w:val="24"/>
        </w:rPr>
        <w:t>assuming that the</w:t>
      </w:r>
      <w:r w:rsidR="00310AC6" w:rsidRPr="00FB09FD">
        <w:rPr>
          <w:rFonts w:ascii="Times New Roman" w:hAnsi="Times New Roman" w:cs="Times New Roman"/>
          <w:sz w:val="24"/>
          <w:szCs w:val="24"/>
        </w:rPr>
        <w:t xml:space="preserve"> </w:t>
      </w:r>
      <w:r w:rsidR="00310AC6" w:rsidRPr="00FB09FD">
        <w:rPr>
          <w:rStyle w:val="hps"/>
          <w:rFonts w:ascii="Times New Roman" w:hAnsi="Times New Roman" w:cs="Times New Roman"/>
          <w:sz w:val="24"/>
          <w:szCs w:val="24"/>
        </w:rPr>
        <w:t>number of workers in</w:t>
      </w:r>
      <w:r w:rsidR="00310AC6" w:rsidRPr="00FB09FD">
        <w:rPr>
          <w:rFonts w:ascii="Times New Roman" w:hAnsi="Times New Roman" w:cs="Times New Roman"/>
          <w:sz w:val="24"/>
          <w:szCs w:val="24"/>
        </w:rPr>
        <w:t xml:space="preserve"> </w:t>
      </w:r>
      <w:r w:rsidR="00310AC6" w:rsidRPr="00FB09FD">
        <w:rPr>
          <w:rStyle w:val="hps"/>
          <w:rFonts w:ascii="Times New Roman" w:hAnsi="Times New Roman" w:cs="Times New Roman"/>
          <w:sz w:val="24"/>
          <w:szCs w:val="24"/>
        </w:rPr>
        <w:t xml:space="preserve">Israel will </w:t>
      </w:r>
      <w:r w:rsidR="009D124A" w:rsidRPr="00FB09FD">
        <w:rPr>
          <w:rStyle w:val="hps"/>
          <w:rFonts w:ascii="Times New Roman" w:hAnsi="Times New Roman" w:cs="Times New Roman"/>
          <w:sz w:val="24"/>
          <w:szCs w:val="24"/>
        </w:rPr>
        <w:t>in</w:t>
      </w:r>
      <w:r>
        <w:rPr>
          <w:rStyle w:val="hps"/>
          <w:rFonts w:ascii="Times New Roman" w:hAnsi="Times New Roman" w:cs="Times New Roman"/>
          <w:sz w:val="24"/>
          <w:szCs w:val="24"/>
        </w:rPr>
        <w:t>crease</w:t>
      </w:r>
      <w:r w:rsidR="00FB09FD" w:rsidRPr="00FB09FD">
        <w:rPr>
          <w:rStyle w:val="hps"/>
          <w:rFonts w:ascii="Times New Roman" w:hAnsi="Times New Roman" w:cs="Times New Roman"/>
          <w:sz w:val="24"/>
          <w:szCs w:val="24"/>
        </w:rPr>
        <w:t xml:space="preserve"> d</w:t>
      </w:r>
      <w:r w:rsidR="00310AC6" w:rsidRPr="00FB09FD">
        <w:rPr>
          <w:rFonts w:ascii="Times New Roman" w:eastAsia="Times New Roman" w:hAnsi="Times New Roman" w:cs="Times New Roman"/>
          <w:sz w:val="24"/>
          <w:szCs w:val="24"/>
          <w:lang w:eastAsia="ar-SA"/>
        </w:rPr>
        <w:t xml:space="preserve">espite </w:t>
      </w:r>
      <w:r w:rsidR="00672F5A" w:rsidRPr="00FB09FD">
        <w:rPr>
          <w:rFonts w:ascii="Times New Roman" w:eastAsia="Times New Roman" w:hAnsi="Times New Roman" w:cs="Times New Roman"/>
          <w:sz w:val="24"/>
          <w:szCs w:val="24"/>
          <w:lang w:eastAsia="ar-SA"/>
        </w:rPr>
        <w:t>the</w:t>
      </w:r>
      <w:r w:rsidR="00672F5A" w:rsidRPr="00EC007B">
        <w:rPr>
          <w:rFonts w:ascii="Times New Roman" w:eastAsia="Times New Roman" w:hAnsi="Times New Roman" w:cs="Times New Roman"/>
          <w:sz w:val="24"/>
          <w:szCs w:val="24"/>
          <w:lang w:eastAsia="ar-SA"/>
        </w:rPr>
        <w:t xml:space="preserve"> </w:t>
      </w:r>
      <w:r w:rsidR="00FB09FD" w:rsidRPr="00EC007B">
        <w:rPr>
          <w:rFonts w:ascii="Times New Roman" w:eastAsia="Times New Roman" w:hAnsi="Times New Roman" w:cs="Times New Roman"/>
          <w:sz w:val="24"/>
          <w:szCs w:val="24"/>
          <w:lang w:eastAsia="ar-SA"/>
        </w:rPr>
        <w:t>in</w:t>
      </w:r>
      <w:r w:rsidR="00A21EEF" w:rsidRPr="00EC007B">
        <w:rPr>
          <w:rFonts w:ascii="Times New Roman" w:eastAsia="Times New Roman" w:hAnsi="Times New Roman" w:cs="Times New Roman"/>
          <w:sz w:val="24"/>
          <w:szCs w:val="24"/>
          <w:lang w:eastAsia="ar-SA"/>
        </w:rPr>
        <w:t xml:space="preserve">crease </w:t>
      </w:r>
      <w:r w:rsidR="00161180" w:rsidRPr="00EC007B">
        <w:rPr>
          <w:rFonts w:ascii="Times New Roman" w:eastAsia="Times New Roman" w:hAnsi="Times New Roman" w:cs="Times New Roman"/>
          <w:sz w:val="24"/>
          <w:szCs w:val="24"/>
          <w:lang w:eastAsia="ar-SA"/>
        </w:rPr>
        <w:t xml:space="preserve">of </w:t>
      </w:r>
      <w:r w:rsidR="00672F5A" w:rsidRPr="00FB09FD">
        <w:rPr>
          <w:rFonts w:ascii="Times New Roman" w:eastAsia="Times New Roman" w:hAnsi="Times New Roman" w:cs="Times New Roman"/>
          <w:sz w:val="24"/>
          <w:szCs w:val="24"/>
          <w:lang w:eastAsia="ar-SA"/>
        </w:rPr>
        <w:t xml:space="preserve">trade balance deficit value </w:t>
      </w:r>
      <w:r>
        <w:rPr>
          <w:rFonts w:ascii="Times New Roman" w:eastAsia="Times New Roman" w:hAnsi="Times New Roman" w:cs="Times New Roman"/>
          <w:sz w:val="24"/>
          <w:szCs w:val="24"/>
          <w:lang w:eastAsia="ar-SA"/>
        </w:rPr>
        <w:t>of</w:t>
      </w:r>
      <w:r w:rsidR="00161180" w:rsidRPr="00FB09FD">
        <w:rPr>
          <w:rFonts w:ascii="Times New Roman" w:eastAsia="Times New Roman" w:hAnsi="Times New Roman" w:cs="Times New Roman"/>
          <w:sz w:val="24"/>
          <w:szCs w:val="24"/>
          <w:lang w:eastAsia="ar-SA"/>
        </w:rPr>
        <w:t xml:space="preserve"> </w:t>
      </w:r>
      <w:r w:rsidR="00FB09FD" w:rsidRPr="00FB09FD">
        <w:rPr>
          <w:rFonts w:ascii="Times New Roman" w:eastAsia="Times New Roman" w:hAnsi="Times New Roman" w:cs="Times New Roman"/>
          <w:sz w:val="24"/>
          <w:szCs w:val="24"/>
          <w:lang w:eastAsia="ar-SA"/>
        </w:rPr>
        <w:t xml:space="preserve">2.1%.  </w:t>
      </w:r>
      <w:r w:rsidR="00907CED" w:rsidRPr="00FB09FD">
        <w:rPr>
          <w:rStyle w:val="hps"/>
          <w:rFonts w:ascii="Times New Roman" w:hAnsi="Times New Roman" w:cs="Times New Roman"/>
          <w:sz w:val="24"/>
          <w:szCs w:val="24"/>
        </w:rPr>
        <w:t>A</w:t>
      </w:r>
      <w:r w:rsidR="00FB09FD" w:rsidRPr="00FB09FD">
        <w:rPr>
          <w:rStyle w:val="hps"/>
          <w:rFonts w:ascii="Times New Roman" w:hAnsi="Times New Roman" w:cs="Times New Roman"/>
          <w:sz w:val="24"/>
          <w:szCs w:val="24"/>
        </w:rPr>
        <w:t>n in</w:t>
      </w:r>
      <w:r w:rsidR="00671A4B" w:rsidRPr="00FB09FD">
        <w:rPr>
          <w:rStyle w:val="hps"/>
          <w:rFonts w:ascii="Times New Roman" w:hAnsi="Times New Roman" w:cs="Times New Roman"/>
          <w:sz w:val="24"/>
          <w:szCs w:val="24"/>
        </w:rPr>
        <w:t>crease</w:t>
      </w:r>
      <w:r w:rsidR="00672F5A" w:rsidRPr="00FB09FD">
        <w:rPr>
          <w:rStyle w:val="hps"/>
          <w:rFonts w:ascii="Times New Roman" w:hAnsi="Times New Roman" w:cs="Times New Roman"/>
          <w:sz w:val="24"/>
          <w:szCs w:val="24"/>
        </w:rPr>
        <w:t xml:space="preserve"> </w:t>
      </w:r>
      <w:r w:rsidR="005E38EB">
        <w:rPr>
          <w:rStyle w:val="hps"/>
          <w:rFonts w:ascii="Times New Roman" w:hAnsi="Times New Roman" w:cs="Times New Roman"/>
          <w:sz w:val="24"/>
          <w:szCs w:val="24"/>
        </w:rPr>
        <w:t>of</w:t>
      </w:r>
      <w:r w:rsidR="00672F5A" w:rsidRPr="00FB09FD">
        <w:rPr>
          <w:rStyle w:val="hps"/>
          <w:rFonts w:ascii="Times New Roman" w:hAnsi="Times New Roman" w:cs="Times New Roman"/>
          <w:sz w:val="24"/>
          <w:szCs w:val="24"/>
        </w:rPr>
        <w:t xml:space="preserve"> </w:t>
      </w:r>
      <w:r w:rsidR="00FB09FD" w:rsidRPr="00FB09FD">
        <w:rPr>
          <w:rStyle w:val="hps"/>
          <w:rFonts w:ascii="Times New Roman" w:hAnsi="Times New Roman" w:cs="Times New Roman"/>
          <w:sz w:val="24"/>
          <w:szCs w:val="24"/>
        </w:rPr>
        <w:t>1.3</w:t>
      </w:r>
      <w:r w:rsidR="00FB09FD">
        <w:rPr>
          <w:rStyle w:val="hps"/>
          <w:rFonts w:ascii="Times New Roman" w:hAnsi="Times New Roman" w:cs="Times New Roman"/>
          <w:sz w:val="24"/>
          <w:szCs w:val="24"/>
        </w:rPr>
        <w:t xml:space="preserve">% </w:t>
      </w:r>
      <w:r w:rsidR="00672F5A" w:rsidRPr="00FB09FD">
        <w:rPr>
          <w:rStyle w:val="hps"/>
          <w:rFonts w:ascii="Times New Roman" w:hAnsi="Times New Roman" w:cs="Times New Roman"/>
          <w:sz w:val="24"/>
          <w:szCs w:val="24"/>
        </w:rPr>
        <w:t xml:space="preserve">in </w:t>
      </w:r>
      <w:r w:rsidR="00672F5A" w:rsidRPr="00FB09FD">
        <w:rPr>
          <w:rFonts w:ascii="Times New Roman" w:eastAsia="Times New Roman" w:hAnsi="Times New Roman" w:cs="Times New Roman"/>
          <w:sz w:val="24"/>
          <w:szCs w:val="24"/>
          <w:lang w:eastAsia="ar-SA"/>
        </w:rPr>
        <w:t>gross national income value</w:t>
      </w:r>
      <w:r w:rsidR="005E38EB">
        <w:rPr>
          <w:rFonts w:ascii="Times New Roman" w:eastAsia="Times New Roman" w:hAnsi="Times New Roman" w:cs="Times New Roman"/>
          <w:sz w:val="24"/>
          <w:szCs w:val="24"/>
          <w:lang w:eastAsia="ar-SA"/>
        </w:rPr>
        <w:t xml:space="preserve"> </w:t>
      </w:r>
      <w:r w:rsidR="005E38EB">
        <w:rPr>
          <w:rStyle w:val="hps"/>
          <w:rFonts w:ascii="Times New Roman" w:hAnsi="Times New Roman" w:cs="Times New Roman"/>
          <w:sz w:val="24"/>
          <w:szCs w:val="24"/>
        </w:rPr>
        <w:t xml:space="preserve">is </w:t>
      </w:r>
      <w:r w:rsidR="005E38EB" w:rsidRPr="00FB09FD">
        <w:rPr>
          <w:rStyle w:val="hps"/>
          <w:rFonts w:ascii="Times New Roman" w:hAnsi="Times New Roman" w:cs="Times New Roman"/>
          <w:sz w:val="24"/>
          <w:szCs w:val="24"/>
        </w:rPr>
        <w:t>anticipated</w:t>
      </w:r>
      <w:r w:rsidR="005E38EB">
        <w:rPr>
          <w:rStyle w:val="hps"/>
          <w:rFonts w:ascii="Times New Roman" w:hAnsi="Times New Roman" w:cs="Times New Roman"/>
          <w:sz w:val="24"/>
          <w:szCs w:val="24"/>
        </w:rPr>
        <w:t xml:space="preserve"> in addition to </w:t>
      </w:r>
      <w:r w:rsidR="003B0B2A" w:rsidRPr="00FB09FD">
        <w:rPr>
          <w:rFonts w:ascii="Times New Roman" w:eastAsia="Times New Roman" w:hAnsi="Times New Roman" w:cs="Times New Roman"/>
          <w:sz w:val="24"/>
          <w:szCs w:val="24"/>
          <w:lang w:eastAsia="ar-SA"/>
        </w:rPr>
        <w:t>a</w:t>
      </w:r>
      <w:r w:rsidR="00FB09FD" w:rsidRPr="00FB09FD">
        <w:rPr>
          <w:rFonts w:ascii="Times New Roman" w:eastAsia="Times New Roman" w:hAnsi="Times New Roman" w:cs="Times New Roman"/>
          <w:sz w:val="24"/>
          <w:szCs w:val="24"/>
          <w:lang w:eastAsia="ar-SA"/>
        </w:rPr>
        <w:t>n</w:t>
      </w:r>
      <w:r w:rsidR="003B0B2A" w:rsidRPr="00FB09FD">
        <w:rPr>
          <w:rFonts w:ascii="Times New Roman" w:eastAsia="Times New Roman" w:hAnsi="Times New Roman" w:cs="Times New Roman"/>
          <w:sz w:val="24"/>
          <w:szCs w:val="24"/>
          <w:lang w:eastAsia="ar-SA"/>
        </w:rPr>
        <w:t xml:space="preserve"> </w:t>
      </w:r>
      <w:r w:rsidR="00FB09FD" w:rsidRPr="00FB09FD">
        <w:rPr>
          <w:rFonts w:ascii="Times New Roman" w:eastAsia="Times New Roman" w:hAnsi="Times New Roman" w:cs="Times New Roman"/>
          <w:sz w:val="24"/>
          <w:szCs w:val="24"/>
          <w:lang w:eastAsia="ar-SA"/>
        </w:rPr>
        <w:t>in</w:t>
      </w:r>
      <w:r w:rsidR="003B0B2A" w:rsidRPr="00FB09FD">
        <w:rPr>
          <w:rFonts w:ascii="Times New Roman" w:eastAsia="Times New Roman" w:hAnsi="Times New Roman" w:cs="Times New Roman"/>
          <w:sz w:val="24"/>
          <w:szCs w:val="24"/>
          <w:lang w:eastAsia="ar-SA"/>
        </w:rPr>
        <w:t xml:space="preserve">crease </w:t>
      </w:r>
      <w:r w:rsidR="005E38EB">
        <w:rPr>
          <w:rFonts w:ascii="Times New Roman" w:eastAsia="Times New Roman" w:hAnsi="Times New Roman" w:cs="Times New Roman"/>
          <w:sz w:val="24"/>
          <w:szCs w:val="24"/>
          <w:lang w:eastAsia="ar-SA"/>
        </w:rPr>
        <w:t>of</w:t>
      </w:r>
      <w:r w:rsidR="003B0B2A" w:rsidRPr="00FB09FD">
        <w:rPr>
          <w:rFonts w:ascii="Times New Roman" w:eastAsia="Times New Roman" w:hAnsi="Times New Roman" w:cs="Times New Roman"/>
          <w:sz w:val="24"/>
          <w:szCs w:val="24"/>
          <w:lang w:eastAsia="ar-SA"/>
        </w:rPr>
        <w:t xml:space="preserve"> </w:t>
      </w:r>
      <w:r w:rsidR="00FB09FD" w:rsidRPr="00FB09FD">
        <w:rPr>
          <w:rFonts w:ascii="Times New Roman" w:eastAsia="Times New Roman" w:hAnsi="Times New Roman" w:cs="Times New Roman"/>
          <w:sz w:val="24"/>
          <w:szCs w:val="24"/>
          <w:lang w:eastAsia="ar-SA"/>
        </w:rPr>
        <w:t>4.0</w:t>
      </w:r>
      <w:r w:rsidR="00672F5A" w:rsidRPr="00FB09FD">
        <w:rPr>
          <w:rFonts w:ascii="Times New Roman" w:eastAsia="Times New Roman" w:hAnsi="Times New Roman" w:cs="Times New Roman"/>
          <w:sz w:val="24"/>
          <w:szCs w:val="24"/>
          <w:lang w:eastAsia="ar-SA"/>
        </w:rPr>
        <w:t xml:space="preserve">% in </w:t>
      </w:r>
      <w:r w:rsidR="00672F5A" w:rsidRPr="00EC007B">
        <w:rPr>
          <w:rFonts w:ascii="Times New Roman" w:eastAsia="Times New Roman" w:hAnsi="Times New Roman" w:cs="Times New Roman"/>
          <w:sz w:val="24"/>
          <w:szCs w:val="24"/>
          <w:lang w:eastAsia="ar-SA"/>
        </w:rPr>
        <w:t xml:space="preserve">the value of </w:t>
      </w:r>
      <w:r w:rsidR="00672F5A" w:rsidRPr="00FB09FD">
        <w:rPr>
          <w:rFonts w:ascii="Times New Roman" w:eastAsia="Times New Roman" w:hAnsi="Times New Roman" w:cs="Times New Roman"/>
          <w:sz w:val="24"/>
          <w:szCs w:val="24"/>
          <w:lang w:eastAsia="ar-SA"/>
        </w:rPr>
        <w:t>g</w:t>
      </w:r>
      <w:r w:rsidR="005E38EB">
        <w:rPr>
          <w:rFonts w:ascii="Times New Roman" w:eastAsia="Times New Roman" w:hAnsi="Times New Roman" w:cs="Times New Roman"/>
          <w:sz w:val="24"/>
          <w:szCs w:val="24"/>
          <w:lang w:eastAsia="ar-SA"/>
        </w:rPr>
        <w:t>ross national disposable income</w:t>
      </w:r>
      <w:r w:rsidR="00F36D2B">
        <w:rPr>
          <w:rFonts w:ascii="Times New Roman" w:eastAsia="Times New Roman" w:hAnsi="Times New Roman" w:cs="Times New Roman"/>
          <w:sz w:val="24"/>
          <w:szCs w:val="24"/>
          <w:lang w:eastAsia="ar-SA"/>
        </w:rPr>
        <w:t xml:space="preserve"> </w:t>
      </w:r>
      <w:r w:rsidR="00F36D2B" w:rsidRPr="00EC007B">
        <w:rPr>
          <w:rFonts w:ascii="Times New Roman" w:eastAsia="Times New Roman" w:hAnsi="Times New Roman" w:cs="Times New Roman"/>
          <w:sz w:val="24"/>
          <w:szCs w:val="24"/>
          <w:lang w:eastAsia="ar-SA"/>
        </w:rPr>
        <w:t>during 2021 compared to 2020.</w:t>
      </w:r>
    </w:p>
    <w:p w:rsidR="00826C91" w:rsidRPr="00EC007B" w:rsidRDefault="00826C91" w:rsidP="00A273F6">
      <w:pPr>
        <w:spacing w:after="0" w:line="240" w:lineRule="auto"/>
        <w:jc w:val="lowKashida"/>
        <w:rPr>
          <w:rFonts w:ascii="Times New Roman" w:eastAsia="Times New Roman" w:hAnsi="Times New Roman" w:cs="Times New Roman"/>
          <w:sz w:val="24"/>
          <w:szCs w:val="24"/>
          <w:lang w:eastAsia="ar-SA"/>
        </w:rPr>
      </w:pPr>
    </w:p>
    <w:p w:rsidR="000D146C" w:rsidRPr="00EC007B" w:rsidRDefault="000D146C" w:rsidP="00A273F6">
      <w:pPr>
        <w:spacing w:after="0" w:line="240" w:lineRule="auto"/>
        <w:jc w:val="lowKashida"/>
        <w:rPr>
          <w:rFonts w:ascii="Times New Roman" w:eastAsia="Times New Roman" w:hAnsi="Times New Roman" w:cs="Times New Roman"/>
          <w:sz w:val="24"/>
          <w:szCs w:val="24"/>
          <w:lang w:eastAsia="ar-SA"/>
        </w:rPr>
      </w:pPr>
    </w:p>
    <w:p w:rsidR="000D146C" w:rsidRPr="00EC007B" w:rsidRDefault="000D146C" w:rsidP="00A273F6">
      <w:pPr>
        <w:spacing w:after="0" w:line="240" w:lineRule="auto"/>
        <w:jc w:val="lowKashida"/>
        <w:rPr>
          <w:rFonts w:ascii="Times New Roman" w:eastAsia="Times New Roman" w:hAnsi="Times New Roman" w:cs="Times New Roman"/>
          <w:sz w:val="24"/>
          <w:szCs w:val="24"/>
          <w:lang w:eastAsia="ar-SA"/>
        </w:rPr>
      </w:pPr>
    </w:p>
    <w:p w:rsidR="000D146C" w:rsidRPr="00EC007B" w:rsidRDefault="000D146C" w:rsidP="00A273F6">
      <w:pPr>
        <w:spacing w:after="0" w:line="240" w:lineRule="auto"/>
        <w:jc w:val="lowKashida"/>
        <w:rPr>
          <w:rFonts w:ascii="Times New Roman" w:eastAsia="Times New Roman" w:hAnsi="Times New Roman" w:cs="Times New Roman"/>
          <w:sz w:val="24"/>
          <w:szCs w:val="24"/>
          <w:lang w:eastAsia="ar-SA"/>
        </w:rPr>
      </w:pPr>
    </w:p>
    <w:p w:rsidR="000D146C" w:rsidRPr="00EC007B" w:rsidRDefault="000D146C" w:rsidP="00A273F6">
      <w:pPr>
        <w:spacing w:after="0" w:line="240" w:lineRule="auto"/>
        <w:jc w:val="lowKashida"/>
        <w:rPr>
          <w:rFonts w:ascii="Times New Roman" w:eastAsia="Times New Roman" w:hAnsi="Times New Roman" w:cs="Times New Roman"/>
          <w:sz w:val="24"/>
          <w:szCs w:val="24"/>
          <w:lang w:eastAsia="ar-SA"/>
        </w:rPr>
      </w:pPr>
    </w:p>
    <w:p w:rsidR="000D146C" w:rsidRPr="00EC007B" w:rsidRDefault="000D146C" w:rsidP="00A273F6">
      <w:pPr>
        <w:spacing w:after="0" w:line="240" w:lineRule="auto"/>
        <w:jc w:val="lowKashida"/>
        <w:rPr>
          <w:rFonts w:ascii="Times New Roman" w:eastAsia="Times New Roman" w:hAnsi="Times New Roman" w:cs="Times New Roman"/>
          <w:sz w:val="24"/>
          <w:szCs w:val="24"/>
          <w:rtl/>
          <w:lang w:eastAsia="ar-SA"/>
        </w:rPr>
      </w:pPr>
    </w:p>
    <w:p w:rsidR="009A24AD" w:rsidRPr="00EC007B" w:rsidRDefault="009A24AD" w:rsidP="00A273F6">
      <w:pPr>
        <w:spacing w:after="0" w:line="240" w:lineRule="auto"/>
        <w:jc w:val="lowKashida"/>
        <w:rPr>
          <w:rFonts w:ascii="Times New Roman" w:eastAsia="Times New Roman" w:hAnsi="Times New Roman" w:cs="Times New Roman"/>
          <w:sz w:val="24"/>
          <w:szCs w:val="24"/>
          <w:lang w:eastAsia="ar-SA"/>
        </w:rPr>
      </w:pPr>
    </w:p>
    <w:p w:rsidR="000D146C" w:rsidRPr="00EC007B" w:rsidRDefault="000D146C" w:rsidP="00A273F6">
      <w:pPr>
        <w:spacing w:after="0" w:line="240" w:lineRule="auto"/>
        <w:jc w:val="lowKashida"/>
        <w:rPr>
          <w:rFonts w:ascii="Times New Roman" w:eastAsia="Times New Roman" w:hAnsi="Times New Roman" w:cs="Times New Roman"/>
          <w:sz w:val="24"/>
          <w:szCs w:val="24"/>
          <w:lang w:eastAsia="ar-SA"/>
        </w:rPr>
      </w:pPr>
    </w:p>
    <w:p w:rsidR="000D146C" w:rsidRPr="00EC007B" w:rsidRDefault="000D146C" w:rsidP="00A273F6">
      <w:pPr>
        <w:spacing w:after="0" w:line="240" w:lineRule="auto"/>
        <w:jc w:val="lowKashida"/>
        <w:rPr>
          <w:rFonts w:ascii="Times New Roman" w:eastAsia="Times New Roman" w:hAnsi="Times New Roman" w:cs="Times New Roman"/>
          <w:sz w:val="24"/>
          <w:szCs w:val="24"/>
          <w:lang w:eastAsia="ar-SA"/>
        </w:rPr>
      </w:pPr>
    </w:p>
    <w:p w:rsidR="00826C91" w:rsidRPr="00EC007B" w:rsidRDefault="00826C91" w:rsidP="00BC40E2">
      <w:pPr>
        <w:spacing w:after="0" w:line="240" w:lineRule="auto"/>
        <w:ind w:left="-567" w:right="-710"/>
        <w:jc w:val="center"/>
        <w:rPr>
          <w:rFonts w:ascii="Times New Roman" w:eastAsia="Times New Roman" w:hAnsi="Times New Roman" w:cs="Times New Roman"/>
          <w:b/>
          <w:bCs/>
          <w:lang w:eastAsia="ar-SA"/>
        </w:rPr>
      </w:pPr>
      <w:r w:rsidRPr="00EC007B">
        <w:rPr>
          <w:rFonts w:ascii="Times New Roman" w:eastAsia="Times New Roman" w:hAnsi="Times New Roman" w:cs="Times New Roman"/>
          <w:b/>
          <w:bCs/>
          <w:lang w:eastAsia="ar-SA"/>
        </w:rPr>
        <w:t xml:space="preserve">The most significant outputs of economic forecasts based on the assumed scenarios </w:t>
      </w:r>
      <w:r w:rsidRPr="00EC007B">
        <w:rPr>
          <w:rFonts w:ascii="Times New Roman" w:eastAsia="Times New Roman" w:hAnsi="Times New Roman" w:cs="Times New Roman"/>
          <w:b/>
          <w:bCs/>
          <w:sz w:val="18"/>
          <w:szCs w:val="18"/>
        </w:rPr>
        <w:t>in Palestine</w:t>
      </w:r>
      <w:r w:rsidRPr="005C094B">
        <w:rPr>
          <w:rFonts w:ascii="Times New Roman" w:eastAsia="Times New Roman" w:hAnsi="Times New Roman" w:cs="Times New Roman"/>
          <w:b/>
          <w:bCs/>
          <w:sz w:val="18"/>
          <w:szCs w:val="18"/>
        </w:rPr>
        <w:t xml:space="preserve"> </w:t>
      </w:r>
      <w:r w:rsidRPr="00EC007B">
        <w:rPr>
          <w:rFonts w:ascii="Times New Roman" w:eastAsia="Times New Roman" w:hAnsi="Times New Roman" w:cs="Times New Roman"/>
          <w:b/>
          <w:bCs/>
          <w:lang w:eastAsia="ar-SA"/>
        </w:rPr>
        <w:t xml:space="preserve">for </w:t>
      </w:r>
      <w:r w:rsidR="00BC40E2" w:rsidRPr="00EC007B">
        <w:rPr>
          <w:rFonts w:ascii="Times New Roman" w:eastAsia="Times New Roman" w:hAnsi="Times New Roman" w:cs="Times New Roman"/>
          <w:b/>
          <w:bCs/>
          <w:lang w:eastAsia="ar-SA"/>
        </w:rPr>
        <w:t>2021</w:t>
      </w:r>
      <w:r w:rsidR="003D3C88" w:rsidRPr="00EC007B">
        <w:rPr>
          <w:rFonts w:ascii="Times New Roman" w:eastAsia="Times New Roman" w:hAnsi="Times New Roman" w:cs="Times New Roman"/>
          <w:b/>
          <w:bCs/>
          <w:lang w:eastAsia="ar-SA"/>
        </w:rPr>
        <w:t>*</w:t>
      </w:r>
      <w:r w:rsidRPr="00EC007B">
        <w:rPr>
          <w:rFonts w:ascii="Times New Roman" w:eastAsia="Times New Roman" w:hAnsi="Times New Roman" w:cs="Times New Roman"/>
          <w:b/>
          <w:bCs/>
          <w:lang w:eastAsia="ar-SA"/>
        </w:rPr>
        <w:t>.</w:t>
      </w:r>
    </w:p>
    <w:p w:rsidR="00677D94" w:rsidRPr="00EC007B" w:rsidRDefault="00677D94" w:rsidP="00503710">
      <w:pPr>
        <w:spacing w:after="0" w:line="240" w:lineRule="auto"/>
        <w:ind w:left="-567" w:right="-710"/>
        <w:jc w:val="center"/>
        <w:rPr>
          <w:rFonts w:ascii="Times New Roman" w:eastAsia="Times New Roman" w:hAnsi="Times New Roman" w:cs="Times New Roman"/>
          <w:b/>
          <w:bCs/>
          <w:lang w:eastAsia="ar-SA"/>
        </w:rPr>
      </w:pPr>
    </w:p>
    <w:tbl>
      <w:tblPr>
        <w:tblW w:w="605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87"/>
        <w:gridCol w:w="1152"/>
        <w:gridCol w:w="1152"/>
        <w:gridCol w:w="1152"/>
        <w:gridCol w:w="1152"/>
        <w:gridCol w:w="1157"/>
      </w:tblGrid>
      <w:tr w:rsidR="00232937" w:rsidRPr="00EC007B" w:rsidTr="00EC007B">
        <w:trPr>
          <w:trHeight w:val="340"/>
          <w:jc w:val="center"/>
        </w:trPr>
        <w:tc>
          <w:tcPr>
            <w:tcW w:w="2438" w:type="pct"/>
            <w:tcBorders>
              <w:bottom w:val="single" w:sz="12" w:space="0" w:color="auto"/>
            </w:tcBorders>
            <w:shd w:val="clear" w:color="auto" w:fill="auto"/>
            <w:vAlign w:val="center"/>
          </w:tcPr>
          <w:p w:rsidR="00677D94" w:rsidRPr="00EC007B" w:rsidRDefault="00677D94" w:rsidP="00EC007B">
            <w:pPr>
              <w:spacing w:after="0" w:line="240" w:lineRule="auto"/>
              <w:jc w:val="center"/>
              <w:rPr>
                <w:rFonts w:ascii="Times New Roman" w:eastAsia="Times New Roman" w:hAnsi="Times New Roman" w:cs="Times New Roman"/>
                <w:b/>
                <w:bCs/>
                <w:sz w:val="17"/>
                <w:szCs w:val="17"/>
              </w:rPr>
            </w:pPr>
            <w:r w:rsidRPr="00EC007B">
              <w:rPr>
                <w:rFonts w:ascii="Times New Roman" w:eastAsia="Times New Roman" w:hAnsi="Times New Roman" w:cs="Times New Roman"/>
                <w:b/>
                <w:bCs/>
                <w:sz w:val="17"/>
                <w:szCs w:val="17"/>
              </w:rPr>
              <w:t>Main  Indicators</w:t>
            </w:r>
          </w:p>
        </w:tc>
        <w:tc>
          <w:tcPr>
            <w:tcW w:w="512" w:type="pct"/>
            <w:tcBorders>
              <w:bottom w:val="single" w:sz="12" w:space="0" w:color="auto"/>
            </w:tcBorders>
            <w:shd w:val="clear" w:color="auto" w:fill="auto"/>
            <w:vAlign w:val="center"/>
          </w:tcPr>
          <w:p w:rsidR="00677D94" w:rsidRPr="00EC007B" w:rsidRDefault="004214D2" w:rsidP="00EC007B">
            <w:pPr>
              <w:bidi/>
              <w:spacing w:after="0" w:line="240" w:lineRule="auto"/>
              <w:jc w:val="center"/>
              <w:rPr>
                <w:rFonts w:ascii="Times New Roman" w:eastAsia="Times New Roman" w:hAnsi="Times New Roman" w:cs="Times New Roman"/>
                <w:b/>
                <w:bCs/>
                <w:sz w:val="17"/>
                <w:szCs w:val="17"/>
              </w:rPr>
            </w:pPr>
            <w:r w:rsidRPr="00EC007B">
              <w:rPr>
                <w:rFonts w:ascii="Times New Roman" w:eastAsia="Times New Roman" w:hAnsi="Times New Roman" w:cs="Times New Roman"/>
                <w:b/>
                <w:bCs/>
                <w:sz w:val="17"/>
                <w:szCs w:val="17"/>
              </w:rPr>
              <w:t>2019</w:t>
            </w:r>
          </w:p>
        </w:tc>
        <w:tc>
          <w:tcPr>
            <w:tcW w:w="512" w:type="pct"/>
            <w:tcBorders>
              <w:bottom w:val="single" w:sz="12" w:space="0" w:color="auto"/>
            </w:tcBorders>
            <w:shd w:val="clear" w:color="auto" w:fill="auto"/>
            <w:vAlign w:val="center"/>
          </w:tcPr>
          <w:p w:rsidR="00677D94" w:rsidRPr="00EC007B" w:rsidRDefault="00677D94" w:rsidP="00EC007B">
            <w:pPr>
              <w:bidi/>
              <w:spacing w:after="0" w:line="240" w:lineRule="auto"/>
              <w:jc w:val="center"/>
              <w:rPr>
                <w:rFonts w:ascii="Times New Roman" w:eastAsia="Times New Roman" w:hAnsi="Times New Roman" w:cs="Times New Roman"/>
                <w:b/>
                <w:bCs/>
                <w:sz w:val="17"/>
                <w:szCs w:val="17"/>
                <w:lang w:eastAsia="ar-SA"/>
              </w:rPr>
            </w:pPr>
            <w:r w:rsidRPr="00EC007B">
              <w:rPr>
                <w:rFonts w:ascii="Times New Roman" w:eastAsia="Times New Roman" w:hAnsi="Times New Roman" w:cs="Times New Roman"/>
                <w:b/>
                <w:bCs/>
                <w:sz w:val="17"/>
                <w:szCs w:val="17"/>
                <w:lang w:eastAsia="ar-SA"/>
              </w:rPr>
              <w:t xml:space="preserve">Preliminary Estimates </w:t>
            </w:r>
            <w:r w:rsidR="004214D2" w:rsidRPr="00EC007B">
              <w:rPr>
                <w:rFonts w:ascii="Times New Roman" w:eastAsia="Times New Roman" w:hAnsi="Times New Roman" w:cs="Times New Roman"/>
                <w:b/>
                <w:bCs/>
                <w:sz w:val="17"/>
                <w:szCs w:val="17"/>
                <w:lang w:eastAsia="ar-SA"/>
              </w:rPr>
              <w:t>2020</w:t>
            </w:r>
          </w:p>
        </w:tc>
        <w:tc>
          <w:tcPr>
            <w:tcW w:w="512" w:type="pct"/>
            <w:tcBorders>
              <w:bottom w:val="single" w:sz="12" w:space="0" w:color="auto"/>
            </w:tcBorders>
            <w:shd w:val="clear" w:color="auto" w:fill="auto"/>
            <w:vAlign w:val="center"/>
          </w:tcPr>
          <w:p w:rsidR="00677D94" w:rsidRPr="00EC007B" w:rsidRDefault="00677D94" w:rsidP="00EC007B">
            <w:pPr>
              <w:bidi/>
              <w:spacing w:after="0" w:line="240" w:lineRule="auto"/>
              <w:jc w:val="center"/>
              <w:rPr>
                <w:rFonts w:ascii="Times New Roman" w:eastAsia="Times New Roman" w:hAnsi="Times New Roman" w:cs="Times New Roman"/>
                <w:b/>
                <w:bCs/>
                <w:sz w:val="17"/>
                <w:szCs w:val="17"/>
              </w:rPr>
            </w:pPr>
            <w:r w:rsidRPr="00EC007B">
              <w:rPr>
                <w:rFonts w:ascii="Times New Roman" w:eastAsia="Times New Roman" w:hAnsi="Times New Roman" w:cs="Times New Roman"/>
                <w:b/>
                <w:bCs/>
                <w:sz w:val="17"/>
                <w:szCs w:val="17"/>
              </w:rPr>
              <w:t>Baseline Scenario</w:t>
            </w:r>
          </w:p>
          <w:p w:rsidR="00677D94" w:rsidRPr="00EC007B" w:rsidRDefault="00677D94" w:rsidP="00EC007B">
            <w:pPr>
              <w:bidi/>
              <w:spacing w:after="0" w:line="240" w:lineRule="auto"/>
              <w:jc w:val="center"/>
              <w:rPr>
                <w:rFonts w:ascii="Times New Roman" w:eastAsia="Times New Roman" w:hAnsi="Times New Roman" w:cs="Times New Roman"/>
                <w:b/>
                <w:bCs/>
                <w:sz w:val="17"/>
                <w:szCs w:val="17"/>
              </w:rPr>
            </w:pPr>
            <w:r w:rsidRPr="00EC007B">
              <w:rPr>
                <w:rFonts w:ascii="Times New Roman" w:eastAsia="Times New Roman" w:hAnsi="Times New Roman" w:cs="Times New Roman"/>
                <w:b/>
                <w:bCs/>
                <w:sz w:val="17"/>
                <w:szCs w:val="17"/>
              </w:rPr>
              <w:t xml:space="preserve"> </w:t>
            </w:r>
            <w:r w:rsidR="004214D2" w:rsidRPr="00EC007B">
              <w:rPr>
                <w:rFonts w:ascii="Times New Roman" w:eastAsia="Times New Roman" w:hAnsi="Times New Roman" w:cs="Times New Roman"/>
                <w:b/>
                <w:bCs/>
                <w:sz w:val="17"/>
                <w:szCs w:val="17"/>
              </w:rPr>
              <w:t>2021</w:t>
            </w:r>
          </w:p>
        </w:tc>
        <w:tc>
          <w:tcPr>
            <w:tcW w:w="512" w:type="pct"/>
            <w:tcBorders>
              <w:bottom w:val="single" w:sz="12" w:space="0" w:color="auto"/>
            </w:tcBorders>
            <w:shd w:val="clear" w:color="auto" w:fill="auto"/>
            <w:vAlign w:val="center"/>
          </w:tcPr>
          <w:p w:rsidR="00677D94" w:rsidRPr="00EC007B" w:rsidRDefault="00677D94" w:rsidP="00EC007B">
            <w:pPr>
              <w:bidi/>
              <w:spacing w:after="0" w:line="240" w:lineRule="auto"/>
              <w:jc w:val="center"/>
              <w:rPr>
                <w:rFonts w:ascii="Times New Roman" w:eastAsia="Times New Roman" w:hAnsi="Times New Roman" w:cs="Times New Roman"/>
                <w:b/>
                <w:bCs/>
                <w:sz w:val="17"/>
                <w:szCs w:val="17"/>
              </w:rPr>
            </w:pPr>
            <w:r w:rsidRPr="00EC007B">
              <w:rPr>
                <w:rFonts w:ascii="Times New Roman" w:eastAsia="Times New Roman" w:hAnsi="Times New Roman" w:cs="Times New Roman"/>
                <w:b/>
                <w:bCs/>
                <w:sz w:val="17"/>
                <w:szCs w:val="17"/>
              </w:rPr>
              <w:t>Optimistic Scenario</w:t>
            </w:r>
          </w:p>
          <w:p w:rsidR="00677D94" w:rsidRPr="00EC007B" w:rsidRDefault="00677D94" w:rsidP="00EC007B">
            <w:pPr>
              <w:bidi/>
              <w:spacing w:after="0" w:line="240" w:lineRule="auto"/>
              <w:jc w:val="center"/>
              <w:rPr>
                <w:rFonts w:ascii="Times New Roman" w:eastAsia="Times New Roman" w:hAnsi="Times New Roman" w:cs="Times New Roman"/>
                <w:b/>
                <w:bCs/>
                <w:sz w:val="17"/>
                <w:szCs w:val="17"/>
              </w:rPr>
            </w:pPr>
            <w:r w:rsidRPr="00EC007B">
              <w:rPr>
                <w:rFonts w:ascii="Times New Roman" w:eastAsia="Times New Roman" w:hAnsi="Times New Roman" w:cs="Times New Roman"/>
                <w:b/>
                <w:bCs/>
                <w:sz w:val="17"/>
                <w:szCs w:val="17"/>
              </w:rPr>
              <w:t xml:space="preserve"> </w:t>
            </w:r>
            <w:r w:rsidR="004214D2" w:rsidRPr="00EC007B">
              <w:rPr>
                <w:rFonts w:ascii="Times New Roman" w:eastAsia="Times New Roman" w:hAnsi="Times New Roman" w:cs="Times New Roman"/>
                <w:b/>
                <w:bCs/>
                <w:sz w:val="17"/>
                <w:szCs w:val="17"/>
              </w:rPr>
              <w:t>2021</w:t>
            </w:r>
          </w:p>
        </w:tc>
        <w:tc>
          <w:tcPr>
            <w:tcW w:w="513" w:type="pct"/>
            <w:tcBorders>
              <w:bottom w:val="single" w:sz="12" w:space="0" w:color="auto"/>
            </w:tcBorders>
            <w:shd w:val="clear" w:color="auto" w:fill="auto"/>
            <w:vAlign w:val="center"/>
          </w:tcPr>
          <w:p w:rsidR="00677D94" w:rsidRPr="00EC007B" w:rsidRDefault="00677D94" w:rsidP="00EC007B">
            <w:pPr>
              <w:bidi/>
              <w:spacing w:after="0" w:line="240" w:lineRule="auto"/>
              <w:jc w:val="center"/>
              <w:rPr>
                <w:rFonts w:ascii="Times New Roman" w:eastAsia="Times New Roman" w:hAnsi="Times New Roman" w:cs="Times New Roman"/>
                <w:b/>
                <w:bCs/>
                <w:sz w:val="17"/>
                <w:szCs w:val="17"/>
              </w:rPr>
            </w:pPr>
            <w:r w:rsidRPr="00EC007B">
              <w:rPr>
                <w:rFonts w:ascii="Times New Roman" w:eastAsia="Times New Roman" w:hAnsi="Times New Roman" w:cs="Times New Roman"/>
                <w:b/>
                <w:bCs/>
                <w:sz w:val="17"/>
                <w:szCs w:val="17"/>
              </w:rPr>
              <w:t xml:space="preserve">Pessimistic Scenario </w:t>
            </w:r>
            <w:r w:rsidR="004214D2" w:rsidRPr="00EC007B">
              <w:rPr>
                <w:rFonts w:ascii="Times New Roman" w:eastAsia="Times New Roman" w:hAnsi="Times New Roman" w:cs="Times New Roman"/>
                <w:b/>
                <w:bCs/>
                <w:sz w:val="17"/>
                <w:szCs w:val="17"/>
              </w:rPr>
              <w:t>2021</w:t>
            </w:r>
          </w:p>
        </w:tc>
      </w:tr>
      <w:tr w:rsidR="00232937" w:rsidRPr="00EC007B" w:rsidTr="00EC007B">
        <w:trPr>
          <w:trHeight w:val="359"/>
          <w:jc w:val="center"/>
        </w:trPr>
        <w:tc>
          <w:tcPr>
            <w:tcW w:w="5000" w:type="pct"/>
            <w:gridSpan w:val="6"/>
            <w:tcBorders>
              <w:bottom w:val="single" w:sz="12" w:space="0" w:color="auto"/>
            </w:tcBorders>
            <w:shd w:val="clear" w:color="auto" w:fill="808080"/>
            <w:vAlign w:val="center"/>
          </w:tcPr>
          <w:p w:rsidR="00677D94" w:rsidRPr="00EC007B" w:rsidRDefault="00677D94" w:rsidP="00EC007B">
            <w:pPr>
              <w:spacing w:after="0" w:line="240" w:lineRule="auto"/>
              <w:jc w:val="center"/>
              <w:rPr>
                <w:rFonts w:ascii="Times New Roman" w:hAnsi="Times New Roman" w:cs="Times New Roman"/>
                <w:b/>
                <w:bCs/>
                <w:sz w:val="17"/>
                <w:szCs w:val="17"/>
                <w:lang w:eastAsia="ar-SA"/>
              </w:rPr>
            </w:pPr>
          </w:p>
        </w:tc>
      </w:tr>
      <w:tr w:rsidR="00232937" w:rsidRPr="00EC007B" w:rsidTr="00EC007B">
        <w:trPr>
          <w:trHeight w:val="255"/>
          <w:jc w:val="center"/>
        </w:trPr>
        <w:tc>
          <w:tcPr>
            <w:tcW w:w="2438" w:type="pct"/>
            <w:tcBorders>
              <w:top w:val="single" w:sz="12" w:space="0" w:color="auto"/>
              <w:left w:val="single" w:sz="12" w:space="0" w:color="auto"/>
              <w:bottom w:val="nil"/>
              <w:right w:val="single" w:sz="12" w:space="0" w:color="auto"/>
            </w:tcBorders>
            <w:shd w:val="clear" w:color="auto" w:fill="auto"/>
            <w:vAlign w:val="center"/>
          </w:tcPr>
          <w:p w:rsidR="004214D2" w:rsidRPr="00EC007B" w:rsidRDefault="004214D2" w:rsidP="00EC007B">
            <w:pPr>
              <w:autoSpaceDE w:val="0"/>
              <w:autoSpaceDN w:val="0"/>
              <w:adjustRightInd w:val="0"/>
              <w:spacing w:after="0" w:line="240" w:lineRule="auto"/>
              <w:rPr>
                <w:rFonts w:ascii="Times New Roman" w:eastAsia="Times New Roman" w:hAnsi="Times New Roman" w:cs="Times New Roman"/>
                <w:b/>
                <w:bCs/>
                <w:sz w:val="17"/>
                <w:szCs w:val="17"/>
              </w:rPr>
            </w:pPr>
            <w:r w:rsidRPr="00EC007B">
              <w:rPr>
                <w:rFonts w:ascii="Times New Roman" w:eastAsia="Times New Roman" w:hAnsi="Times New Roman" w:cs="Times New Roman"/>
                <w:b/>
                <w:bCs/>
                <w:sz w:val="17"/>
                <w:szCs w:val="17"/>
              </w:rPr>
              <w:t xml:space="preserve">Gross Domestic Product ( USD Million) </w:t>
            </w:r>
          </w:p>
        </w:tc>
        <w:tc>
          <w:tcPr>
            <w:tcW w:w="512" w:type="pct"/>
            <w:tcBorders>
              <w:top w:val="single" w:sz="12" w:space="0" w:color="auto"/>
              <w:left w:val="single" w:sz="12" w:space="0" w:color="auto"/>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15,829.0</w:t>
            </w:r>
          </w:p>
        </w:tc>
        <w:tc>
          <w:tcPr>
            <w:tcW w:w="512" w:type="pct"/>
            <w:tcBorders>
              <w:top w:val="single" w:sz="12" w:space="0" w:color="auto"/>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13,999.1</w:t>
            </w:r>
          </w:p>
        </w:tc>
        <w:tc>
          <w:tcPr>
            <w:tcW w:w="512" w:type="pct"/>
            <w:tcBorders>
              <w:top w:val="single" w:sz="12" w:space="0" w:color="auto"/>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14,843.4</w:t>
            </w:r>
          </w:p>
        </w:tc>
        <w:tc>
          <w:tcPr>
            <w:tcW w:w="512" w:type="pct"/>
            <w:tcBorders>
              <w:top w:val="single" w:sz="12" w:space="0" w:color="auto"/>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15,825.1</w:t>
            </w:r>
          </w:p>
        </w:tc>
        <w:tc>
          <w:tcPr>
            <w:tcW w:w="513" w:type="pct"/>
            <w:tcBorders>
              <w:top w:val="single" w:sz="12" w:space="0" w:color="auto"/>
              <w:left w:val="nil"/>
              <w:bottom w:val="nil"/>
              <w:right w:val="single" w:sz="12" w:space="0" w:color="auto"/>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14,126.5</w:t>
            </w:r>
          </w:p>
        </w:tc>
      </w:tr>
      <w:tr w:rsidR="00232937" w:rsidRPr="00EC007B" w:rsidTr="00EC007B">
        <w:trPr>
          <w:trHeight w:val="255"/>
          <w:jc w:val="center"/>
        </w:trPr>
        <w:tc>
          <w:tcPr>
            <w:tcW w:w="2438" w:type="pct"/>
            <w:tcBorders>
              <w:top w:val="nil"/>
              <w:bottom w:val="nil"/>
              <w:right w:val="single" w:sz="12" w:space="0" w:color="auto"/>
            </w:tcBorders>
            <w:shd w:val="clear" w:color="auto" w:fill="auto"/>
            <w:vAlign w:val="center"/>
          </w:tcPr>
          <w:p w:rsidR="004214D2" w:rsidRPr="00EC007B" w:rsidRDefault="004214D2" w:rsidP="00EC007B">
            <w:pPr>
              <w:autoSpaceDE w:val="0"/>
              <w:autoSpaceDN w:val="0"/>
              <w:adjustRightInd w:val="0"/>
              <w:spacing w:after="0" w:line="240" w:lineRule="auto"/>
              <w:rPr>
                <w:rFonts w:ascii="Times New Roman" w:hAnsi="Times New Roman" w:cs="Times New Roman"/>
                <w:b/>
                <w:bCs/>
                <w:sz w:val="17"/>
                <w:szCs w:val="17"/>
              </w:rPr>
            </w:pPr>
            <w:r w:rsidRPr="00EC007B">
              <w:rPr>
                <w:rFonts w:ascii="Times New Roman" w:eastAsia="Times New Roman" w:hAnsi="Times New Roman" w:cs="Times New Roman"/>
                <w:b/>
                <w:bCs/>
                <w:sz w:val="17"/>
                <w:szCs w:val="17"/>
              </w:rPr>
              <w:t>GDP per capita (USD)</w:t>
            </w:r>
          </w:p>
        </w:tc>
        <w:tc>
          <w:tcPr>
            <w:tcW w:w="512" w:type="pct"/>
            <w:tcBorders>
              <w:top w:val="nil"/>
              <w:left w:val="single" w:sz="12" w:space="0" w:color="auto"/>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3,378.4</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2,915.5</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3,018.2</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3,217.8</w:t>
            </w:r>
          </w:p>
        </w:tc>
        <w:tc>
          <w:tcPr>
            <w:tcW w:w="513" w:type="pct"/>
            <w:tcBorders>
              <w:top w:val="nil"/>
              <w:left w:val="nil"/>
              <w:bottom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2,874.0</w:t>
            </w:r>
          </w:p>
        </w:tc>
      </w:tr>
      <w:tr w:rsidR="00232937" w:rsidRPr="00EC007B" w:rsidTr="00EC007B">
        <w:trPr>
          <w:trHeight w:val="255"/>
          <w:jc w:val="center"/>
        </w:trPr>
        <w:tc>
          <w:tcPr>
            <w:tcW w:w="2438" w:type="pct"/>
            <w:tcBorders>
              <w:top w:val="nil"/>
              <w:bottom w:val="nil"/>
              <w:right w:val="single" w:sz="12" w:space="0" w:color="auto"/>
            </w:tcBorders>
            <w:shd w:val="clear" w:color="auto" w:fill="auto"/>
            <w:vAlign w:val="center"/>
          </w:tcPr>
          <w:p w:rsidR="004214D2" w:rsidRPr="00EC007B" w:rsidRDefault="004214D2" w:rsidP="00EC007B">
            <w:pPr>
              <w:autoSpaceDE w:val="0"/>
              <w:autoSpaceDN w:val="0"/>
              <w:adjustRightInd w:val="0"/>
              <w:spacing w:after="0" w:line="240" w:lineRule="auto"/>
              <w:rPr>
                <w:rFonts w:ascii="Times New Roman" w:eastAsia="Times New Roman" w:hAnsi="Times New Roman" w:cs="Times New Roman"/>
                <w:b/>
                <w:bCs/>
                <w:sz w:val="17"/>
                <w:szCs w:val="17"/>
              </w:rPr>
            </w:pPr>
            <w:r w:rsidRPr="00EC007B">
              <w:rPr>
                <w:rFonts w:ascii="Times New Roman" w:eastAsia="Times New Roman" w:hAnsi="Times New Roman" w:cs="Times New Roman"/>
                <w:b/>
                <w:bCs/>
                <w:sz w:val="17"/>
                <w:szCs w:val="17"/>
              </w:rPr>
              <w:t xml:space="preserve">Unemployment Rate (%) </w:t>
            </w:r>
          </w:p>
        </w:tc>
        <w:tc>
          <w:tcPr>
            <w:tcW w:w="512" w:type="pct"/>
            <w:tcBorders>
              <w:top w:val="nil"/>
              <w:left w:val="single" w:sz="12" w:space="0" w:color="auto"/>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26.3</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27.8</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27.2</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26.4</w:t>
            </w:r>
          </w:p>
        </w:tc>
        <w:tc>
          <w:tcPr>
            <w:tcW w:w="513" w:type="pct"/>
            <w:tcBorders>
              <w:top w:val="nil"/>
              <w:left w:val="nil"/>
              <w:bottom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27.5</w:t>
            </w:r>
          </w:p>
        </w:tc>
      </w:tr>
      <w:tr w:rsidR="00232937" w:rsidRPr="00EC007B" w:rsidTr="00EC007B">
        <w:trPr>
          <w:trHeight w:val="454"/>
          <w:jc w:val="center"/>
        </w:trPr>
        <w:tc>
          <w:tcPr>
            <w:tcW w:w="5000" w:type="pct"/>
            <w:gridSpan w:val="6"/>
            <w:tcBorders>
              <w:top w:val="single" w:sz="12" w:space="0" w:color="auto"/>
              <w:bottom w:val="single" w:sz="12" w:space="0" w:color="auto"/>
            </w:tcBorders>
            <w:shd w:val="clear" w:color="auto" w:fill="808080"/>
            <w:vAlign w:val="center"/>
          </w:tcPr>
          <w:p w:rsidR="00677D94" w:rsidRPr="00EC007B" w:rsidRDefault="00677D94" w:rsidP="00EC007B">
            <w:pPr>
              <w:spacing w:after="0" w:line="240" w:lineRule="auto"/>
              <w:jc w:val="center"/>
              <w:rPr>
                <w:rFonts w:ascii="Times New Roman" w:eastAsia="Times New Roman" w:hAnsi="Times New Roman" w:cs="Times New Roman"/>
                <w:b/>
                <w:bCs/>
                <w:sz w:val="17"/>
                <w:szCs w:val="17"/>
              </w:rPr>
            </w:pPr>
            <w:r w:rsidRPr="00EC007B">
              <w:rPr>
                <w:rFonts w:ascii="Times New Roman" w:eastAsia="Times New Roman" w:hAnsi="Times New Roman" w:cs="Times New Roman"/>
                <w:b/>
                <w:bCs/>
                <w:sz w:val="17"/>
                <w:szCs w:val="17"/>
              </w:rPr>
              <w:t>Percentage Change (%)</w:t>
            </w:r>
          </w:p>
        </w:tc>
      </w:tr>
      <w:tr w:rsidR="00232937" w:rsidRPr="00EC007B" w:rsidTr="00EC007B">
        <w:trPr>
          <w:trHeight w:val="255"/>
          <w:jc w:val="center"/>
        </w:trPr>
        <w:tc>
          <w:tcPr>
            <w:tcW w:w="2438" w:type="pct"/>
            <w:tcBorders>
              <w:top w:val="single" w:sz="12" w:space="0" w:color="auto"/>
              <w:bottom w:val="nil"/>
              <w:right w:val="single" w:sz="12" w:space="0" w:color="auto"/>
            </w:tcBorders>
            <w:shd w:val="clear" w:color="auto" w:fill="auto"/>
            <w:vAlign w:val="center"/>
          </w:tcPr>
          <w:p w:rsidR="004214D2" w:rsidRPr="00EC007B" w:rsidRDefault="004214D2" w:rsidP="00EC007B">
            <w:pPr>
              <w:autoSpaceDE w:val="0"/>
              <w:autoSpaceDN w:val="0"/>
              <w:adjustRightInd w:val="0"/>
              <w:spacing w:after="0" w:line="240" w:lineRule="auto"/>
              <w:rPr>
                <w:rFonts w:ascii="Times New Roman" w:hAnsi="Times New Roman" w:cs="Times New Roman"/>
                <w:b/>
                <w:bCs/>
                <w:sz w:val="17"/>
                <w:szCs w:val="17"/>
              </w:rPr>
            </w:pPr>
            <w:r w:rsidRPr="00EC007B">
              <w:rPr>
                <w:rFonts w:ascii="Times New Roman" w:eastAsia="Times New Roman" w:hAnsi="Times New Roman" w:cs="Times New Roman"/>
                <w:b/>
                <w:bCs/>
                <w:sz w:val="17"/>
                <w:szCs w:val="17"/>
              </w:rPr>
              <w:t xml:space="preserve">Percentage Change in Gross Domestic Product </w:t>
            </w:r>
          </w:p>
        </w:tc>
        <w:tc>
          <w:tcPr>
            <w:tcW w:w="512" w:type="pct"/>
            <w:tcBorders>
              <w:top w:val="single" w:sz="12" w:space="0" w:color="auto"/>
              <w:left w:val="single" w:sz="12" w:space="0" w:color="auto"/>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1.4</w:t>
            </w:r>
          </w:p>
        </w:tc>
        <w:tc>
          <w:tcPr>
            <w:tcW w:w="512" w:type="pct"/>
            <w:tcBorders>
              <w:top w:val="single" w:sz="12" w:space="0" w:color="auto"/>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-11.6</w:t>
            </w:r>
          </w:p>
        </w:tc>
        <w:tc>
          <w:tcPr>
            <w:tcW w:w="512" w:type="pct"/>
            <w:tcBorders>
              <w:top w:val="single" w:sz="12" w:space="0" w:color="auto"/>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6.0</w:t>
            </w:r>
          </w:p>
        </w:tc>
        <w:tc>
          <w:tcPr>
            <w:tcW w:w="512" w:type="pct"/>
            <w:tcBorders>
              <w:top w:val="single" w:sz="12" w:space="0" w:color="auto"/>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13.0</w:t>
            </w:r>
          </w:p>
        </w:tc>
        <w:tc>
          <w:tcPr>
            <w:tcW w:w="513" w:type="pct"/>
            <w:tcBorders>
              <w:top w:val="single" w:sz="12" w:space="0" w:color="auto"/>
              <w:left w:val="nil"/>
              <w:bottom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0.9</w:t>
            </w:r>
          </w:p>
        </w:tc>
      </w:tr>
      <w:tr w:rsidR="00232937" w:rsidRPr="00EC007B" w:rsidTr="00EC007B">
        <w:trPr>
          <w:trHeight w:val="255"/>
          <w:jc w:val="center"/>
        </w:trPr>
        <w:tc>
          <w:tcPr>
            <w:tcW w:w="2438" w:type="pct"/>
            <w:tcBorders>
              <w:top w:val="nil"/>
              <w:bottom w:val="nil"/>
              <w:right w:val="single" w:sz="12" w:space="0" w:color="auto"/>
            </w:tcBorders>
            <w:shd w:val="clear" w:color="auto" w:fill="auto"/>
            <w:vAlign w:val="center"/>
          </w:tcPr>
          <w:p w:rsidR="004214D2" w:rsidRPr="00EC007B" w:rsidRDefault="004214D2" w:rsidP="00EC007B">
            <w:pPr>
              <w:autoSpaceDE w:val="0"/>
              <w:autoSpaceDN w:val="0"/>
              <w:adjustRightInd w:val="0"/>
              <w:spacing w:after="0" w:line="240" w:lineRule="auto"/>
              <w:rPr>
                <w:rFonts w:ascii="Times New Roman" w:eastAsia="Times New Roman" w:hAnsi="Times New Roman" w:cs="Times New Roman"/>
                <w:b/>
                <w:bCs/>
                <w:sz w:val="17"/>
                <w:szCs w:val="17"/>
              </w:rPr>
            </w:pPr>
            <w:r w:rsidRPr="00EC007B">
              <w:rPr>
                <w:rFonts w:ascii="Times New Roman" w:eastAsia="Times New Roman" w:hAnsi="Times New Roman" w:cs="Times New Roman"/>
                <w:b/>
                <w:bCs/>
                <w:sz w:val="17"/>
                <w:szCs w:val="17"/>
              </w:rPr>
              <w:t xml:space="preserve">Percentage Change in Gross </w:t>
            </w:r>
            <w:r w:rsidRPr="00EC007B">
              <w:rPr>
                <w:rFonts w:ascii="Times New Roman" w:hAnsi="Times New Roman" w:cs="Times New Roman"/>
                <w:b/>
                <w:bCs/>
                <w:sz w:val="17"/>
                <w:szCs w:val="17"/>
              </w:rPr>
              <w:t xml:space="preserve">Final Consumption Expenditure </w:t>
            </w:r>
          </w:p>
        </w:tc>
        <w:tc>
          <w:tcPr>
            <w:tcW w:w="512" w:type="pct"/>
            <w:tcBorders>
              <w:top w:val="nil"/>
              <w:left w:val="single" w:sz="12" w:space="0" w:color="auto"/>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2.1</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-6.3</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3.0</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6.9</w:t>
            </w:r>
          </w:p>
        </w:tc>
        <w:tc>
          <w:tcPr>
            <w:tcW w:w="513" w:type="pct"/>
            <w:tcBorders>
              <w:top w:val="nil"/>
              <w:left w:val="nil"/>
              <w:bottom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1.1</w:t>
            </w:r>
          </w:p>
        </w:tc>
      </w:tr>
      <w:tr w:rsidR="00232937" w:rsidRPr="00EC007B" w:rsidTr="00EC007B">
        <w:trPr>
          <w:trHeight w:val="255"/>
          <w:jc w:val="center"/>
        </w:trPr>
        <w:tc>
          <w:tcPr>
            <w:tcW w:w="2438" w:type="pct"/>
            <w:tcBorders>
              <w:top w:val="nil"/>
              <w:bottom w:val="nil"/>
              <w:right w:val="single" w:sz="12" w:space="0" w:color="auto"/>
            </w:tcBorders>
            <w:shd w:val="clear" w:color="auto" w:fill="auto"/>
            <w:vAlign w:val="center"/>
          </w:tcPr>
          <w:p w:rsidR="004214D2" w:rsidRPr="00EC007B" w:rsidRDefault="004214D2" w:rsidP="00EC007B">
            <w:pPr>
              <w:autoSpaceDE w:val="0"/>
              <w:autoSpaceDN w:val="0"/>
              <w:adjustRightInd w:val="0"/>
              <w:spacing w:after="0" w:line="240" w:lineRule="auto"/>
              <w:rPr>
                <w:rFonts w:ascii="Times New Roman" w:eastAsia="Times New Roman" w:hAnsi="Times New Roman" w:cs="Times New Roman"/>
                <w:b/>
                <w:bCs/>
                <w:sz w:val="17"/>
                <w:szCs w:val="17"/>
              </w:rPr>
            </w:pPr>
            <w:r w:rsidRPr="00EC007B">
              <w:rPr>
                <w:rFonts w:ascii="Times New Roman" w:eastAsia="Times New Roman" w:hAnsi="Times New Roman" w:cs="Times New Roman"/>
                <w:b/>
                <w:bCs/>
                <w:sz w:val="17"/>
                <w:szCs w:val="17"/>
              </w:rPr>
              <w:t xml:space="preserve">Percentage Change in </w:t>
            </w:r>
            <w:r w:rsidRPr="00EC007B">
              <w:rPr>
                <w:rFonts w:ascii="Times New Roman" w:hAnsi="Times New Roman" w:cs="Times New Roman"/>
                <w:b/>
                <w:bCs/>
                <w:sz w:val="17"/>
                <w:szCs w:val="17"/>
              </w:rPr>
              <w:t xml:space="preserve">Gross Capital Formation </w:t>
            </w:r>
          </w:p>
        </w:tc>
        <w:tc>
          <w:tcPr>
            <w:tcW w:w="512" w:type="pct"/>
            <w:tcBorders>
              <w:top w:val="nil"/>
              <w:left w:val="single" w:sz="12" w:space="0" w:color="auto"/>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-2.0</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-35.9</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31.5</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62.1</w:t>
            </w:r>
          </w:p>
        </w:tc>
        <w:tc>
          <w:tcPr>
            <w:tcW w:w="513" w:type="pct"/>
            <w:tcBorders>
              <w:top w:val="nil"/>
              <w:left w:val="nil"/>
              <w:bottom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2.5</w:t>
            </w:r>
          </w:p>
        </w:tc>
      </w:tr>
      <w:tr w:rsidR="00232937" w:rsidRPr="00EC007B" w:rsidTr="00EC007B">
        <w:trPr>
          <w:trHeight w:val="255"/>
          <w:jc w:val="center"/>
        </w:trPr>
        <w:tc>
          <w:tcPr>
            <w:tcW w:w="2438" w:type="pct"/>
            <w:tcBorders>
              <w:top w:val="nil"/>
              <w:bottom w:val="nil"/>
              <w:right w:val="single" w:sz="12" w:space="0" w:color="auto"/>
            </w:tcBorders>
            <w:shd w:val="clear" w:color="auto" w:fill="auto"/>
            <w:vAlign w:val="center"/>
          </w:tcPr>
          <w:p w:rsidR="004214D2" w:rsidRPr="00EC007B" w:rsidRDefault="004214D2" w:rsidP="00EC007B">
            <w:pPr>
              <w:autoSpaceDE w:val="0"/>
              <w:autoSpaceDN w:val="0"/>
              <w:adjustRightInd w:val="0"/>
              <w:spacing w:after="0" w:line="240" w:lineRule="auto"/>
              <w:jc w:val="lowKashida"/>
              <w:rPr>
                <w:rFonts w:ascii="Times New Roman" w:hAnsi="Times New Roman" w:cs="Times New Roman"/>
                <w:b/>
                <w:bCs/>
                <w:sz w:val="17"/>
                <w:szCs w:val="17"/>
              </w:rPr>
            </w:pPr>
            <w:r w:rsidRPr="00EC007B">
              <w:rPr>
                <w:rFonts w:ascii="Times New Roman" w:eastAsia="Times New Roman" w:hAnsi="Times New Roman" w:cs="Times New Roman"/>
                <w:b/>
                <w:bCs/>
                <w:sz w:val="17"/>
                <w:szCs w:val="17"/>
              </w:rPr>
              <w:t xml:space="preserve">Percentage Change in </w:t>
            </w:r>
            <w:r w:rsidRPr="00EC007B">
              <w:rPr>
                <w:rFonts w:ascii="Times New Roman" w:hAnsi="Times New Roman" w:cs="Times New Roman"/>
                <w:b/>
                <w:bCs/>
                <w:sz w:val="17"/>
                <w:szCs w:val="17"/>
              </w:rPr>
              <w:t>Trade Balance (Deficit)</w:t>
            </w:r>
          </w:p>
        </w:tc>
        <w:tc>
          <w:tcPr>
            <w:tcW w:w="512" w:type="pct"/>
            <w:tcBorders>
              <w:top w:val="nil"/>
              <w:left w:val="single" w:sz="12" w:space="0" w:color="auto"/>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1.2</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-13.3</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9.9</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19.3</w:t>
            </w:r>
          </w:p>
        </w:tc>
        <w:tc>
          <w:tcPr>
            <w:tcW w:w="513" w:type="pct"/>
            <w:tcBorders>
              <w:top w:val="nil"/>
              <w:left w:val="nil"/>
              <w:bottom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2.1</w:t>
            </w:r>
          </w:p>
        </w:tc>
      </w:tr>
      <w:tr w:rsidR="00232937" w:rsidRPr="00EC007B" w:rsidTr="00EC007B">
        <w:trPr>
          <w:trHeight w:val="255"/>
          <w:jc w:val="center"/>
        </w:trPr>
        <w:tc>
          <w:tcPr>
            <w:tcW w:w="2438" w:type="pct"/>
            <w:tcBorders>
              <w:top w:val="nil"/>
              <w:bottom w:val="nil"/>
              <w:right w:val="single" w:sz="12" w:space="0" w:color="auto"/>
            </w:tcBorders>
            <w:shd w:val="clear" w:color="auto" w:fill="auto"/>
            <w:vAlign w:val="center"/>
          </w:tcPr>
          <w:p w:rsidR="004214D2" w:rsidRPr="00EC007B" w:rsidRDefault="004214D2" w:rsidP="00EC007B">
            <w:pPr>
              <w:autoSpaceDE w:val="0"/>
              <w:autoSpaceDN w:val="0"/>
              <w:adjustRightInd w:val="0"/>
              <w:spacing w:after="0" w:line="240" w:lineRule="auto"/>
              <w:jc w:val="lowKashida"/>
              <w:rPr>
                <w:rFonts w:ascii="Times New Roman" w:hAnsi="Times New Roman" w:cs="Times New Roman"/>
                <w:b/>
                <w:bCs/>
                <w:sz w:val="17"/>
                <w:szCs w:val="17"/>
              </w:rPr>
            </w:pPr>
            <w:r w:rsidRPr="00EC007B">
              <w:rPr>
                <w:rFonts w:ascii="Times New Roman" w:eastAsia="Times New Roman" w:hAnsi="Times New Roman" w:cs="Times New Roman"/>
                <w:b/>
                <w:bCs/>
                <w:sz w:val="17"/>
                <w:szCs w:val="17"/>
              </w:rPr>
              <w:t xml:space="preserve">Percentage Change in </w:t>
            </w:r>
            <w:r w:rsidRPr="00EC007B">
              <w:rPr>
                <w:rFonts w:ascii="Times New Roman" w:hAnsi="Times New Roman" w:cs="Times New Roman"/>
                <w:b/>
                <w:bCs/>
                <w:sz w:val="17"/>
                <w:szCs w:val="17"/>
              </w:rPr>
              <w:t xml:space="preserve">Gross Exports </w:t>
            </w:r>
          </w:p>
        </w:tc>
        <w:tc>
          <w:tcPr>
            <w:tcW w:w="512" w:type="pct"/>
            <w:tcBorders>
              <w:top w:val="nil"/>
              <w:left w:val="single" w:sz="12" w:space="0" w:color="auto"/>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2.0</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-6.8</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4.4</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6.9</w:t>
            </w:r>
          </w:p>
        </w:tc>
        <w:tc>
          <w:tcPr>
            <w:tcW w:w="513" w:type="pct"/>
            <w:tcBorders>
              <w:top w:val="nil"/>
              <w:left w:val="nil"/>
              <w:bottom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1.4</w:t>
            </w:r>
          </w:p>
        </w:tc>
      </w:tr>
      <w:tr w:rsidR="00232937" w:rsidRPr="00EC007B" w:rsidTr="00EC007B">
        <w:trPr>
          <w:trHeight w:val="255"/>
          <w:jc w:val="center"/>
        </w:trPr>
        <w:tc>
          <w:tcPr>
            <w:tcW w:w="2438" w:type="pct"/>
            <w:tcBorders>
              <w:top w:val="nil"/>
              <w:bottom w:val="single" w:sz="12" w:space="0" w:color="auto"/>
              <w:right w:val="single" w:sz="12" w:space="0" w:color="auto"/>
            </w:tcBorders>
            <w:shd w:val="clear" w:color="auto" w:fill="auto"/>
            <w:vAlign w:val="center"/>
          </w:tcPr>
          <w:p w:rsidR="004214D2" w:rsidRPr="00EC007B" w:rsidRDefault="004214D2" w:rsidP="00EC007B">
            <w:pPr>
              <w:autoSpaceDE w:val="0"/>
              <w:autoSpaceDN w:val="0"/>
              <w:adjustRightInd w:val="0"/>
              <w:spacing w:after="0" w:line="240" w:lineRule="auto"/>
              <w:jc w:val="lowKashida"/>
              <w:rPr>
                <w:rFonts w:ascii="Times New Roman" w:hAnsi="Times New Roman" w:cs="Times New Roman"/>
                <w:b/>
                <w:bCs/>
                <w:sz w:val="17"/>
                <w:szCs w:val="17"/>
              </w:rPr>
            </w:pPr>
            <w:r w:rsidRPr="00EC007B">
              <w:rPr>
                <w:rFonts w:ascii="Times New Roman" w:eastAsia="Times New Roman" w:hAnsi="Times New Roman" w:cs="Times New Roman"/>
                <w:b/>
                <w:bCs/>
                <w:sz w:val="17"/>
                <w:szCs w:val="17"/>
              </w:rPr>
              <w:t xml:space="preserve">Percentage Change in </w:t>
            </w:r>
            <w:r w:rsidRPr="00EC007B">
              <w:rPr>
                <w:rFonts w:ascii="Times New Roman" w:hAnsi="Times New Roman" w:cs="Times New Roman"/>
                <w:b/>
                <w:bCs/>
                <w:sz w:val="17"/>
                <w:szCs w:val="17"/>
              </w:rPr>
              <w:t xml:space="preserve">Gross Imports </w:t>
            </w:r>
          </w:p>
        </w:tc>
        <w:tc>
          <w:tcPr>
            <w:tcW w:w="512" w:type="pct"/>
            <w:tcBorders>
              <w:top w:val="nil"/>
              <w:left w:val="single" w:sz="12" w:space="0" w:color="auto"/>
              <w:bottom w:val="single" w:sz="12" w:space="0" w:color="auto"/>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1.4</w:t>
            </w:r>
          </w:p>
        </w:tc>
        <w:tc>
          <w:tcPr>
            <w:tcW w:w="512" w:type="pct"/>
            <w:tcBorders>
              <w:top w:val="nil"/>
              <w:left w:val="nil"/>
              <w:bottom w:val="single" w:sz="12" w:space="0" w:color="auto"/>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-11.3</w:t>
            </w:r>
          </w:p>
        </w:tc>
        <w:tc>
          <w:tcPr>
            <w:tcW w:w="512" w:type="pct"/>
            <w:tcBorders>
              <w:top w:val="nil"/>
              <w:left w:val="nil"/>
              <w:bottom w:val="single" w:sz="12" w:space="0" w:color="auto"/>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8.1</w:t>
            </w:r>
          </w:p>
        </w:tc>
        <w:tc>
          <w:tcPr>
            <w:tcW w:w="512" w:type="pct"/>
            <w:tcBorders>
              <w:top w:val="nil"/>
              <w:left w:val="nil"/>
              <w:bottom w:val="single" w:sz="12" w:space="0" w:color="auto"/>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15.2</w:t>
            </w:r>
          </w:p>
        </w:tc>
        <w:tc>
          <w:tcPr>
            <w:tcW w:w="513" w:type="pct"/>
            <w:tcBorders>
              <w:top w:val="nil"/>
              <w:left w:val="nil"/>
              <w:bottom w:val="single" w:sz="12" w:space="0" w:color="auto"/>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1.9</w:t>
            </w:r>
          </w:p>
        </w:tc>
      </w:tr>
      <w:tr w:rsidR="00232937" w:rsidRPr="00EC007B" w:rsidTr="00EC007B">
        <w:trPr>
          <w:trHeight w:val="454"/>
          <w:jc w:val="center"/>
        </w:trPr>
        <w:tc>
          <w:tcPr>
            <w:tcW w:w="5000" w:type="pct"/>
            <w:gridSpan w:val="6"/>
            <w:tcBorders>
              <w:top w:val="single" w:sz="12" w:space="0" w:color="auto"/>
              <w:bottom w:val="single" w:sz="12" w:space="0" w:color="auto"/>
            </w:tcBorders>
            <w:shd w:val="clear" w:color="auto" w:fill="808080"/>
            <w:vAlign w:val="center"/>
          </w:tcPr>
          <w:p w:rsidR="00677D94" w:rsidRPr="00EC007B" w:rsidRDefault="00677D94" w:rsidP="00EC007B">
            <w:pPr>
              <w:spacing w:after="0" w:line="240" w:lineRule="auto"/>
              <w:ind w:left="207"/>
              <w:jc w:val="center"/>
              <w:rPr>
                <w:rFonts w:ascii="Times New Roman" w:hAnsi="Times New Roman" w:cs="Times New Roman"/>
                <w:b/>
                <w:bCs/>
                <w:sz w:val="17"/>
                <w:szCs w:val="17"/>
              </w:rPr>
            </w:pPr>
            <w:r w:rsidRPr="00EC007B">
              <w:rPr>
                <w:rFonts w:ascii="Times New Roman" w:eastAsia="Times New Roman" w:hAnsi="Times New Roman" w:cs="Times New Roman"/>
                <w:b/>
                <w:bCs/>
                <w:sz w:val="17"/>
                <w:szCs w:val="17"/>
              </w:rPr>
              <w:t>Percentage of GDP (%)</w:t>
            </w:r>
          </w:p>
        </w:tc>
      </w:tr>
      <w:tr w:rsidR="00232937" w:rsidRPr="00EC007B" w:rsidTr="00EC007B">
        <w:trPr>
          <w:trHeight w:val="255"/>
          <w:jc w:val="center"/>
        </w:trPr>
        <w:tc>
          <w:tcPr>
            <w:tcW w:w="2438" w:type="pct"/>
            <w:tcBorders>
              <w:top w:val="single" w:sz="12" w:space="0" w:color="auto"/>
              <w:bottom w:val="nil"/>
              <w:right w:val="single" w:sz="12" w:space="0" w:color="auto"/>
            </w:tcBorders>
            <w:shd w:val="clear" w:color="auto" w:fill="auto"/>
            <w:vAlign w:val="center"/>
          </w:tcPr>
          <w:p w:rsidR="004214D2" w:rsidRPr="00EC007B" w:rsidRDefault="004214D2" w:rsidP="00EC007B">
            <w:pPr>
              <w:autoSpaceDE w:val="0"/>
              <w:autoSpaceDN w:val="0"/>
              <w:adjustRightInd w:val="0"/>
              <w:spacing w:after="0" w:line="240" w:lineRule="auto"/>
              <w:rPr>
                <w:rFonts w:ascii="Times New Roman" w:eastAsia="Times New Roman" w:hAnsi="Times New Roman" w:cs="Times New Roman"/>
                <w:b/>
                <w:bCs/>
                <w:sz w:val="17"/>
                <w:szCs w:val="17"/>
              </w:rPr>
            </w:pPr>
            <w:r w:rsidRPr="00EC007B">
              <w:rPr>
                <w:rFonts w:ascii="Times New Roman" w:eastAsia="Times New Roman" w:hAnsi="Times New Roman" w:cs="Times New Roman"/>
                <w:b/>
                <w:bCs/>
                <w:sz w:val="17"/>
                <w:szCs w:val="17"/>
              </w:rPr>
              <w:t xml:space="preserve">Percentage of </w:t>
            </w:r>
            <w:r w:rsidRPr="00EC007B">
              <w:rPr>
                <w:rFonts w:ascii="Times New Roman" w:hAnsi="Times New Roman" w:cs="Times New Roman"/>
                <w:b/>
                <w:bCs/>
                <w:sz w:val="17"/>
                <w:szCs w:val="17"/>
              </w:rPr>
              <w:t xml:space="preserve">Final Consumption Expenditure </w:t>
            </w:r>
            <w:r w:rsidRPr="00EC007B">
              <w:rPr>
                <w:rFonts w:ascii="Times New Roman" w:eastAsia="Times New Roman" w:hAnsi="Times New Roman" w:cs="Times New Roman"/>
                <w:b/>
                <w:bCs/>
                <w:sz w:val="17"/>
                <w:szCs w:val="17"/>
              </w:rPr>
              <w:t xml:space="preserve">of GDP </w:t>
            </w:r>
          </w:p>
        </w:tc>
        <w:tc>
          <w:tcPr>
            <w:tcW w:w="512" w:type="pct"/>
            <w:tcBorders>
              <w:top w:val="single" w:sz="12" w:space="0" w:color="auto"/>
              <w:left w:val="single" w:sz="12" w:space="0" w:color="auto"/>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109.9</w:t>
            </w:r>
          </w:p>
        </w:tc>
        <w:tc>
          <w:tcPr>
            <w:tcW w:w="512" w:type="pct"/>
            <w:tcBorders>
              <w:top w:val="single" w:sz="12" w:space="0" w:color="auto"/>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116.5</w:t>
            </w:r>
          </w:p>
        </w:tc>
        <w:tc>
          <w:tcPr>
            <w:tcW w:w="512" w:type="pct"/>
            <w:tcBorders>
              <w:top w:val="single" w:sz="12" w:space="0" w:color="auto"/>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113.2</w:t>
            </w:r>
          </w:p>
        </w:tc>
        <w:tc>
          <w:tcPr>
            <w:tcW w:w="512" w:type="pct"/>
            <w:tcBorders>
              <w:top w:val="single" w:sz="12" w:space="0" w:color="auto"/>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110.1</w:t>
            </w:r>
          </w:p>
        </w:tc>
        <w:tc>
          <w:tcPr>
            <w:tcW w:w="513" w:type="pct"/>
            <w:tcBorders>
              <w:top w:val="single" w:sz="12" w:space="0" w:color="auto"/>
              <w:left w:val="nil"/>
              <w:bottom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116.6</w:t>
            </w:r>
          </w:p>
        </w:tc>
      </w:tr>
      <w:tr w:rsidR="00232937" w:rsidRPr="00EC007B" w:rsidTr="00EC007B">
        <w:trPr>
          <w:trHeight w:val="255"/>
          <w:jc w:val="center"/>
        </w:trPr>
        <w:tc>
          <w:tcPr>
            <w:tcW w:w="2438" w:type="pct"/>
            <w:tcBorders>
              <w:top w:val="nil"/>
              <w:bottom w:val="nil"/>
              <w:right w:val="single" w:sz="12" w:space="0" w:color="auto"/>
            </w:tcBorders>
            <w:shd w:val="clear" w:color="auto" w:fill="auto"/>
            <w:vAlign w:val="center"/>
          </w:tcPr>
          <w:p w:rsidR="004214D2" w:rsidRPr="00EC007B" w:rsidRDefault="004214D2" w:rsidP="00EC007B">
            <w:pPr>
              <w:autoSpaceDE w:val="0"/>
              <w:autoSpaceDN w:val="0"/>
              <w:adjustRightInd w:val="0"/>
              <w:spacing w:after="0" w:line="240" w:lineRule="auto"/>
              <w:rPr>
                <w:rFonts w:ascii="Times New Roman" w:eastAsia="Times New Roman" w:hAnsi="Times New Roman" w:cs="Times New Roman"/>
                <w:b/>
                <w:bCs/>
                <w:sz w:val="17"/>
                <w:szCs w:val="17"/>
              </w:rPr>
            </w:pPr>
            <w:r w:rsidRPr="00EC007B">
              <w:rPr>
                <w:rFonts w:ascii="Times New Roman" w:eastAsia="Times New Roman" w:hAnsi="Times New Roman" w:cs="Times New Roman"/>
                <w:b/>
                <w:bCs/>
                <w:sz w:val="17"/>
                <w:szCs w:val="17"/>
              </w:rPr>
              <w:t xml:space="preserve">Percentage of </w:t>
            </w:r>
            <w:r w:rsidRPr="00EC007B">
              <w:rPr>
                <w:rFonts w:ascii="Times New Roman" w:hAnsi="Times New Roman" w:cs="Times New Roman"/>
                <w:b/>
                <w:bCs/>
                <w:sz w:val="17"/>
                <w:szCs w:val="17"/>
              </w:rPr>
              <w:t xml:space="preserve">Gross Capital Formation </w:t>
            </w:r>
            <w:r w:rsidRPr="00EC007B">
              <w:rPr>
                <w:rFonts w:ascii="Times New Roman" w:eastAsia="Times New Roman" w:hAnsi="Times New Roman" w:cs="Times New Roman"/>
                <w:b/>
                <w:bCs/>
                <w:sz w:val="17"/>
                <w:szCs w:val="17"/>
              </w:rPr>
              <w:t xml:space="preserve">of GDP </w:t>
            </w:r>
          </w:p>
        </w:tc>
        <w:tc>
          <w:tcPr>
            <w:tcW w:w="512" w:type="pct"/>
            <w:tcBorders>
              <w:top w:val="nil"/>
              <w:left w:val="single" w:sz="12" w:space="0" w:color="auto"/>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26.4</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19.1</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23.7</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27.4</w:t>
            </w:r>
          </w:p>
        </w:tc>
        <w:tc>
          <w:tcPr>
            <w:tcW w:w="513" w:type="pct"/>
            <w:tcBorders>
              <w:top w:val="nil"/>
              <w:left w:val="nil"/>
              <w:bottom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19.4</w:t>
            </w:r>
          </w:p>
        </w:tc>
      </w:tr>
      <w:tr w:rsidR="00232937" w:rsidRPr="00EC007B" w:rsidTr="00EC007B">
        <w:trPr>
          <w:trHeight w:val="255"/>
          <w:jc w:val="center"/>
        </w:trPr>
        <w:tc>
          <w:tcPr>
            <w:tcW w:w="2438" w:type="pct"/>
            <w:tcBorders>
              <w:top w:val="nil"/>
              <w:bottom w:val="nil"/>
              <w:right w:val="single" w:sz="12" w:space="0" w:color="auto"/>
            </w:tcBorders>
            <w:shd w:val="clear" w:color="auto" w:fill="auto"/>
            <w:vAlign w:val="center"/>
          </w:tcPr>
          <w:p w:rsidR="004214D2" w:rsidRPr="00EC007B" w:rsidRDefault="004214D2" w:rsidP="00EC007B">
            <w:pPr>
              <w:autoSpaceDE w:val="0"/>
              <w:autoSpaceDN w:val="0"/>
              <w:adjustRightInd w:val="0"/>
              <w:spacing w:after="0" w:line="240" w:lineRule="auto"/>
              <w:rPr>
                <w:rFonts w:ascii="Times New Roman" w:eastAsia="Times New Roman" w:hAnsi="Times New Roman" w:cs="Times New Roman"/>
                <w:b/>
                <w:bCs/>
                <w:sz w:val="17"/>
                <w:szCs w:val="17"/>
              </w:rPr>
            </w:pPr>
            <w:r w:rsidRPr="00EC007B">
              <w:rPr>
                <w:rFonts w:ascii="Times New Roman" w:eastAsia="Times New Roman" w:hAnsi="Times New Roman" w:cs="Times New Roman"/>
                <w:b/>
                <w:bCs/>
                <w:sz w:val="17"/>
                <w:szCs w:val="17"/>
              </w:rPr>
              <w:t xml:space="preserve">Percentage of </w:t>
            </w:r>
            <w:r w:rsidRPr="00EC007B">
              <w:rPr>
                <w:rFonts w:ascii="Times New Roman" w:hAnsi="Times New Roman" w:cs="Times New Roman"/>
                <w:b/>
                <w:bCs/>
                <w:sz w:val="17"/>
                <w:szCs w:val="17"/>
              </w:rPr>
              <w:t>Trade Balance (Deficit)</w:t>
            </w:r>
            <w:r w:rsidRPr="00EC007B">
              <w:rPr>
                <w:rFonts w:ascii="Times New Roman" w:eastAsia="Times New Roman" w:hAnsi="Times New Roman" w:cs="Times New Roman"/>
                <w:b/>
                <w:bCs/>
                <w:sz w:val="17"/>
                <w:szCs w:val="17"/>
              </w:rPr>
              <w:t xml:space="preserve">of GDP </w:t>
            </w:r>
          </w:p>
        </w:tc>
        <w:tc>
          <w:tcPr>
            <w:tcW w:w="512" w:type="pct"/>
            <w:tcBorders>
              <w:top w:val="nil"/>
              <w:left w:val="single" w:sz="12" w:space="0" w:color="auto"/>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-36.3</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-35.6</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-36.9</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-37.5</w:t>
            </w:r>
          </w:p>
        </w:tc>
        <w:tc>
          <w:tcPr>
            <w:tcW w:w="513" w:type="pct"/>
            <w:tcBorders>
              <w:top w:val="nil"/>
              <w:left w:val="nil"/>
              <w:bottom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-36.0</w:t>
            </w:r>
          </w:p>
        </w:tc>
      </w:tr>
      <w:tr w:rsidR="00232937" w:rsidRPr="00EC007B" w:rsidTr="00EC007B">
        <w:trPr>
          <w:trHeight w:val="255"/>
          <w:jc w:val="center"/>
        </w:trPr>
        <w:tc>
          <w:tcPr>
            <w:tcW w:w="2438" w:type="pct"/>
            <w:tcBorders>
              <w:top w:val="nil"/>
              <w:bottom w:val="nil"/>
              <w:right w:val="single" w:sz="12" w:space="0" w:color="auto"/>
            </w:tcBorders>
            <w:shd w:val="clear" w:color="auto" w:fill="auto"/>
            <w:vAlign w:val="center"/>
          </w:tcPr>
          <w:p w:rsidR="004214D2" w:rsidRPr="00EC007B" w:rsidRDefault="004214D2" w:rsidP="00EC007B">
            <w:pPr>
              <w:autoSpaceDE w:val="0"/>
              <w:autoSpaceDN w:val="0"/>
              <w:adjustRightInd w:val="0"/>
              <w:spacing w:after="0" w:line="240" w:lineRule="auto"/>
              <w:rPr>
                <w:rFonts w:ascii="Times New Roman" w:eastAsia="Times New Roman" w:hAnsi="Times New Roman" w:cs="Times New Roman"/>
                <w:b/>
                <w:bCs/>
                <w:sz w:val="17"/>
                <w:szCs w:val="17"/>
              </w:rPr>
            </w:pPr>
            <w:r w:rsidRPr="00EC007B">
              <w:rPr>
                <w:rFonts w:ascii="Times New Roman" w:eastAsia="Times New Roman" w:hAnsi="Times New Roman" w:cs="Times New Roman"/>
                <w:b/>
                <w:bCs/>
                <w:sz w:val="17"/>
                <w:szCs w:val="17"/>
              </w:rPr>
              <w:t xml:space="preserve">Percentage of </w:t>
            </w:r>
            <w:r w:rsidRPr="00EC007B">
              <w:rPr>
                <w:rFonts w:ascii="Times New Roman" w:hAnsi="Times New Roman" w:cs="Times New Roman"/>
                <w:b/>
                <w:bCs/>
                <w:sz w:val="17"/>
                <w:szCs w:val="17"/>
              </w:rPr>
              <w:t xml:space="preserve">Gross Exports </w:t>
            </w:r>
            <w:r w:rsidRPr="00EC007B">
              <w:rPr>
                <w:rFonts w:ascii="Times New Roman" w:eastAsia="Times New Roman" w:hAnsi="Times New Roman" w:cs="Times New Roman"/>
                <w:b/>
                <w:bCs/>
                <w:sz w:val="17"/>
                <w:szCs w:val="17"/>
              </w:rPr>
              <w:t xml:space="preserve">of GDP </w:t>
            </w:r>
          </w:p>
        </w:tc>
        <w:tc>
          <w:tcPr>
            <w:tcW w:w="512" w:type="pct"/>
            <w:tcBorders>
              <w:top w:val="nil"/>
              <w:left w:val="single" w:sz="12" w:space="0" w:color="auto"/>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16.6</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17.5</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17.2</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16.6</w:t>
            </w:r>
          </w:p>
        </w:tc>
        <w:tc>
          <w:tcPr>
            <w:tcW w:w="513" w:type="pct"/>
            <w:tcBorders>
              <w:top w:val="nil"/>
              <w:left w:val="nil"/>
              <w:bottom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17.6</w:t>
            </w:r>
          </w:p>
        </w:tc>
      </w:tr>
      <w:tr w:rsidR="00232937" w:rsidRPr="00EC007B" w:rsidTr="00EC007B">
        <w:trPr>
          <w:trHeight w:val="255"/>
          <w:jc w:val="center"/>
        </w:trPr>
        <w:tc>
          <w:tcPr>
            <w:tcW w:w="2438" w:type="pct"/>
            <w:tcBorders>
              <w:top w:val="nil"/>
              <w:bottom w:val="nil"/>
              <w:right w:val="single" w:sz="12" w:space="0" w:color="auto"/>
            </w:tcBorders>
            <w:shd w:val="clear" w:color="auto" w:fill="auto"/>
            <w:vAlign w:val="center"/>
          </w:tcPr>
          <w:p w:rsidR="004214D2" w:rsidRPr="00EC007B" w:rsidRDefault="004214D2" w:rsidP="00EC007B">
            <w:pPr>
              <w:autoSpaceDE w:val="0"/>
              <w:autoSpaceDN w:val="0"/>
              <w:adjustRightInd w:val="0"/>
              <w:spacing w:after="0" w:line="240" w:lineRule="auto"/>
              <w:rPr>
                <w:rFonts w:ascii="Times New Roman" w:eastAsia="Times New Roman" w:hAnsi="Times New Roman" w:cs="Times New Roman"/>
                <w:b/>
                <w:bCs/>
                <w:sz w:val="17"/>
                <w:szCs w:val="17"/>
              </w:rPr>
            </w:pPr>
            <w:r w:rsidRPr="00EC007B">
              <w:rPr>
                <w:rFonts w:ascii="Times New Roman" w:eastAsia="Times New Roman" w:hAnsi="Times New Roman" w:cs="Times New Roman"/>
                <w:b/>
                <w:bCs/>
                <w:sz w:val="17"/>
                <w:szCs w:val="17"/>
              </w:rPr>
              <w:t xml:space="preserve">Percentage of </w:t>
            </w:r>
            <w:r w:rsidRPr="00EC007B">
              <w:rPr>
                <w:rFonts w:ascii="Times New Roman" w:hAnsi="Times New Roman" w:cs="Times New Roman"/>
                <w:b/>
                <w:bCs/>
                <w:sz w:val="17"/>
                <w:szCs w:val="17"/>
              </w:rPr>
              <w:t xml:space="preserve">Gross Imports </w:t>
            </w:r>
            <w:r w:rsidRPr="00EC007B">
              <w:rPr>
                <w:rFonts w:ascii="Times New Roman" w:eastAsia="Times New Roman" w:hAnsi="Times New Roman" w:cs="Times New Roman"/>
                <w:b/>
                <w:bCs/>
                <w:sz w:val="17"/>
                <w:szCs w:val="17"/>
              </w:rPr>
              <w:t xml:space="preserve">of GDP </w:t>
            </w:r>
          </w:p>
        </w:tc>
        <w:tc>
          <w:tcPr>
            <w:tcW w:w="512" w:type="pct"/>
            <w:tcBorders>
              <w:top w:val="nil"/>
              <w:left w:val="single" w:sz="12" w:space="0" w:color="auto"/>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52.9</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53.1</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54.1</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54.1</w:t>
            </w:r>
          </w:p>
        </w:tc>
        <w:tc>
          <w:tcPr>
            <w:tcW w:w="513" w:type="pct"/>
            <w:tcBorders>
              <w:top w:val="nil"/>
              <w:left w:val="nil"/>
              <w:bottom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53.6</w:t>
            </w:r>
          </w:p>
        </w:tc>
      </w:tr>
      <w:tr w:rsidR="00232937" w:rsidRPr="00EC007B" w:rsidTr="00EC007B">
        <w:trPr>
          <w:trHeight w:val="255"/>
          <w:jc w:val="center"/>
        </w:trPr>
        <w:tc>
          <w:tcPr>
            <w:tcW w:w="2438" w:type="pct"/>
            <w:tcBorders>
              <w:top w:val="nil"/>
              <w:bottom w:val="nil"/>
              <w:right w:val="single" w:sz="12" w:space="0" w:color="auto"/>
            </w:tcBorders>
            <w:shd w:val="clear" w:color="auto" w:fill="auto"/>
            <w:vAlign w:val="center"/>
          </w:tcPr>
          <w:p w:rsidR="004214D2" w:rsidRPr="00EC007B" w:rsidRDefault="004214D2" w:rsidP="00EC007B">
            <w:pPr>
              <w:autoSpaceDE w:val="0"/>
              <w:autoSpaceDN w:val="0"/>
              <w:adjustRightInd w:val="0"/>
              <w:spacing w:after="0" w:line="240" w:lineRule="auto"/>
              <w:jc w:val="lowKashida"/>
              <w:rPr>
                <w:rFonts w:ascii="Times New Roman" w:hAnsi="Times New Roman" w:cs="Times New Roman"/>
                <w:b/>
                <w:bCs/>
                <w:sz w:val="17"/>
                <w:szCs w:val="17"/>
              </w:rPr>
            </w:pPr>
            <w:r w:rsidRPr="00EC007B">
              <w:rPr>
                <w:rFonts w:ascii="Times New Roman" w:eastAsia="Times New Roman" w:hAnsi="Times New Roman" w:cs="Times New Roman"/>
                <w:b/>
                <w:bCs/>
                <w:sz w:val="17"/>
                <w:szCs w:val="17"/>
              </w:rPr>
              <w:t xml:space="preserve">Percentage Contribution of Agricultural Activity Value Added of GDP </w:t>
            </w:r>
          </w:p>
        </w:tc>
        <w:tc>
          <w:tcPr>
            <w:tcW w:w="512" w:type="pct"/>
            <w:tcBorders>
              <w:top w:val="nil"/>
              <w:left w:val="single" w:sz="12" w:space="0" w:color="auto"/>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7.0</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7.0</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7.4</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7.6</w:t>
            </w:r>
          </w:p>
        </w:tc>
        <w:tc>
          <w:tcPr>
            <w:tcW w:w="513" w:type="pct"/>
            <w:tcBorders>
              <w:top w:val="nil"/>
              <w:left w:val="nil"/>
              <w:bottom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7.8</w:t>
            </w:r>
          </w:p>
        </w:tc>
      </w:tr>
      <w:tr w:rsidR="00232937" w:rsidRPr="00EC007B" w:rsidTr="00EC007B">
        <w:trPr>
          <w:trHeight w:val="255"/>
          <w:jc w:val="center"/>
        </w:trPr>
        <w:tc>
          <w:tcPr>
            <w:tcW w:w="2438" w:type="pct"/>
            <w:tcBorders>
              <w:top w:val="nil"/>
              <w:bottom w:val="nil"/>
              <w:right w:val="single" w:sz="12" w:space="0" w:color="auto"/>
            </w:tcBorders>
            <w:shd w:val="clear" w:color="auto" w:fill="auto"/>
            <w:vAlign w:val="center"/>
          </w:tcPr>
          <w:p w:rsidR="004214D2" w:rsidRPr="00EC007B" w:rsidRDefault="004214D2" w:rsidP="00EC007B">
            <w:pPr>
              <w:autoSpaceDE w:val="0"/>
              <w:autoSpaceDN w:val="0"/>
              <w:adjustRightInd w:val="0"/>
              <w:spacing w:after="0" w:line="240" w:lineRule="auto"/>
              <w:jc w:val="lowKashida"/>
              <w:rPr>
                <w:rFonts w:ascii="Times New Roman" w:hAnsi="Times New Roman" w:cs="Times New Roman"/>
                <w:b/>
                <w:bCs/>
                <w:sz w:val="17"/>
                <w:szCs w:val="17"/>
              </w:rPr>
            </w:pPr>
            <w:r w:rsidRPr="00EC007B">
              <w:rPr>
                <w:rFonts w:ascii="Times New Roman" w:eastAsia="Times New Roman" w:hAnsi="Times New Roman" w:cs="Times New Roman"/>
                <w:b/>
                <w:bCs/>
                <w:sz w:val="17"/>
                <w:szCs w:val="17"/>
              </w:rPr>
              <w:t xml:space="preserve">Percentage Contribution of Industrial Activity Value Added of GDP </w:t>
            </w:r>
          </w:p>
        </w:tc>
        <w:tc>
          <w:tcPr>
            <w:tcW w:w="512" w:type="pct"/>
            <w:tcBorders>
              <w:top w:val="nil"/>
              <w:left w:val="single" w:sz="12" w:space="0" w:color="auto"/>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11.7</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11.6</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11.6</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11.3</w:t>
            </w:r>
          </w:p>
        </w:tc>
        <w:tc>
          <w:tcPr>
            <w:tcW w:w="513" w:type="pct"/>
            <w:tcBorders>
              <w:top w:val="nil"/>
              <w:left w:val="nil"/>
              <w:bottom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11.7</w:t>
            </w:r>
          </w:p>
        </w:tc>
      </w:tr>
      <w:tr w:rsidR="00232937" w:rsidRPr="00EC007B" w:rsidTr="00EC007B">
        <w:trPr>
          <w:trHeight w:val="255"/>
          <w:jc w:val="center"/>
        </w:trPr>
        <w:tc>
          <w:tcPr>
            <w:tcW w:w="2438" w:type="pct"/>
            <w:tcBorders>
              <w:top w:val="nil"/>
              <w:bottom w:val="nil"/>
              <w:right w:val="single" w:sz="12" w:space="0" w:color="auto"/>
            </w:tcBorders>
            <w:shd w:val="clear" w:color="auto" w:fill="auto"/>
            <w:vAlign w:val="center"/>
          </w:tcPr>
          <w:p w:rsidR="004214D2" w:rsidRPr="00EC007B" w:rsidRDefault="004214D2" w:rsidP="00EC007B">
            <w:pPr>
              <w:autoSpaceDE w:val="0"/>
              <w:autoSpaceDN w:val="0"/>
              <w:adjustRightInd w:val="0"/>
              <w:spacing w:after="0" w:line="240" w:lineRule="auto"/>
              <w:jc w:val="lowKashida"/>
              <w:rPr>
                <w:rFonts w:ascii="Times New Roman" w:hAnsi="Times New Roman" w:cs="Times New Roman"/>
                <w:b/>
                <w:bCs/>
                <w:sz w:val="17"/>
                <w:szCs w:val="17"/>
              </w:rPr>
            </w:pPr>
            <w:r w:rsidRPr="00EC007B">
              <w:rPr>
                <w:rFonts w:ascii="Times New Roman" w:eastAsia="Times New Roman" w:hAnsi="Times New Roman" w:cs="Times New Roman"/>
                <w:b/>
                <w:bCs/>
                <w:sz w:val="17"/>
                <w:szCs w:val="17"/>
              </w:rPr>
              <w:t xml:space="preserve">Percentage Contribution of Construction Activity Value Added of GDP </w:t>
            </w:r>
          </w:p>
        </w:tc>
        <w:tc>
          <w:tcPr>
            <w:tcW w:w="512" w:type="pct"/>
            <w:tcBorders>
              <w:top w:val="nil"/>
              <w:left w:val="single" w:sz="12" w:space="0" w:color="auto"/>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5.6</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4.1</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5.5</w:t>
            </w:r>
          </w:p>
        </w:tc>
        <w:tc>
          <w:tcPr>
            <w:tcW w:w="512" w:type="pct"/>
            <w:tcBorders>
              <w:top w:val="nil"/>
              <w:left w:val="nil"/>
              <w:bottom w:val="nil"/>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6.3</w:t>
            </w:r>
          </w:p>
        </w:tc>
        <w:tc>
          <w:tcPr>
            <w:tcW w:w="513" w:type="pct"/>
            <w:tcBorders>
              <w:top w:val="nil"/>
              <w:left w:val="nil"/>
              <w:bottom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4.9</w:t>
            </w:r>
          </w:p>
        </w:tc>
      </w:tr>
      <w:tr w:rsidR="00232937" w:rsidRPr="00EC007B" w:rsidTr="00EC007B">
        <w:trPr>
          <w:trHeight w:val="255"/>
          <w:jc w:val="center"/>
        </w:trPr>
        <w:tc>
          <w:tcPr>
            <w:tcW w:w="2438" w:type="pct"/>
            <w:tcBorders>
              <w:top w:val="nil"/>
              <w:bottom w:val="single" w:sz="12" w:space="0" w:color="auto"/>
              <w:right w:val="single" w:sz="12" w:space="0" w:color="auto"/>
            </w:tcBorders>
            <w:shd w:val="clear" w:color="auto" w:fill="auto"/>
            <w:vAlign w:val="center"/>
          </w:tcPr>
          <w:p w:rsidR="004214D2" w:rsidRPr="00EC007B" w:rsidRDefault="004214D2" w:rsidP="00EC007B">
            <w:pPr>
              <w:autoSpaceDE w:val="0"/>
              <w:autoSpaceDN w:val="0"/>
              <w:adjustRightInd w:val="0"/>
              <w:spacing w:after="0" w:line="240" w:lineRule="auto"/>
              <w:jc w:val="lowKashida"/>
              <w:rPr>
                <w:rFonts w:ascii="Times New Roman" w:hAnsi="Times New Roman" w:cs="Times New Roman"/>
                <w:b/>
                <w:bCs/>
                <w:sz w:val="15"/>
                <w:szCs w:val="15"/>
              </w:rPr>
            </w:pPr>
            <w:r w:rsidRPr="00EC007B">
              <w:rPr>
                <w:rFonts w:ascii="Times New Roman" w:eastAsia="Times New Roman" w:hAnsi="Times New Roman" w:cs="Times New Roman"/>
                <w:b/>
                <w:bCs/>
                <w:sz w:val="15"/>
                <w:szCs w:val="15"/>
              </w:rPr>
              <w:t xml:space="preserve">Percentage Contribution of Services and Other Branches Activities Value Added of GDP </w:t>
            </w:r>
          </w:p>
        </w:tc>
        <w:tc>
          <w:tcPr>
            <w:tcW w:w="512" w:type="pct"/>
            <w:tcBorders>
              <w:top w:val="nil"/>
              <w:left w:val="single" w:sz="12" w:space="0" w:color="auto"/>
              <w:bottom w:val="single" w:sz="12" w:space="0" w:color="auto"/>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61.0</w:t>
            </w:r>
          </w:p>
        </w:tc>
        <w:tc>
          <w:tcPr>
            <w:tcW w:w="512" w:type="pct"/>
            <w:tcBorders>
              <w:top w:val="nil"/>
              <w:left w:val="nil"/>
              <w:bottom w:val="single" w:sz="12" w:space="0" w:color="auto"/>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61.8</w:t>
            </w:r>
          </w:p>
        </w:tc>
        <w:tc>
          <w:tcPr>
            <w:tcW w:w="512" w:type="pct"/>
            <w:tcBorders>
              <w:top w:val="nil"/>
              <w:left w:val="nil"/>
              <w:bottom w:val="single" w:sz="12" w:space="0" w:color="auto"/>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59.8</w:t>
            </w:r>
          </w:p>
        </w:tc>
        <w:tc>
          <w:tcPr>
            <w:tcW w:w="512" w:type="pct"/>
            <w:tcBorders>
              <w:top w:val="nil"/>
              <w:left w:val="nil"/>
              <w:bottom w:val="single" w:sz="12" w:space="0" w:color="auto"/>
              <w:right w:val="nil"/>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58.4</w:t>
            </w:r>
          </w:p>
        </w:tc>
        <w:tc>
          <w:tcPr>
            <w:tcW w:w="513" w:type="pct"/>
            <w:tcBorders>
              <w:top w:val="nil"/>
              <w:left w:val="nil"/>
              <w:bottom w:val="single" w:sz="12" w:space="0" w:color="auto"/>
            </w:tcBorders>
            <w:shd w:val="clear" w:color="auto" w:fill="auto"/>
            <w:vAlign w:val="center"/>
          </w:tcPr>
          <w:p w:rsidR="004214D2" w:rsidRPr="00EC007B" w:rsidRDefault="004214D2" w:rsidP="00EC007B">
            <w:pPr>
              <w:spacing w:after="0" w:line="240" w:lineRule="auto"/>
              <w:jc w:val="right"/>
              <w:rPr>
                <w:rFonts w:ascii="Arial" w:hAnsi="Arial"/>
                <w:sz w:val="18"/>
                <w:szCs w:val="18"/>
              </w:rPr>
            </w:pPr>
            <w:r w:rsidRPr="00EC007B">
              <w:rPr>
                <w:rFonts w:ascii="Arial" w:hAnsi="Arial"/>
                <w:sz w:val="18"/>
                <w:szCs w:val="18"/>
              </w:rPr>
              <w:t>59.9</w:t>
            </w:r>
          </w:p>
        </w:tc>
      </w:tr>
    </w:tbl>
    <w:p w:rsidR="003D3C88" w:rsidRPr="005C094B" w:rsidRDefault="00826C91" w:rsidP="00826C91">
      <w:pPr>
        <w:autoSpaceDE w:val="0"/>
        <w:autoSpaceDN w:val="0"/>
        <w:adjustRightInd w:val="0"/>
        <w:spacing w:after="0" w:line="240" w:lineRule="auto"/>
        <w:ind w:left="-851" w:hanging="567"/>
        <w:jc w:val="lowKashida"/>
        <w:rPr>
          <w:rFonts w:ascii="Times New Roman" w:hAnsi="Times New Roman" w:cs="Times New Roman"/>
          <w:sz w:val="12"/>
          <w:szCs w:val="12"/>
        </w:rPr>
      </w:pPr>
      <w:r w:rsidRPr="005C094B">
        <w:rPr>
          <w:rFonts w:ascii="Times New Roman" w:hAnsi="Times New Roman" w:cs="Times New Roman"/>
          <w:sz w:val="20"/>
          <w:szCs w:val="20"/>
        </w:rPr>
        <w:t xml:space="preserve">     </w:t>
      </w:r>
    </w:p>
    <w:p w:rsidR="00826C91" w:rsidRPr="005C094B" w:rsidRDefault="00826C91" w:rsidP="006449D5">
      <w:pPr>
        <w:autoSpaceDE w:val="0"/>
        <w:autoSpaceDN w:val="0"/>
        <w:adjustRightInd w:val="0"/>
        <w:spacing w:after="0" w:line="240" w:lineRule="auto"/>
        <w:ind w:left="-993" w:right="-568" w:hanging="141"/>
        <w:jc w:val="lowKashida"/>
        <w:rPr>
          <w:rFonts w:ascii="Times New Roman" w:hAnsi="Times New Roman" w:cs="Times New Roman"/>
          <w:sz w:val="20"/>
          <w:szCs w:val="20"/>
        </w:rPr>
      </w:pPr>
      <w:r w:rsidRPr="005C094B">
        <w:rPr>
          <w:rFonts w:ascii="Times New Roman" w:hAnsi="Times New Roman" w:cs="Times New Roman"/>
          <w:sz w:val="20"/>
          <w:szCs w:val="20"/>
        </w:rPr>
        <w:t xml:space="preserve"> </w:t>
      </w:r>
      <w:r w:rsidR="003D3C88" w:rsidRPr="005C094B">
        <w:rPr>
          <w:rFonts w:ascii="Times New Roman" w:hAnsi="Times New Roman" w:cs="Times New Roman"/>
          <w:sz w:val="20"/>
          <w:szCs w:val="20"/>
        </w:rPr>
        <w:t xml:space="preserve"> </w:t>
      </w:r>
      <w:r w:rsidR="00F57102" w:rsidRPr="005C094B">
        <w:rPr>
          <w:rFonts w:ascii="Times New Roman" w:hAnsi="Times New Roman" w:cs="Times New Roman" w:hint="cs"/>
          <w:sz w:val="20"/>
          <w:szCs w:val="20"/>
          <w:rtl/>
        </w:rPr>
        <w:t>)</w:t>
      </w:r>
      <w:r w:rsidR="00F57102" w:rsidRPr="005C094B">
        <w:rPr>
          <w:rFonts w:ascii="Times New Roman" w:hAnsi="Times New Roman" w:cs="Times New Roman"/>
          <w:sz w:val="20"/>
          <w:szCs w:val="20"/>
        </w:rPr>
        <w:t>*</w:t>
      </w:r>
      <w:r w:rsidR="00F57102" w:rsidRPr="005C094B">
        <w:rPr>
          <w:rFonts w:ascii="Times New Roman" w:hAnsi="Times New Roman" w:cs="Times New Roman" w:hint="cs"/>
          <w:sz w:val="20"/>
          <w:szCs w:val="20"/>
          <w:rtl/>
        </w:rPr>
        <w:t>(</w:t>
      </w:r>
      <w:r w:rsidR="00F57102" w:rsidRPr="005C094B">
        <w:rPr>
          <w:rFonts w:ascii="Times New Roman" w:hAnsi="Times New Roman" w:cs="Times New Roman"/>
          <w:sz w:val="20"/>
          <w:szCs w:val="20"/>
        </w:rPr>
        <w:t xml:space="preserve"> </w:t>
      </w:r>
      <w:r w:rsidRPr="005C094B">
        <w:rPr>
          <w:rFonts w:ascii="Times New Roman" w:hAnsi="Times New Roman" w:cs="Times New Roman"/>
          <w:sz w:val="20"/>
          <w:szCs w:val="20"/>
        </w:rPr>
        <w:t xml:space="preserve">Data at constant prices with </w:t>
      </w:r>
      <w:r w:rsidR="00677D94" w:rsidRPr="005C094B">
        <w:rPr>
          <w:rFonts w:ascii="Times New Roman" w:hAnsi="Times New Roman" w:cs="Times New Roman"/>
          <w:sz w:val="20"/>
          <w:szCs w:val="20"/>
        </w:rPr>
        <w:t>2015</w:t>
      </w:r>
      <w:r w:rsidR="003B0B2A" w:rsidRPr="005C094B">
        <w:rPr>
          <w:rFonts w:ascii="Times New Roman" w:hAnsi="Times New Roman" w:cs="Times New Roman"/>
          <w:sz w:val="20"/>
          <w:szCs w:val="20"/>
        </w:rPr>
        <w:t xml:space="preserve"> as the base year. </w:t>
      </w:r>
      <w:r w:rsidR="00F57102" w:rsidRPr="005C094B">
        <w:rPr>
          <w:rFonts w:ascii="Times New Roman" w:hAnsi="Times New Roman" w:cs="Times New Roman"/>
          <w:sz w:val="20"/>
          <w:szCs w:val="20"/>
        </w:rPr>
        <w:t xml:space="preserve"> Data </w:t>
      </w:r>
      <w:r w:rsidR="003B0B2A" w:rsidRPr="005C094B">
        <w:rPr>
          <w:rFonts w:ascii="Times New Roman" w:hAnsi="Times New Roman" w:cs="Times New Roman"/>
          <w:sz w:val="20"/>
          <w:szCs w:val="20"/>
        </w:rPr>
        <w:t xml:space="preserve">also </w:t>
      </w:r>
      <w:r w:rsidR="00F57102" w:rsidRPr="005C094B">
        <w:rPr>
          <w:rFonts w:ascii="Times New Roman" w:hAnsi="Times New Roman" w:cs="Times New Roman"/>
          <w:sz w:val="20"/>
          <w:szCs w:val="20"/>
        </w:rPr>
        <w:t>excludes those parts of Jerusalem which were annexed by Israeli occupation in 1967</w:t>
      </w:r>
    </w:p>
    <w:p w:rsidR="003D3C88" w:rsidRPr="005C094B" w:rsidRDefault="00FE1561" w:rsidP="00826C91">
      <w:pPr>
        <w:autoSpaceDE w:val="0"/>
        <w:autoSpaceDN w:val="0"/>
        <w:adjustRightInd w:val="0"/>
        <w:spacing w:after="0" w:line="240" w:lineRule="auto"/>
        <w:ind w:left="-851" w:hanging="567"/>
        <w:jc w:val="lowKashida"/>
        <w:rPr>
          <w:rFonts w:ascii="Times New Roman" w:hAnsi="Times New Roman" w:cs="Times New Roman"/>
          <w:b/>
          <w:bCs/>
          <w:sz w:val="20"/>
          <w:szCs w:val="20"/>
        </w:rPr>
      </w:pPr>
      <w:r w:rsidRPr="005C094B">
        <w:rPr>
          <w:rFonts w:ascii="Times New Roman" w:hAnsi="Times New Roman" w:cs="Times New Roman"/>
          <w:b/>
          <w:bCs/>
          <w:sz w:val="20"/>
          <w:szCs w:val="20"/>
        </w:rPr>
        <w:t xml:space="preserve">     </w:t>
      </w:r>
      <w:r w:rsidR="006449D5" w:rsidRPr="005C094B">
        <w:rPr>
          <w:rFonts w:ascii="Times New Roman" w:hAnsi="Times New Roman" w:cs="Times New Roman"/>
          <w:b/>
          <w:bCs/>
          <w:sz w:val="20"/>
          <w:szCs w:val="20"/>
        </w:rPr>
        <w:t xml:space="preserve">   </w:t>
      </w:r>
      <w:r w:rsidRPr="005C094B">
        <w:rPr>
          <w:rFonts w:ascii="Times New Roman" w:hAnsi="Times New Roman" w:cs="Times New Roman"/>
          <w:b/>
          <w:bCs/>
          <w:sz w:val="20"/>
          <w:szCs w:val="20"/>
        </w:rPr>
        <w:t>Note:</w:t>
      </w:r>
    </w:p>
    <w:p w:rsidR="00826C91" w:rsidRPr="005C094B" w:rsidRDefault="00677D94" w:rsidP="006449D5">
      <w:pPr>
        <w:autoSpaceDE w:val="0"/>
        <w:autoSpaceDN w:val="0"/>
        <w:adjustRightInd w:val="0"/>
        <w:spacing w:after="0" w:line="240" w:lineRule="auto"/>
        <w:ind w:left="-851" w:hanging="142"/>
        <w:jc w:val="lowKashida"/>
        <w:rPr>
          <w:rFonts w:ascii="Times New Roman" w:hAnsi="Times New Roman" w:cs="Times New Roman"/>
          <w:sz w:val="20"/>
          <w:szCs w:val="20"/>
        </w:rPr>
      </w:pPr>
      <w:r w:rsidRPr="005C094B">
        <w:rPr>
          <w:rFonts w:ascii="Times New Roman" w:hAnsi="Times New Roman" w:cs="Times New Roman"/>
          <w:sz w:val="20"/>
          <w:szCs w:val="20"/>
        </w:rPr>
        <w:t xml:space="preserve">1- </w:t>
      </w:r>
      <w:r w:rsidR="00826C91" w:rsidRPr="005C094B">
        <w:rPr>
          <w:rFonts w:ascii="Times New Roman" w:hAnsi="Times New Roman" w:cs="Times New Roman"/>
          <w:sz w:val="20"/>
          <w:szCs w:val="20"/>
        </w:rPr>
        <w:t>The gross consumption includes net errors and omissions.</w:t>
      </w:r>
    </w:p>
    <w:p w:rsidR="00826C91" w:rsidRPr="005C094B" w:rsidRDefault="00677D94" w:rsidP="00441F4D">
      <w:pPr>
        <w:autoSpaceDE w:val="0"/>
        <w:autoSpaceDN w:val="0"/>
        <w:adjustRightInd w:val="0"/>
        <w:spacing w:after="0" w:line="240" w:lineRule="auto"/>
        <w:ind w:left="-993" w:right="-710"/>
        <w:jc w:val="lowKashida"/>
        <w:rPr>
          <w:rFonts w:ascii="Times New Roman" w:hAnsi="Times New Roman" w:cs="Times New Roman"/>
          <w:sz w:val="20"/>
          <w:szCs w:val="20"/>
        </w:rPr>
      </w:pPr>
      <w:r w:rsidRPr="005C094B">
        <w:rPr>
          <w:rFonts w:ascii="Times New Roman" w:hAnsi="Times New Roman" w:cs="Times New Roman"/>
          <w:sz w:val="20"/>
          <w:szCs w:val="20"/>
        </w:rPr>
        <w:t xml:space="preserve">2- </w:t>
      </w:r>
      <w:r w:rsidR="00826C91" w:rsidRPr="005C094B">
        <w:rPr>
          <w:rFonts w:ascii="Times New Roman" w:hAnsi="Times New Roman" w:cs="Times New Roman"/>
          <w:sz w:val="20"/>
          <w:szCs w:val="20"/>
        </w:rPr>
        <w:t xml:space="preserve">Services and Other </w:t>
      </w:r>
      <w:r w:rsidR="00441F4D" w:rsidRPr="005C094B">
        <w:rPr>
          <w:rFonts w:ascii="Times New Roman" w:hAnsi="Times New Roman" w:cs="Times New Roman"/>
          <w:sz w:val="20"/>
          <w:szCs w:val="20"/>
        </w:rPr>
        <w:t>Branches</w:t>
      </w:r>
      <w:r w:rsidR="00826C91" w:rsidRPr="005C094B">
        <w:rPr>
          <w:rFonts w:ascii="Times New Roman" w:hAnsi="Times New Roman" w:cs="Times New Roman"/>
          <w:sz w:val="20"/>
          <w:szCs w:val="20"/>
        </w:rPr>
        <w:t xml:space="preserve"> (includes services, </w:t>
      </w:r>
      <w:r w:rsidR="003D3C88" w:rsidRPr="005C094B">
        <w:rPr>
          <w:rFonts w:ascii="Times New Roman" w:hAnsi="Times New Roman" w:cs="Times New Roman"/>
          <w:sz w:val="20"/>
          <w:szCs w:val="20"/>
        </w:rPr>
        <w:t>in</w:t>
      </w:r>
      <w:r w:rsidR="00826C91" w:rsidRPr="005C094B">
        <w:rPr>
          <w:rFonts w:ascii="Times New Roman" w:hAnsi="Times New Roman" w:cs="Times New Roman"/>
          <w:sz w:val="20"/>
          <w:szCs w:val="20"/>
        </w:rPr>
        <w:t xml:space="preserve"> addition to electricity </w:t>
      </w:r>
      <w:r w:rsidR="003D3C88" w:rsidRPr="005C094B">
        <w:rPr>
          <w:rFonts w:ascii="Times New Roman" w:hAnsi="Times New Roman" w:cs="Times New Roman"/>
          <w:sz w:val="20"/>
          <w:szCs w:val="20"/>
        </w:rPr>
        <w:t>and</w:t>
      </w:r>
      <w:r w:rsidR="00826C91" w:rsidRPr="005C094B">
        <w:rPr>
          <w:rFonts w:ascii="Times New Roman" w:hAnsi="Times New Roman" w:cs="Times New Roman"/>
          <w:sz w:val="20"/>
          <w:szCs w:val="20"/>
        </w:rPr>
        <w:t xml:space="preserve"> </w:t>
      </w:r>
      <w:r w:rsidR="003B0B2A" w:rsidRPr="005C094B">
        <w:rPr>
          <w:rFonts w:ascii="Times New Roman" w:hAnsi="Times New Roman" w:cs="Times New Roman"/>
          <w:sz w:val="20"/>
          <w:szCs w:val="20"/>
        </w:rPr>
        <w:t>w</w:t>
      </w:r>
      <w:r w:rsidR="00826C91" w:rsidRPr="005C094B">
        <w:rPr>
          <w:rFonts w:ascii="Times New Roman" w:hAnsi="Times New Roman" w:cs="Times New Roman"/>
          <w:sz w:val="20"/>
          <w:szCs w:val="20"/>
        </w:rPr>
        <w:t>ater supply, wholesale and retail  trade, transportation and storage, financial and insurance, information and communications, public administration and defense, and households</w:t>
      </w:r>
      <w:r w:rsidR="003D3C88" w:rsidRPr="005C094B">
        <w:rPr>
          <w:rFonts w:ascii="Times New Roman" w:hAnsi="Times New Roman" w:cs="Times New Roman"/>
          <w:sz w:val="20"/>
          <w:szCs w:val="20"/>
        </w:rPr>
        <w:t xml:space="preserve"> services</w:t>
      </w:r>
      <w:r w:rsidR="003B0B2A" w:rsidRPr="005C094B">
        <w:rPr>
          <w:rFonts w:ascii="Times New Roman" w:hAnsi="Times New Roman" w:cs="Times New Roman"/>
          <w:sz w:val="20"/>
          <w:szCs w:val="20"/>
        </w:rPr>
        <w:t>) excluding</w:t>
      </w:r>
      <w:r w:rsidR="00F57102" w:rsidRPr="005C094B">
        <w:rPr>
          <w:rFonts w:ascii="Times New Roman" w:hAnsi="Times New Roman" w:cs="Times New Roman"/>
          <w:sz w:val="20"/>
          <w:szCs w:val="20"/>
        </w:rPr>
        <w:t xml:space="preserve"> customs duties and </w:t>
      </w:r>
      <w:r w:rsidR="003B0B2A" w:rsidRPr="005C094B">
        <w:rPr>
          <w:rFonts w:ascii="Times New Roman" w:hAnsi="Times New Roman" w:cs="Times New Roman"/>
          <w:sz w:val="20"/>
          <w:szCs w:val="20"/>
        </w:rPr>
        <w:t>net VAT on imports</w:t>
      </w:r>
      <w:r w:rsidR="00F57102" w:rsidRPr="005C094B">
        <w:rPr>
          <w:rFonts w:ascii="Times New Roman" w:hAnsi="Times New Roman" w:cs="Times New Roman"/>
          <w:sz w:val="20"/>
          <w:szCs w:val="20"/>
        </w:rPr>
        <w:t>.</w:t>
      </w:r>
    </w:p>
    <w:p w:rsidR="00826C91" w:rsidRPr="00EC007B" w:rsidRDefault="00826C91" w:rsidP="00A273F6">
      <w:pPr>
        <w:spacing w:after="0" w:line="240" w:lineRule="auto"/>
        <w:jc w:val="lowKashida"/>
        <w:rPr>
          <w:rFonts w:ascii="Times New Roman" w:eastAsia="Times New Roman" w:hAnsi="Times New Roman" w:cs="Times New Roman"/>
          <w:sz w:val="24"/>
          <w:szCs w:val="24"/>
          <w:lang w:eastAsia="ar-SA"/>
        </w:rPr>
      </w:pPr>
    </w:p>
    <w:bookmarkEnd w:id="0"/>
    <w:p w:rsidR="00A273F6" w:rsidRPr="00EC007B" w:rsidRDefault="00A273F6" w:rsidP="00A273F6">
      <w:pPr>
        <w:spacing w:after="0" w:line="240" w:lineRule="auto"/>
        <w:jc w:val="lowKashida"/>
        <w:rPr>
          <w:rFonts w:ascii="Times New Roman" w:eastAsia="Times New Roman" w:hAnsi="Times New Roman" w:cs="Times New Roman"/>
          <w:sz w:val="24"/>
          <w:szCs w:val="24"/>
          <w:lang w:eastAsia="ar-SA"/>
        </w:rPr>
      </w:pPr>
    </w:p>
    <w:sectPr w:rsidR="00A273F6" w:rsidRPr="00EC007B" w:rsidSect="00922A92">
      <w:headerReference w:type="default" r:id="rId8"/>
      <w:footerReference w:type="default" r:id="rId9"/>
      <w:pgSz w:w="11907" w:h="16840" w:code="9"/>
      <w:pgMar w:top="567" w:right="1418" w:bottom="567"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F28" w:rsidRDefault="00191F28" w:rsidP="00111D6A">
      <w:pPr>
        <w:spacing w:after="0" w:line="240" w:lineRule="auto"/>
      </w:pPr>
      <w:r>
        <w:separator/>
      </w:r>
    </w:p>
  </w:endnote>
  <w:endnote w:type="continuationSeparator" w:id="0">
    <w:p w:rsidR="00191F28" w:rsidRDefault="00191F28" w:rsidP="0011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EF" w:rsidRDefault="00397AEF" w:rsidP="00F61262">
    <w:pPr>
      <w:pStyle w:val="Footer"/>
      <w:jc w:val="center"/>
    </w:pPr>
    <w:r>
      <w:t>[</w:t>
    </w:r>
    <w:r w:rsidR="00976F1D">
      <w:fldChar w:fldCharType="begin"/>
    </w:r>
    <w:r w:rsidR="00516C90">
      <w:instrText xml:space="preserve"> PAGE   \* MERGEFORMAT </w:instrText>
    </w:r>
    <w:r w:rsidR="00976F1D">
      <w:fldChar w:fldCharType="separate"/>
    </w:r>
    <w:r w:rsidR="007D09DC">
      <w:rPr>
        <w:noProof/>
      </w:rPr>
      <w:t>2</w:t>
    </w:r>
    <w:r w:rsidR="00976F1D">
      <w:rPr>
        <w:noProof/>
      </w:rPr>
      <w:fldChar w:fldCharType="end"/>
    </w:r>
    <w:r>
      <w:t>]</w:t>
    </w:r>
  </w:p>
  <w:p w:rsidR="00397AEF" w:rsidRDefault="00397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F28" w:rsidRDefault="00191F28" w:rsidP="00111D6A">
      <w:pPr>
        <w:spacing w:after="0" w:line="240" w:lineRule="auto"/>
      </w:pPr>
      <w:r>
        <w:separator/>
      </w:r>
    </w:p>
  </w:footnote>
  <w:footnote w:type="continuationSeparator" w:id="0">
    <w:p w:rsidR="00191F28" w:rsidRDefault="00191F28" w:rsidP="00111D6A">
      <w:pPr>
        <w:spacing w:after="0" w:line="240" w:lineRule="auto"/>
      </w:pPr>
      <w:r>
        <w:continuationSeparator/>
      </w:r>
    </w:p>
  </w:footnote>
  <w:footnote w:id="1">
    <w:p w:rsidR="00397AEF" w:rsidRPr="007B123D" w:rsidRDefault="00397AEF" w:rsidP="007B123D">
      <w:pPr>
        <w:rPr>
          <w:rFonts w:ascii="Times New Roman" w:hAnsi="Times New Roman" w:cs="Times New Roman"/>
          <w:snapToGrid w:val="0"/>
          <w:lang w:bidi="ar-JO"/>
        </w:rPr>
      </w:pPr>
      <w:r w:rsidRPr="007B123D">
        <w:rPr>
          <w:rFonts w:ascii="Times New Roman" w:hAnsi="Times New Roman" w:cs="Times New Roman"/>
          <w:snapToGrid w:val="0"/>
          <w:lang w:bidi="ar-JO"/>
        </w:rPr>
        <w:footnoteRef/>
      </w:r>
      <w:r w:rsidRPr="007B123D">
        <w:rPr>
          <w:rFonts w:ascii="Times New Roman" w:hAnsi="Times New Roman" w:cs="Times New Roman"/>
          <w:snapToGrid w:val="0"/>
          <w:lang w:bidi="ar-JO"/>
        </w:rPr>
        <w:t xml:space="preserve"> Data at constant prices with </w:t>
      </w:r>
      <w:r w:rsidR="00251E03" w:rsidRPr="007B123D">
        <w:rPr>
          <w:rFonts w:ascii="Times New Roman" w:hAnsi="Times New Roman" w:cs="Times New Roman"/>
          <w:snapToGrid w:val="0"/>
          <w:lang w:bidi="ar-JO"/>
        </w:rPr>
        <w:t>2015</w:t>
      </w:r>
      <w:r w:rsidRPr="007B123D">
        <w:rPr>
          <w:rFonts w:ascii="Times New Roman" w:hAnsi="Times New Roman" w:cs="Times New Roman"/>
          <w:snapToGrid w:val="0"/>
          <w:lang w:bidi="ar-JO"/>
        </w:rPr>
        <w:t xml:space="preserve"> as the base year.  D</w:t>
      </w:r>
      <w:r w:rsidRPr="00EC007B">
        <w:rPr>
          <w:rFonts w:ascii="Times New Roman" w:hAnsi="Times New Roman" w:cs="Times New Roman"/>
        </w:rPr>
        <w:t>ata excludes those parts of Jerusalem which were annexed by Israel</w:t>
      </w:r>
      <w:r w:rsidR="00080A0C" w:rsidRPr="00EC007B">
        <w:rPr>
          <w:rFonts w:ascii="Times New Roman" w:hAnsi="Times New Roman" w:cs="Times New Roman"/>
        </w:rPr>
        <w:t>i occupation</w:t>
      </w:r>
      <w:r w:rsidRPr="00EC007B">
        <w:rPr>
          <w:rFonts w:ascii="Times New Roman" w:hAnsi="Times New Roman" w:cs="Times New Roman"/>
        </w:rPr>
        <w:t xml:space="preserve"> in 1967.  Data for </w:t>
      </w:r>
      <w:r w:rsidR="007B123D" w:rsidRPr="00EC007B">
        <w:rPr>
          <w:rFonts w:ascii="Times New Roman" w:hAnsi="Times New Roman" w:cs="Times New Roman" w:hint="cs"/>
          <w:rtl/>
        </w:rPr>
        <w:t>2020</w:t>
      </w:r>
      <w:r w:rsidRPr="00EC007B">
        <w:rPr>
          <w:rFonts w:ascii="Times New Roman" w:hAnsi="Times New Roman" w:cs="Times New Roman"/>
        </w:rPr>
        <w:t xml:space="preserve"> were based on preliminary estimates and may be revised</w:t>
      </w:r>
      <w:r w:rsidRPr="007B123D">
        <w:rPr>
          <w:rFonts w:ascii="Times New Roman" w:hAnsi="Times New Roman" w:cs="Times New Roman"/>
          <w:snapToGrid w:val="0"/>
          <w:rtl/>
          <w:lang w:bidi="ar-JO"/>
        </w:rPr>
        <w:t>.</w:t>
      </w:r>
    </w:p>
  </w:footnote>
  <w:footnote w:id="2">
    <w:p w:rsidR="00397AEF" w:rsidRPr="00EC007B" w:rsidRDefault="00397AEF" w:rsidP="00080A0C">
      <w:pPr>
        <w:pStyle w:val="FootnoteText"/>
        <w:rPr>
          <w:rFonts w:ascii="Times New Roman" w:hAnsi="Times New Roman" w:cs="Times New Roman"/>
        </w:rPr>
      </w:pPr>
      <w:r w:rsidRPr="00EC007B">
        <w:rPr>
          <w:rStyle w:val="FootnoteReference"/>
          <w:rFonts w:ascii="Times New Roman" w:hAnsi="Times New Roman" w:cs="Times New Roman"/>
        </w:rPr>
        <w:footnoteRef/>
      </w:r>
      <w:r w:rsidRPr="00EC007B">
        <w:rPr>
          <w:rFonts w:ascii="Times New Roman" w:hAnsi="Times New Roman" w:cs="Times New Roman"/>
        </w:rPr>
        <w:t xml:space="preserve"> Data includes those parts of Jerusalem which were annexed by Israel</w:t>
      </w:r>
      <w:r w:rsidR="00080A0C" w:rsidRPr="00EC007B">
        <w:rPr>
          <w:rFonts w:ascii="Times New Roman" w:hAnsi="Times New Roman" w:cs="Times New Roman"/>
        </w:rPr>
        <w:t>i occupation</w:t>
      </w:r>
      <w:r w:rsidRPr="00EC007B">
        <w:rPr>
          <w:rFonts w:ascii="Times New Roman" w:hAnsi="Times New Roman" w:cs="Times New Roman"/>
        </w:rPr>
        <w:t xml:space="preserve"> in 1967.</w:t>
      </w:r>
    </w:p>
  </w:footnote>
  <w:footnote w:id="3">
    <w:p w:rsidR="00397AEF" w:rsidRPr="00A74C66" w:rsidRDefault="00397AEF" w:rsidP="00677D94">
      <w:pPr>
        <w:pStyle w:val="FootnoteText"/>
      </w:pPr>
      <w:r w:rsidRPr="00A74C66">
        <w:rPr>
          <w:rStyle w:val="FootnoteReference"/>
        </w:rPr>
        <w:footnoteRef/>
      </w:r>
      <w:r w:rsidRPr="00A74C66">
        <w:t xml:space="preserve"> </w:t>
      </w:r>
      <w:r w:rsidRPr="00A74C66">
        <w:rPr>
          <w:rFonts w:ascii="Times New Roman" w:hAnsi="Times New Roman" w:cs="Times New Roman"/>
        </w:rPr>
        <w:t>D</w:t>
      </w:r>
      <w:r w:rsidRPr="00A74C66">
        <w:rPr>
          <w:rFonts w:ascii="Times New Roman" w:hAnsi="Times New Roman" w:cs="Times New Roman"/>
          <w:snapToGrid w:val="0"/>
          <w:lang w:bidi="ar-JO"/>
        </w:rPr>
        <w:t xml:space="preserve">ata at constant prices with </w:t>
      </w:r>
      <w:r w:rsidR="00313B68" w:rsidRPr="00A74C66">
        <w:rPr>
          <w:rFonts w:ascii="Times New Roman" w:hAnsi="Times New Roman" w:cs="Times New Roman"/>
          <w:snapToGrid w:val="0"/>
          <w:lang w:bidi="ar-JO"/>
        </w:rPr>
        <w:t>2015</w:t>
      </w:r>
      <w:r w:rsidRPr="00A74C66">
        <w:rPr>
          <w:rFonts w:ascii="Times New Roman" w:hAnsi="Times New Roman" w:cs="Times New Roman"/>
          <w:snapToGrid w:val="0"/>
          <w:lang w:bidi="ar-JO"/>
        </w:rPr>
        <w:t xml:space="preserve"> as the base year. </w:t>
      </w:r>
      <w:r w:rsidR="00313B68" w:rsidRPr="00A74C66">
        <w:rPr>
          <w:rFonts w:ascii="Times New Roman" w:hAnsi="Times New Roman" w:cs="Times New Roman"/>
          <w:snapToGrid w:val="0"/>
          <w:lang w:bidi="ar-JO"/>
        </w:rPr>
        <w:t>D</w:t>
      </w:r>
      <w:r w:rsidR="00313B68" w:rsidRPr="00EC007B">
        <w:rPr>
          <w:rFonts w:ascii="Times New Roman" w:hAnsi="Times New Roman" w:cs="Times New Roman"/>
        </w:rPr>
        <w:t>ata excludes those parts of Jerusalem which were annexed by Israeli occupation in 1967.</w:t>
      </w:r>
    </w:p>
  </w:footnote>
  <w:footnote w:id="4">
    <w:p w:rsidR="00397AEF" w:rsidRPr="00A74C66" w:rsidRDefault="00397AEF" w:rsidP="00C461B1">
      <w:pPr>
        <w:pStyle w:val="FootnoteText"/>
        <w:rPr>
          <w:rFonts w:ascii="Times New Roman" w:hAnsi="Times New Roman" w:cs="Times New Roman"/>
        </w:rPr>
      </w:pPr>
      <w:r w:rsidRPr="00A74C66">
        <w:rPr>
          <w:rStyle w:val="FootnoteReference"/>
          <w:rFonts w:ascii="Times New Roman" w:hAnsi="Times New Roman" w:cs="Times New Roman"/>
        </w:rPr>
        <w:footnoteRef/>
      </w:r>
      <w:r w:rsidRPr="00A74C66">
        <w:rPr>
          <w:rFonts w:ascii="Times New Roman" w:hAnsi="Times New Roman" w:cs="Times New Roman"/>
        </w:rPr>
        <w:t xml:space="preserve"> The assumptions </w:t>
      </w:r>
      <w:r w:rsidR="00046E2D">
        <w:rPr>
          <w:rFonts w:ascii="Times New Roman" w:hAnsi="Times New Roman" w:cs="Times New Roman"/>
        </w:rPr>
        <w:t xml:space="preserve">of </w:t>
      </w:r>
      <w:r w:rsidRPr="00A74C66">
        <w:rPr>
          <w:rFonts w:ascii="Times New Roman" w:hAnsi="Times New Roman" w:cs="Times New Roman"/>
        </w:rPr>
        <w:t xml:space="preserve">the </w:t>
      </w:r>
      <w:r w:rsidR="00046E2D" w:rsidRPr="00A74C66">
        <w:rPr>
          <w:rFonts w:ascii="Times New Roman" w:hAnsi="Times New Roman" w:cs="Times New Roman"/>
        </w:rPr>
        <w:t>Ministry</w:t>
      </w:r>
      <w:r w:rsidR="00046E2D">
        <w:rPr>
          <w:rFonts w:ascii="Times New Roman" w:hAnsi="Times New Roman" w:cs="Times New Roman"/>
        </w:rPr>
        <w:t xml:space="preserve"> of </w:t>
      </w:r>
      <w:r w:rsidRPr="00A74C66">
        <w:rPr>
          <w:rFonts w:ascii="Times New Roman" w:hAnsi="Times New Roman" w:cs="Times New Roman"/>
        </w:rPr>
        <w:t>Finance are preliminary</w:t>
      </w:r>
      <w:r w:rsidR="00FD0D63" w:rsidRPr="00A74C66">
        <w:rPr>
          <w:rFonts w:ascii="Times New Roman" w:hAnsi="Times New Roman" w:cs="Times New Roman"/>
        </w:rPr>
        <w:t xml:space="preserve"> assumptions</w:t>
      </w:r>
      <w:r w:rsidRPr="00A74C66">
        <w:rPr>
          <w:rFonts w:ascii="Times New Roman" w:hAnsi="Times New Roman" w:cs="Times New Roman"/>
        </w:rPr>
        <w:t>.</w:t>
      </w:r>
    </w:p>
  </w:footnote>
  <w:footnote w:id="5">
    <w:p w:rsidR="00397AEF" w:rsidRPr="00A74C66" w:rsidRDefault="00397AEF" w:rsidP="00B75DD5">
      <w:pPr>
        <w:pStyle w:val="FootnoteText"/>
        <w:rPr>
          <w:rFonts w:ascii="Times New Roman" w:hAnsi="Times New Roman" w:cs="Times New Roman"/>
        </w:rPr>
      </w:pPr>
      <w:r w:rsidRPr="00A74C66">
        <w:rPr>
          <w:rStyle w:val="FootnoteReference"/>
          <w:rFonts w:ascii="Times New Roman" w:hAnsi="Times New Roman" w:cs="Times New Roman"/>
        </w:rPr>
        <w:footnoteRef/>
      </w:r>
      <w:r w:rsidRPr="00A74C66">
        <w:rPr>
          <w:rFonts w:ascii="Times New Roman" w:hAnsi="Times New Roman" w:cs="Times New Roman"/>
        </w:rPr>
        <w:t xml:space="preserve"> The net current account includes the net trade balance, </w:t>
      </w:r>
      <w:r w:rsidRPr="00A74C66">
        <w:rPr>
          <w:rFonts w:ascii="Times New Roman" w:eastAsia="Times New Roman" w:hAnsi="Times New Roman" w:cs="Times New Roman"/>
          <w:lang w:eastAsia="ar-SA"/>
        </w:rPr>
        <w:t>net current transfers and net factor income.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EF" w:rsidRDefault="00397AEF" w:rsidP="00E10E7B">
    <w:pPr>
      <w:pStyle w:val="Header"/>
    </w:pPr>
  </w:p>
  <w:p w:rsidR="00397AEF" w:rsidRDefault="00397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CF5"/>
    <w:multiLevelType w:val="hybridMultilevel"/>
    <w:tmpl w:val="8D06C8D0"/>
    <w:lvl w:ilvl="0" w:tplc="2EDAA9A8">
      <w:start w:val="1"/>
      <w:numFmt w:val="bullet"/>
      <w:lvlText w:val=""/>
      <w:lvlJc w:val="left"/>
      <w:pPr>
        <w:tabs>
          <w:tab w:val="num" w:pos="720"/>
        </w:tabs>
        <w:ind w:left="720" w:right="720" w:hanging="360"/>
      </w:pPr>
      <w:rPr>
        <w:rFonts w:ascii="Symbol" w:hAnsi="Symbol" w:hint="default"/>
        <w:sz w:val="24"/>
        <w:szCs w:val="24"/>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0CC461CD"/>
    <w:multiLevelType w:val="hybridMultilevel"/>
    <w:tmpl w:val="7CDE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56735"/>
    <w:multiLevelType w:val="hybridMultilevel"/>
    <w:tmpl w:val="6D4C63BC"/>
    <w:lvl w:ilvl="0" w:tplc="0409000F">
      <w:start w:val="1"/>
      <w:numFmt w:val="decimal"/>
      <w:lvlText w:val="%1."/>
      <w:lvlJc w:val="left"/>
      <w:pPr>
        <w:ind w:left="1080" w:right="1080" w:hanging="360"/>
      </w:pPr>
    </w:lvl>
    <w:lvl w:ilvl="1" w:tplc="04090019" w:tentative="1">
      <w:start w:val="1"/>
      <w:numFmt w:val="lowerLetter"/>
      <w:lvlText w:val="%2."/>
      <w:lvlJc w:val="left"/>
      <w:pPr>
        <w:ind w:left="1800" w:right="1800" w:hanging="360"/>
      </w:pPr>
    </w:lvl>
    <w:lvl w:ilvl="2" w:tplc="0409001B" w:tentative="1">
      <w:start w:val="1"/>
      <w:numFmt w:val="lowerRoman"/>
      <w:lvlText w:val="%3."/>
      <w:lvlJc w:val="right"/>
      <w:pPr>
        <w:ind w:left="2520" w:right="2520" w:hanging="180"/>
      </w:pPr>
    </w:lvl>
    <w:lvl w:ilvl="3" w:tplc="0409000F" w:tentative="1">
      <w:start w:val="1"/>
      <w:numFmt w:val="decimal"/>
      <w:lvlText w:val="%4."/>
      <w:lvlJc w:val="left"/>
      <w:pPr>
        <w:ind w:left="3240" w:right="3240" w:hanging="360"/>
      </w:pPr>
    </w:lvl>
    <w:lvl w:ilvl="4" w:tplc="04090019" w:tentative="1">
      <w:start w:val="1"/>
      <w:numFmt w:val="lowerLetter"/>
      <w:lvlText w:val="%5."/>
      <w:lvlJc w:val="left"/>
      <w:pPr>
        <w:ind w:left="3960" w:right="3960" w:hanging="360"/>
      </w:pPr>
    </w:lvl>
    <w:lvl w:ilvl="5" w:tplc="0409001B" w:tentative="1">
      <w:start w:val="1"/>
      <w:numFmt w:val="lowerRoman"/>
      <w:lvlText w:val="%6."/>
      <w:lvlJc w:val="right"/>
      <w:pPr>
        <w:ind w:left="4680" w:right="4680" w:hanging="180"/>
      </w:pPr>
    </w:lvl>
    <w:lvl w:ilvl="6" w:tplc="0409000F" w:tentative="1">
      <w:start w:val="1"/>
      <w:numFmt w:val="decimal"/>
      <w:lvlText w:val="%7."/>
      <w:lvlJc w:val="left"/>
      <w:pPr>
        <w:ind w:left="5400" w:right="5400" w:hanging="360"/>
      </w:pPr>
    </w:lvl>
    <w:lvl w:ilvl="7" w:tplc="04090019" w:tentative="1">
      <w:start w:val="1"/>
      <w:numFmt w:val="lowerLetter"/>
      <w:lvlText w:val="%8."/>
      <w:lvlJc w:val="left"/>
      <w:pPr>
        <w:ind w:left="6120" w:right="6120" w:hanging="360"/>
      </w:pPr>
    </w:lvl>
    <w:lvl w:ilvl="8" w:tplc="0409001B" w:tentative="1">
      <w:start w:val="1"/>
      <w:numFmt w:val="lowerRoman"/>
      <w:lvlText w:val="%9."/>
      <w:lvlJc w:val="right"/>
      <w:pPr>
        <w:ind w:left="6840" w:right="6840" w:hanging="180"/>
      </w:pPr>
    </w:lvl>
  </w:abstractNum>
  <w:abstractNum w:abstractNumId="3" w15:restartNumberingAfterBreak="0">
    <w:nsid w:val="2DA84C39"/>
    <w:multiLevelType w:val="hybridMultilevel"/>
    <w:tmpl w:val="DE5CFCB6"/>
    <w:lvl w:ilvl="0" w:tplc="D2FEF27A">
      <w:start w:val="2"/>
      <w:numFmt w:val="bullet"/>
      <w:lvlText w:val=""/>
      <w:lvlJc w:val="left"/>
      <w:pPr>
        <w:ind w:left="720" w:hanging="360"/>
      </w:pPr>
      <w:rPr>
        <w:rFonts w:ascii="Symbol" w:eastAsia="Calibri"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05305"/>
    <w:multiLevelType w:val="hybridMultilevel"/>
    <w:tmpl w:val="CE0A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0A109C"/>
    <w:multiLevelType w:val="hybridMultilevel"/>
    <w:tmpl w:val="192877C4"/>
    <w:lvl w:ilvl="0" w:tplc="F82A3002">
      <w:start w:val="1"/>
      <w:numFmt w:val="bullet"/>
      <w:lvlText w:val=""/>
      <w:lvlJc w:val="left"/>
      <w:pPr>
        <w:ind w:left="795" w:hanging="360"/>
      </w:pPr>
      <w:rPr>
        <w:rFonts w:ascii="Symbol" w:hAnsi="Symbol" w:hint="default"/>
        <w:lang w:bidi="ar-SA"/>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41ED6A82"/>
    <w:multiLevelType w:val="hybridMultilevel"/>
    <w:tmpl w:val="AEA230F0"/>
    <w:lvl w:ilvl="0" w:tplc="B82A9D2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2753EF"/>
    <w:multiLevelType w:val="hybridMultilevel"/>
    <w:tmpl w:val="00BA3F14"/>
    <w:lvl w:ilvl="0" w:tplc="6F64C3D2">
      <w:start w:val="1"/>
      <w:numFmt w:val="decimal"/>
      <w:lvlText w:val="%1-"/>
      <w:lvlJc w:val="left"/>
      <w:pPr>
        <w:ind w:left="-774" w:hanging="360"/>
      </w:pPr>
      <w:rPr>
        <w:rFonts w:hint="default"/>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8" w15:restartNumberingAfterBreak="0">
    <w:nsid w:val="5A275D36"/>
    <w:multiLevelType w:val="hybridMultilevel"/>
    <w:tmpl w:val="6DC0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C7ABE"/>
    <w:multiLevelType w:val="hybridMultilevel"/>
    <w:tmpl w:val="6A522C98"/>
    <w:lvl w:ilvl="0" w:tplc="A70CF95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3"/>
  </w:num>
  <w:num w:numId="6">
    <w:abstractNumId w:val="9"/>
  </w:num>
  <w:num w:numId="7">
    <w:abstractNumId w:val="8"/>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4E"/>
    <w:rsid w:val="000007C0"/>
    <w:rsid w:val="00000B64"/>
    <w:rsid w:val="000021F6"/>
    <w:rsid w:val="000030A2"/>
    <w:rsid w:val="00003A89"/>
    <w:rsid w:val="00003C38"/>
    <w:rsid w:val="000044BB"/>
    <w:rsid w:val="000048D2"/>
    <w:rsid w:val="00004BC4"/>
    <w:rsid w:val="00006886"/>
    <w:rsid w:val="000069A0"/>
    <w:rsid w:val="00007177"/>
    <w:rsid w:val="00007B0B"/>
    <w:rsid w:val="000101F9"/>
    <w:rsid w:val="00010A01"/>
    <w:rsid w:val="0001250F"/>
    <w:rsid w:val="0001401F"/>
    <w:rsid w:val="0001541C"/>
    <w:rsid w:val="0001634E"/>
    <w:rsid w:val="0001794A"/>
    <w:rsid w:val="00017C06"/>
    <w:rsid w:val="000200C5"/>
    <w:rsid w:val="00020161"/>
    <w:rsid w:val="00020A73"/>
    <w:rsid w:val="00021A0F"/>
    <w:rsid w:val="00024313"/>
    <w:rsid w:val="000251F5"/>
    <w:rsid w:val="00025241"/>
    <w:rsid w:val="00025837"/>
    <w:rsid w:val="00026E44"/>
    <w:rsid w:val="0002718D"/>
    <w:rsid w:val="00030E2F"/>
    <w:rsid w:val="00031BEF"/>
    <w:rsid w:val="000321C9"/>
    <w:rsid w:val="0003319D"/>
    <w:rsid w:val="0003554E"/>
    <w:rsid w:val="00035627"/>
    <w:rsid w:val="000364B6"/>
    <w:rsid w:val="000368E1"/>
    <w:rsid w:val="00036FC5"/>
    <w:rsid w:val="00037624"/>
    <w:rsid w:val="000411E6"/>
    <w:rsid w:val="000414AD"/>
    <w:rsid w:val="000416E0"/>
    <w:rsid w:val="00041A61"/>
    <w:rsid w:val="00041F38"/>
    <w:rsid w:val="0004363B"/>
    <w:rsid w:val="000448DA"/>
    <w:rsid w:val="00044B8B"/>
    <w:rsid w:val="00044BDC"/>
    <w:rsid w:val="0004652A"/>
    <w:rsid w:val="0004673B"/>
    <w:rsid w:val="00046E2D"/>
    <w:rsid w:val="000473E0"/>
    <w:rsid w:val="000479F4"/>
    <w:rsid w:val="0005117B"/>
    <w:rsid w:val="000520E1"/>
    <w:rsid w:val="0005244E"/>
    <w:rsid w:val="000530E8"/>
    <w:rsid w:val="00053AB7"/>
    <w:rsid w:val="000543C1"/>
    <w:rsid w:val="00055CA1"/>
    <w:rsid w:val="00055E2A"/>
    <w:rsid w:val="00056717"/>
    <w:rsid w:val="00056A06"/>
    <w:rsid w:val="0005748C"/>
    <w:rsid w:val="0005758B"/>
    <w:rsid w:val="000609D2"/>
    <w:rsid w:val="00060B02"/>
    <w:rsid w:val="00061867"/>
    <w:rsid w:val="000643D7"/>
    <w:rsid w:val="00065B8F"/>
    <w:rsid w:val="000661DB"/>
    <w:rsid w:val="00066501"/>
    <w:rsid w:val="00066C92"/>
    <w:rsid w:val="0006786C"/>
    <w:rsid w:val="00072554"/>
    <w:rsid w:val="0007266B"/>
    <w:rsid w:val="00072717"/>
    <w:rsid w:val="00072E9F"/>
    <w:rsid w:val="00075A28"/>
    <w:rsid w:val="00075F0A"/>
    <w:rsid w:val="00076897"/>
    <w:rsid w:val="00076CF2"/>
    <w:rsid w:val="000775D1"/>
    <w:rsid w:val="00077F52"/>
    <w:rsid w:val="00080036"/>
    <w:rsid w:val="00080257"/>
    <w:rsid w:val="00080A0C"/>
    <w:rsid w:val="00081615"/>
    <w:rsid w:val="00081778"/>
    <w:rsid w:val="00081C7C"/>
    <w:rsid w:val="000822C2"/>
    <w:rsid w:val="00082EA9"/>
    <w:rsid w:val="00083C05"/>
    <w:rsid w:val="00084DAC"/>
    <w:rsid w:val="00085C9A"/>
    <w:rsid w:val="000867F2"/>
    <w:rsid w:val="00086A95"/>
    <w:rsid w:val="00087A53"/>
    <w:rsid w:val="000901E3"/>
    <w:rsid w:val="00090853"/>
    <w:rsid w:val="00090C52"/>
    <w:rsid w:val="00091C57"/>
    <w:rsid w:val="00091FCB"/>
    <w:rsid w:val="000927EA"/>
    <w:rsid w:val="000932B3"/>
    <w:rsid w:val="00093720"/>
    <w:rsid w:val="0009382B"/>
    <w:rsid w:val="00094128"/>
    <w:rsid w:val="00095448"/>
    <w:rsid w:val="000959DF"/>
    <w:rsid w:val="00096C77"/>
    <w:rsid w:val="00097E6D"/>
    <w:rsid w:val="000A0713"/>
    <w:rsid w:val="000A0AA4"/>
    <w:rsid w:val="000A0CED"/>
    <w:rsid w:val="000A0F28"/>
    <w:rsid w:val="000A218B"/>
    <w:rsid w:val="000A2326"/>
    <w:rsid w:val="000A3868"/>
    <w:rsid w:val="000A4B43"/>
    <w:rsid w:val="000A5609"/>
    <w:rsid w:val="000B0761"/>
    <w:rsid w:val="000B12AE"/>
    <w:rsid w:val="000B15AF"/>
    <w:rsid w:val="000B4812"/>
    <w:rsid w:val="000B5B0E"/>
    <w:rsid w:val="000B694C"/>
    <w:rsid w:val="000B69E2"/>
    <w:rsid w:val="000B6BFA"/>
    <w:rsid w:val="000B7DFE"/>
    <w:rsid w:val="000C0467"/>
    <w:rsid w:val="000C06F7"/>
    <w:rsid w:val="000C2A92"/>
    <w:rsid w:val="000C2C82"/>
    <w:rsid w:val="000C3190"/>
    <w:rsid w:val="000C3E8A"/>
    <w:rsid w:val="000C4828"/>
    <w:rsid w:val="000C6DA0"/>
    <w:rsid w:val="000D146C"/>
    <w:rsid w:val="000D23E8"/>
    <w:rsid w:val="000D2E2B"/>
    <w:rsid w:val="000D36A3"/>
    <w:rsid w:val="000D4F55"/>
    <w:rsid w:val="000D57C3"/>
    <w:rsid w:val="000D6715"/>
    <w:rsid w:val="000D6A92"/>
    <w:rsid w:val="000D7C27"/>
    <w:rsid w:val="000D7CF8"/>
    <w:rsid w:val="000E09D8"/>
    <w:rsid w:val="000E0C2C"/>
    <w:rsid w:val="000E13E9"/>
    <w:rsid w:val="000E2383"/>
    <w:rsid w:val="000E25A4"/>
    <w:rsid w:val="000E391C"/>
    <w:rsid w:val="000E3A68"/>
    <w:rsid w:val="000E4544"/>
    <w:rsid w:val="000E59A3"/>
    <w:rsid w:val="000E6500"/>
    <w:rsid w:val="000E6B6B"/>
    <w:rsid w:val="000F156D"/>
    <w:rsid w:val="000F19BF"/>
    <w:rsid w:val="000F2271"/>
    <w:rsid w:val="000F233D"/>
    <w:rsid w:val="000F2590"/>
    <w:rsid w:val="000F263F"/>
    <w:rsid w:val="000F28AB"/>
    <w:rsid w:val="000F33DE"/>
    <w:rsid w:val="000F3435"/>
    <w:rsid w:val="000F3553"/>
    <w:rsid w:val="000F480A"/>
    <w:rsid w:val="000F605D"/>
    <w:rsid w:val="000F6513"/>
    <w:rsid w:val="000F7962"/>
    <w:rsid w:val="000F7984"/>
    <w:rsid w:val="0010001E"/>
    <w:rsid w:val="0010004F"/>
    <w:rsid w:val="001003E2"/>
    <w:rsid w:val="0010135A"/>
    <w:rsid w:val="00101BE4"/>
    <w:rsid w:val="001054DD"/>
    <w:rsid w:val="00106B0C"/>
    <w:rsid w:val="001106DA"/>
    <w:rsid w:val="0011135E"/>
    <w:rsid w:val="00111D6A"/>
    <w:rsid w:val="00113E24"/>
    <w:rsid w:val="00115F9E"/>
    <w:rsid w:val="0011753B"/>
    <w:rsid w:val="001206D7"/>
    <w:rsid w:val="00120DCF"/>
    <w:rsid w:val="0012188A"/>
    <w:rsid w:val="001237D9"/>
    <w:rsid w:val="00125D69"/>
    <w:rsid w:val="00131206"/>
    <w:rsid w:val="00133194"/>
    <w:rsid w:val="00133332"/>
    <w:rsid w:val="00133343"/>
    <w:rsid w:val="0013337D"/>
    <w:rsid w:val="001339F6"/>
    <w:rsid w:val="00134620"/>
    <w:rsid w:val="00134B02"/>
    <w:rsid w:val="00134CC0"/>
    <w:rsid w:val="00136E1A"/>
    <w:rsid w:val="00136EA3"/>
    <w:rsid w:val="00140184"/>
    <w:rsid w:val="00140CEB"/>
    <w:rsid w:val="0014133D"/>
    <w:rsid w:val="0014225C"/>
    <w:rsid w:val="00145E50"/>
    <w:rsid w:val="001462BA"/>
    <w:rsid w:val="00146459"/>
    <w:rsid w:val="00146ED5"/>
    <w:rsid w:val="00147AD5"/>
    <w:rsid w:val="001503BA"/>
    <w:rsid w:val="001524AD"/>
    <w:rsid w:val="00152689"/>
    <w:rsid w:val="00152CCE"/>
    <w:rsid w:val="00153579"/>
    <w:rsid w:val="00153944"/>
    <w:rsid w:val="00153A1A"/>
    <w:rsid w:val="00153FBF"/>
    <w:rsid w:val="001544BE"/>
    <w:rsid w:val="00155F74"/>
    <w:rsid w:val="0015674A"/>
    <w:rsid w:val="0015694C"/>
    <w:rsid w:val="001575B5"/>
    <w:rsid w:val="00157E75"/>
    <w:rsid w:val="00160682"/>
    <w:rsid w:val="00160989"/>
    <w:rsid w:val="00160E90"/>
    <w:rsid w:val="00160F60"/>
    <w:rsid w:val="00161180"/>
    <w:rsid w:val="00163E76"/>
    <w:rsid w:val="00164C90"/>
    <w:rsid w:val="00165477"/>
    <w:rsid w:val="0016615F"/>
    <w:rsid w:val="001669BF"/>
    <w:rsid w:val="00170DEE"/>
    <w:rsid w:val="00172878"/>
    <w:rsid w:val="00173ADC"/>
    <w:rsid w:val="00173CF7"/>
    <w:rsid w:val="00174330"/>
    <w:rsid w:val="00174845"/>
    <w:rsid w:val="001754B0"/>
    <w:rsid w:val="00176569"/>
    <w:rsid w:val="0017717B"/>
    <w:rsid w:val="001775C6"/>
    <w:rsid w:val="001777ED"/>
    <w:rsid w:val="00177A28"/>
    <w:rsid w:val="00181240"/>
    <w:rsid w:val="0018132F"/>
    <w:rsid w:val="00182150"/>
    <w:rsid w:val="001827BF"/>
    <w:rsid w:val="00184C63"/>
    <w:rsid w:val="00185493"/>
    <w:rsid w:val="00185DB3"/>
    <w:rsid w:val="00186847"/>
    <w:rsid w:val="001868E3"/>
    <w:rsid w:val="00186D70"/>
    <w:rsid w:val="00186FBA"/>
    <w:rsid w:val="00190084"/>
    <w:rsid w:val="00190576"/>
    <w:rsid w:val="00191678"/>
    <w:rsid w:val="00191F28"/>
    <w:rsid w:val="001924FB"/>
    <w:rsid w:val="001925B9"/>
    <w:rsid w:val="00192A03"/>
    <w:rsid w:val="00192A8D"/>
    <w:rsid w:val="001933AF"/>
    <w:rsid w:val="00193F66"/>
    <w:rsid w:val="00194D4B"/>
    <w:rsid w:val="00195682"/>
    <w:rsid w:val="00197300"/>
    <w:rsid w:val="00197919"/>
    <w:rsid w:val="00197B6E"/>
    <w:rsid w:val="00197CED"/>
    <w:rsid w:val="001A1F3F"/>
    <w:rsid w:val="001A266B"/>
    <w:rsid w:val="001A2769"/>
    <w:rsid w:val="001A456B"/>
    <w:rsid w:val="001A49D8"/>
    <w:rsid w:val="001A5023"/>
    <w:rsid w:val="001A50E5"/>
    <w:rsid w:val="001A5246"/>
    <w:rsid w:val="001A53C2"/>
    <w:rsid w:val="001A5B5C"/>
    <w:rsid w:val="001B189B"/>
    <w:rsid w:val="001B228D"/>
    <w:rsid w:val="001B2F60"/>
    <w:rsid w:val="001B3658"/>
    <w:rsid w:val="001B4546"/>
    <w:rsid w:val="001B5296"/>
    <w:rsid w:val="001B5535"/>
    <w:rsid w:val="001B623F"/>
    <w:rsid w:val="001B6A08"/>
    <w:rsid w:val="001C0C29"/>
    <w:rsid w:val="001C0D9D"/>
    <w:rsid w:val="001C0FFF"/>
    <w:rsid w:val="001C145B"/>
    <w:rsid w:val="001C496E"/>
    <w:rsid w:val="001C60D0"/>
    <w:rsid w:val="001C6C3E"/>
    <w:rsid w:val="001D21C8"/>
    <w:rsid w:val="001D2BAA"/>
    <w:rsid w:val="001D3197"/>
    <w:rsid w:val="001D44B9"/>
    <w:rsid w:val="001D4963"/>
    <w:rsid w:val="001D4DC1"/>
    <w:rsid w:val="001D5210"/>
    <w:rsid w:val="001D7194"/>
    <w:rsid w:val="001E0891"/>
    <w:rsid w:val="001E12C5"/>
    <w:rsid w:val="001E25F9"/>
    <w:rsid w:val="001E39F6"/>
    <w:rsid w:val="001E54B6"/>
    <w:rsid w:val="001E5BD4"/>
    <w:rsid w:val="001E5E77"/>
    <w:rsid w:val="001E656A"/>
    <w:rsid w:val="001E65A2"/>
    <w:rsid w:val="001E6F67"/>
    <w:rsid w:val="001E73EA"/>
    <w:rsid w:val="001E77E6"/>
    <w:rsid w:val="001E7B8D"/>
    <w:rsid w:val="001F0349"/>
    <w:rsid w:val="001F1A40"/>
    <w:rsid w:val="001F20AF"/>
    <w:rsid w:val="001F21FB"/>
    <w:rsid w:val="001F2EBE"/>
    <w:rsid w:val="001F3C09"/>
    <w:rsid w:val="001F4648"/>
    <w:rsid w:val="001F4AC9"/>
    <w:rsid w:val="001F53F2"/>
    <w:rsid w:val="001F66CC"/>
    <w:rsid w:val="001F6958"/>
    <w:rsid w:val="001F7381"/>
    <w:rsid w:val="00200409"/>
    <w:rsid w:val="00200675"/>
    <w:rsid w:val="002008C3"/>
    <w:rsid w:val="002018DE"/>
    <w:rsid w:val="002044CE"/>
    <w:rsid w:val="00204DAF"/>
    <w:rsid w:val="00205AA4"/>
    <w:rsid w:val="00207AAD"/>
    <w:rsid w:val="00210024"/>
    <w:rsid w:val="002121F8"/>
    <w:rsid w:val="00213066"/>
    <w:rsid w:val="00213A84"/>
    <w:rsid w:val="0021504E"/>
    <w:rsid w:val="00217339"/>
    <w:rsid w:val="00217531"/>
    <w:rsid w:val="00217594"/>
    <w:rsid w:val="00217624"/>
    <w:rsid w:val="0021774E"/>
    <w:rsid w:val="002214D4"/>
    <w:rsid w:val="00224130"/>
    <w:rsid w:val="00224791"/>
    <w:rsid w:val="00224B01"/>
    <w:rsid w:val="00224D03"/>
    <w:rsid w:val="00225F31"/>
    <w:rsid w:val="00226793"/>
    <w:rsid w:val="00226A32"/>
    <w:rsid w:val="00226DBA"/>
    <w:rsid w:val="002272DC"/>
    <w:rsid w:val="00227D77"/>
    <w:rsid w:val="002304FF"/>
    <w:rsid w:val="0023090F"/>
    <w:rsid w:val="002315F6"/>
    <w:rsid w:val="00231E30"/>
    <w:rsid w:val="00232937"/>
    <w:rsid w:val="00232EAE"/>
    <w:rsid w:val="00233479"/>
    <w:rsid w:val="002339F7"/>
    <w:rsid w:val="00233AFC"/>
    <w:rsid w:val="002342B3"/>
    <w:rsid w:val="00236318"/>
    <w:rsid w:val="00236AA9"/>
    <w:rsid w:val="00237D3A"/>
    <w:rsid w:val="00241165"/>
    <w:rsid w:val="00242D9B"/>
    <w:rsid w:val="002434A2"/>
    <w:rsid w:val="0024474E"/>
    <w:rsid w:val="0024575C"/>
    <w:rsid w:val="00245E8C"/>
    <w:rsid w:val="002463AC"/>
    <w:rsid w:val="002464C2"/>
    <w:rsid w:val="00247405"/>
    <w:rsid w:val="0025195E"/>
    <w:rsid w:val="00251E03"/>
    <w:rsid w:val="002530FD"/>
    <w:rsid w:val="002532CD"/>
    <w:rsid w:val="002537BF"/>
    <w:rsid w:val="00253D6A"/>
    <w:rsid w:val="00254AB7"/>
    <w:rsid w:val="002555C6"/>
    <w:rsid w:val="00255668"/>
    <w:rsid w:val="00256457"/>
    <w:rsid w:val="00260CAB"/>
    <w:rsid w:val="00262BF3"/>
    <w:rsid w:val="0026472D"/>
    <w:rsid w:val="0026482F"/>
    <w:rsid w:val="00265C69"/>
    <w:rsid w:val="00265CF6"/>
    <w:rsid w:val="002665FB"/>
    <w:rsid w:val="00266F6F"/>
    <w:rsid w:val="002670B7"/>
    <w:rsid w:val="00270315"/>
    <w:rsid w:val="002705DC"/>
    <w:rsid w:val="00270694"/>
    <w:rsid w:val="00273154"/>
    <w:rsid w:val="002731B2"/>
    <w:rsid w:val="00273EB6"/>
    <w:rsid w:val="00274989"/>
    <w:rsid w:val="002761EA"/>
    <w:rsid w:val="00277A33"/>
    <w:rsid w:val="00280E3B"/>
    <w:rsid w:val="00285B85"/>
    <w:rsid w:val="002867BA"/>
    <w:rsid w:val="002875EB"/>
    <w:rsid w:val="0028791E"/>
    <w:rsid w:val="002915D0"/>
    <w:rsid w:val="0029250C"/>
    <w:rsid w:val="00293A14"/>
    <w:rsid w:val="00293C68"/>
    <w:rsid w:val="00293E29"/>
    <w:rsid w:val="00293EB1"/>
    <w:rsid w:val="00293FDF"/>
    <w:rsid w:val="00293FF1"/>
    <w:rsid w:val="00294BC6"/>
    <w:rsid w:val="002954F4"/>
    <w:rsid w:val="002968C3"/>
    <w:rsid w:val="002969CD"/>
    <w:rsid w:val="00297186"/>
    <w:rsid w:val="00297243"/>
    <w:rsid w:val="00297F7E"/>
    <w:rsid w:val="002A0A5A"/>
    <w:rsid w:val="002A0C16"/>
    <w:rsid w:val="002A100A"/>
    <w:rsid w:val="002A48D1"/>
    <w:rsid w:val="002A4AA5"/>
    <w:rsid w:val="002A4F7C"/>
    <w:rsid w:val="002A504F"/>
    <w:rsid w:val="002A5618"/>
    <w:rsid w:val="002A66F7"/>
    <w:rsid w:val="002A7ECE"/>
    <w:rsid w:val="002B097C"/>
    <w:rsid w:val="002B1D59"/>
    <w:rsid w:val="002B25B4"/>
    <w:rsid w:val="002B3031"/>
    <w:rsid w:val="002B4519"/>
    <w:rsid w:val="002B490B"/>
    <w:rsid w:val="002B56C9"/>
    <w:rsid w:val="002C0A30"/>
    <w:rsid w:val="002C0FA3"/>
    <w:rsid w:val="002C1CFF"/>
    <w:rsid w:val="002C28AB"/>
    <w:rsid w:val="002C28AD"/>
    <w:rsid w:val="002C2D73"/>
    <w:rsid w:val="002C607D"/>
    <w:rsid w:val="002C7C30"/>
    <w:rsid w:val="002D0D2C"/>
    <w:rsid w:val="002D1831"/>
    <w:rsid w:val="002D1970"/>
    <w:rsid w:val="002D21F2"/>
    <w:rsid w:val="002D3608"/>
    <w:rsid w:val="002D519F"/>
    <w:rsid w:val="002D5A92"/>
    <w:rsid w:val="002D5D78"/>
    <w:rsid w:val="002D790C"/>
    <w:rsid w:val="002D7AAA"/>
    <w:rsid w:val="002E005F"/>
    <w:rsid w:val="002E0490"/>
    <w:rsid w:val="002E20CA"/>
    <w:rsid w:val="002E2E97"/>
    <w:rsid w:val="002E2F05"/>
    <w:rsid w:val="002E3A10"/>
    <w:rsid w:val="002E3D02"/>
    <w:rsid w:val="002E3FE8"/>
    <w:rsid w:val="002E4BF5"/>
    <w:rsid w:val="002E6960"/>
    <w:rsid w:val="002E6DD9"/>
    <w:rsid w:val="002E70E8"/>
    <w:rsid w:val="002F0072"/>
    <w:rsid w:val="002F007E"/>
    <w:rsid w:val="002F43DA"/>
    <w:rsid w:val="002F450F"/>
    <w:rsid w:val="002F47E2"/>
    <w:rsid w:val="002F4F31"/>
    <w:rsid w:val="002F52A7"/>
    <w:rsid w:val="002F7DF1"/>
    <w:rsid w:val="00300036"/>
    <w:rsid w:val="003005BF"/>
    <w:rsid w:val="00301574"/>
    <w:rsid w:val="00303AC1"/>
    <w:rsid w:val="00304091"/>
    <w:rsid w:val="00304149"/>
    <w:rsid w:val="0030519D"/>
    <w:rsid w:val="0030553C"/>
    <w:rsid w:val="00305C13"/>
    <w:rsid w:val="00306022"/>
    <w:rsid w:val="00307516"/>
    <w:rsid w:val="00307740"/>
    <w:rsid w:val="00307B22"/>
    <w:rsid w:val="00307FC6"/>
    <w:rsid w:val="00310AC6"/>
    <w:rsid w:val="00312C50"/>
    <w:rsid w:val="00313474"/>
    <w:rsid w:val="003134F1"/>
    <w:rsid w:val="00313B68"/>
    <w:rsid w:val="00313D8C"/>
    <w:rsid w:val="00314739"/>
    <w:rsid w:val="00314EB2"/>
    <w:rsid w:val="00315C31"/>
    <w:rsid w:val="003175FE"/>
    <w:rsid w:val="00317BB0"/>
    <w:rsid w:val="00320213"/>
    <w:rsid w:val="003203D3"/>
    <w:rsid w:val="003217F6"/>
    <w:rsid w:val="00322025"/>
    <w:rsid w:val="00322521"/>
    <w:rsid w:val="00322B62"/>
    <w:rsid w:val="00324668"/>
    <w:rsid w:val="0032572F"/>
    <w:rsid w:val="00327A90"/>
    <w:rsid w:val="00327CD8"/>
    <w:rsid w:val="003321DA"/>
    <w:rsid w:val="003322EA"/>
    <w:rsid w:val="00333DFE"/>
    <w:rsid w:val="00333F22"/>
    <w:rsid w:val="00334568"/>
    <w:rsid w:val="00334608"/>
    <w:rsid w:val="00335480"/>
    <w:rsid w:val="00335A27"/>
    <w:rsid w:val="003363E4"/>
    <w:rsid w:val="00341164"/>
    <w:rsid w:val="00341B3A"/>
    <w:rsid w:val="00343860"/>
    <w:rsid w:val="00344130"/>
    <w:rsid w:val="00344138"/>
    <w:rsid w:val="00344375"/>
    <w:rsid w:val="003448E1"/>
    <w:rsid w:val="003454E0"/>
    <w:rsid w:val="003457EF"/>
    <w:rsid w:val="00345A7C"/>
    <w:rsid w:val="00345B3C"/>
    <w:rsid w:val="00346BCD"/>
    <w:rsid w:val="00346FBB"/>
    <w:rsid w:val="00347453"/>
    <w:rsid w:val="003515AB"/>
    <w:rsid w:val="00351D77"/>
    <w:rsid w:val="00353143"/>
    <w:rsid w:val="00354B8A"/>
    <w:rsid w:val="003552FA"/>
    <w:rsid w:val="00355950"/>
    <w:rsid w:val="003577CB"/>
    <w:rsid w:val="00357906"/>
    <w:rsid w:val="003602C1"/>
    <w:rsid w:val="003612B1"/>
    <w:rsid w:val="00362052"/>
    <w:rsid w:val="00363AAF"/>
    <w:rsid w:val="00363B27"/>
    <w:rsid w:val="00364582"/>
    <w:rsid w:val="0036467F"/>
    <w:rsid w:val="003649F2"/>
    <w:rsid w:val="00364A1E"/>
    <w:rsid w:val="0036563E"/>
    <w:rsid w:val="0036564B"/>
    <w:rsid w:val="0036660F"/>
    <w:rsid w:val="00370A71"/>
    <w:rsid w:val="00370B6F"/>
    <w:rsid w:val="0037118C"/>
    <w:rsid w:val="00371396"/>
    <w:rsid w:val="00371769"/>
    <w:rsid w:val="00372DDC"/>
    <w:rsid w:val="00373A19"/>
    <w:rsid w:val="003749A6"/>
    <w:rsid w:val="003749D8"/>
    <w:rsid w:val="00375788"/>
    <w:rsid w:val="0037654F"/>
    <w:rsid w:val="0037692B"/>
    <w:rsid w:val="00377A8B"/>
    <w:rsid w:val="00377E51"/>
    <w:rsid w:val="0038061F"/>
    <w:rsid w:val="00380BB3"/>
    <w:rsid w:val="00381112"/>
    <w:rsid w:val="003824DF"/>
    <w:rsid w:val="003844E4"/>
    <w:rsid w:val="00384A5D"/>
    <w:rsid w:val="00384B3A"/>
    <w:rsid w:val="00385D0F"/>
    <w:rsid w:val="00386231"/>
    <w:rsid w:val="00386341"/>
    <w:rsid w:val="0039108B"/>
    <w:rsid w:val="003913EE"/>
    <w:rsid w:val="0039172F"/>
    <w:rsid w:val="00391C15"/>
    <w:rsid w:val="00391DF7"/>
    <w:rsid w:val="0039221E"/>
    <w:rsid w:val="00393CB9"/>
    <w:rsid w:val="00394071"/>
    <w:rsid w:val="003948AA"/>
    <w:rsid w:val="003949DB"/>
    <w:rsid w:val="00395EBF"/>
    <w:rsid w:val="003961B7"/>
    <w:rsid w:val="00397AEF"/>
    <w:rsid w:val="003A00E1"/>
    <w:rsid w:val="003A064B"/>
    <w:rsid w:val="003A07FC"/>
    <w:rsid w:val="003A09A1"/>
    <w:rsid w:val="003A0AF3"/>
    <w:rsid w:val="003A169B"/>
    <w:rsid w:val="003A3BC9"/>
    <w:rsid w:val="003A45A0"/>
    <w:rsid w:val="003A4B78"/>
    <w:rsid w:val="003A5405"/>
    <w:rsid w:val="003A594B"/>
    <w:rsid w:val="003A6790"/>
    <w:rsid w:val="003A69BC"/>
    <w:rsid w:val="003A6A79"/>
    <w:rsid w:val="003B005E"/>
    <w:rsid w:val="003B08EC"/>
    <w:rsid w:val="003B0B2A"/>
    <w:rsid w:val="003B24A6"/>
    <w:rsid w:val="003B2798"/>
    <w:rsid w:val="003B2F42"/>
    <w:rsid w:val="003B3369"/>
    <w:rsid w:val="003B4325"/>
    <w:rsid w:val="003B634B"/>
    <w:rsid w:val="003B6975"/>
    <w:rsid w:val="003B7DA3"/>
    <w:rsid w:val="003C26ED"/>
    <w:rsid w:val="003C42CA"/>
    <w:rsid w:val="003C4733"/>
    <w:rsid w:val="003C568B"/>
    <w:rsid w:val="003C5786"/>
    <w:rsid w:val="003C6B1F"/>
    <w:rsid w:val="003C6F99"/>
    <w:rsid w:val="003D0314"/>
    <w:rsid w:val="003D180D"/>
    <w:rsid w:val="003D214F"/>
    <w:rsid w:val="003D26A8"/>
    <w:rsid w:val="003D2F65"/>
    <w:rsid w:val="003D3C88"/>
    <w:rsid w:val="003D4C20"/>
    <w:rsid w:val="003D50B6"/>
    <w:rsid w:val="003D5319"/>
    <w:rsid w:val="003D53D1"/>
    <w:rsid w:val="003D6BAA"/>
    <w:rsid w:val="003D7704"/>
    <w:rsid w:val="003E2160"/>
    <w:rsid w:val="003E2415"/>
    <w:rsid w:val="003E5695"/>
    <w:rsid w:val="003E5AB0"/>
    <w:rsid w:val="003E63CE"/>
    <w:rsid w:val="003E6731"/>
    <w:rsid w:val="003E71DB"/>
    <w:rsid w:val="003E7947"/>
    <w:rsid w:val="003E7ED7"/>
    <w:rsid w:val="003F0BD5"/>
    <w:rsid w:val="003F0CB4"/>
    <w:rsid w:val="003F0E79"/>
    <w:rsid w:val="003F1C53"/>
    <w:rsid w:val="003F1D43"/>
    <w:rsid w:val="003F24C4"/>
    <w:rsid w:val="003F3335"/>
    <w:rsid w:val="003F3B7B"/>
    <w:rsid w:val="003F40AA"/>
    <w:rsid w:val="003F425C"/>
    <w:rsid w:val="003F45A3"/>
    <w:rsid w:val="003F6043"/>
    <w:rsid w:val="003F6AC9"/>
    <w:rsid w:val="003F6D18"/>
    <w:rsid w:val="003F737E"/>
    <w:rsid w:val="003F7D99"/>
    <w:rsid w:val="00401396"/>
    <w:rsid w:val="004016C0"/>
    <w:rsid w:val="0040256A"/>
    <w:rsid w:val="00403094"/>
    <w:rsid w:val="00403304"/>
    <w:rsid w:val="004038BF"/>
    <w:rsid w:val="00404E8D"/>
    <w:rsid w:val="00405634"/>
    <w:rsid w:val="00406184"/>
    <w:rsid w:val="004075D7"/>
    <w:rsid w:val="00410DDE"/>
    <w:rsid w:val="00412E59"/>
    <w:rsid w:val="0041615C"/>
    <w:rsid w:val="0041738E"/>
    <w:rsid w:val="00417D64"/>
    <w:rsid w:val="00420934"/>
    <w:rsid w:val="00420C03"/>
    <w:rsid w:val="00421332"/>
    <w:rsid w:val="004214D2"/>
    <w:rsid w:val="00422130"/>
    <w:rsid w:val="0042281C"/>
    <w:rsid w:val="00424C6A"/>
    <w:rsid w:val="00425A65"/>
    <w:rsid w:val="004263FD"/>
    <w:rsid w:val="004264D6"/>
    <w:rsid w:val="00426924"/>
    <w:rsid w:val="0042695B"/>
    <w:rsid w:val="00426B91"/>
    <w:rsid w:val="004271CB"/>
    <w:rsid w:val="0042723A"/>
    <w:rsid w:val="00427AFF"/>
    <w:rsid w:val="00427F11"/>
    <w:rsid w:val="00430D2C"/>
    <w:rsid w:val="00430DD5"/>
    <w:rsid w:val="004311FC"/>
    <w:rsid w:val="00431339"/>
    <w:rsid w:val="004317C4"/>
    <w:rsid w:val="00431974"/>
    <w:rsid w:val="00432558"/>
    <w:rsid w:val="004329F0"/>
    <w:rsid w:val="0043310C"/>
    <w:rsid w:val="00433A26"/>
    <w:rsid w:val="00434C3A"/>
    <w:rsid w:val="00440D00"/>
    <w:rsid w:val="00441BCD"/>
    <w:rsid w:val="00441F4D"/>
    <w:rsid w:val="00442116"/>
    <w:rsid w:val="00442A44"/>
    <w:rsid w:val="0044373B"/>
    <w:rsid w:val="00445274"/>
    <w:rsid w:val="0044538E"/>
    <w:rsid w:val="00445B4B"/>
    <w:rsid w:val="004476BE"/>
    <w:rsid w:val="00451E4B"/>
    <w:rsid w:val="00453056"/>
    <w:rsid w:val="004537E6"/>
    <w:rsid w:val="00453B7C"/>
    <w:rsid w:val="00454B42"/>
    <w:rsid w:val="00454FE9"/>
    <w:rsid w:val="004571E6"/>
    <w:rsid w:val="0046053B"/>
    <w:rsid w:val="00460B7A"/>
    <w:rsid w:val="0046243D"/>
    <w:rsid w:val="00462656"/>
    <w:rsid w:val="00462C0C"/>
    <w:rsid w:val="00462EA8"/>
    <w:rsid w:val="00463AEF"/>
    <w:rsid w:val="00463E06"/>
    <w:rsid w:val="00464B27"/>
    <w:rsid w:val="00465485"/>
    <w:rsid w:val="00465C12"/>
    <w:rsid w:val="00466407"/>
    <w:rsid w:val="0046649B"/>
    <w:rsid w:val="00466C33"/>
    <w:rsid w:val="00470D84"/>
    <w:rsid w:val="00470EEB"/>
    <w:rsid w:val="004710AA"/>
    <w:rsid w:val="00471734"/>
    <w:rsid w:val="00471C95"/>
    <w:rsid w:val="00472C7A"/>
    <w:rsid w:val="00472DD5"/>
    <w:rsid w:val="004734C3"/>
    <w:rsid w:val="00473CFB"/>
    <w:rsid w:val="00475650"/>
    <w:rsid w:val="0047611F"/>
    <w:rsid w:val="00477A4E"/>
    <w:rsid w:val="004800C1"/>
    <w:rsid w:val="00481FBE"/>
    <w:rsid w:val="004854E5"/>
    <w:rsid w:val="004856DD"/>
    <w:rsid w:val="00485CCC"/>
    <w:rsid w:val="00485EEC"/>
    <w:rsid w:val="00487EF7"/>
    <w:rsid w:val="00487F1E"/>
    <w:rsid w:val="0049007C"/>
    <w:rsid w:val="00490FAA"/>
    <w:rsid w:val="00492620"/>
    <w:rsid w:val="00492BA8"/>
    <w:rsid w:val="004930A0"/>
    <w:rsid w:val="0049320D"/>
    <w:rsid w:val="0049777E"/>
    <w:rsid w:val="004A0443"/>
    <w:rsid w:val="004A079A"/>
    <w:rsid w:val="004A1979"/>
    <w:rsid w:val="004A2270"/>
    <w:rsid w:val="004A46BA"/>
    <w:rsid w:val="004A5BF4"/>
    <w:rsid w:val="004A6006"/>
    <w:rsid w:val="004A636D"/>
    <w:rsid w:val="004A6BE0"/>
    <w:rsid w:val="004B0493"/>
    <w:rsid w:val="004B0784"/>
    <w:rsid w:val="004B19BA"/>
    <w:rsid w:val="004B245D"/>
    <w:rsid w:val="004B433A"/>
    <w:rsid w:val="004B573C"/>
    <w:rsid w:val="004B596C"/>
    <w:rsid w:val="004B5FF9"/>
    <w:rsid w:val="004B6D86"/>
    <w:rsid w:val="004B7EDF"/>
    <w:rsid w:val="004C09C8"/>
    <w:rsid w:val="004C0C53"/>
    <w:rsid w:val="004C1384"/>
    <w:rsid w:val="004C1E02"/>
    <w:rsid w:val="004C3B1F"/>
    <w:rsid w:val="004C514E"/>
    <w:rsid w:val="004C53F3"/>
    <w:rsid w:val="004D0919"/>
    <w:rsid w:val="004D10FC"/>
    <w:rsid w:val="004D1410"/>
    <w:rsid w:val="004D1432"/>
    <w:rsid w:val="004D1922"/>
    <w:rsid w:val="004D2359"/>
    <w:rsid w:val="004D2BE2"/>
    <w:rsid w:val="004D3632"/>
    <w:rsid w:val="004D3B10"/>
    <w:rsid w:val="004D4DD0"/>
    <w:rsid w:val="004D55DD"/>
    <w:rsid w:val="004D5696"/>
    <w:rsid w:val="004D6E9D"/>
    <w:rsid w:val="004D6FF7"/>
    <w:rsid w:val="004E1BC1"/>
    <w:rsid w:val="004E405F"/>
    <w:rsid w:val="004E40DC"/>
    <w:rsid w:val="004E482B"/>
    <w:rsid w:val="004E5463"/>
    <w:rsid w:val="004E5FB7"/>
    <w:rsid w:val="004E68AD"/>
    <w:rsid w:val="004E71BC"/>
    <w:rsid w:val="004E7769"/>
    <w:rsid w:val="004E780D"/>
    <w:rsid w:val="004F0DDD"/>
    <w:rsid w:val="004F18D1"/>
    <w:rsid w:val="004F37BE"/>
    <w:rsid w:val="004F5131"/>
    <w:rsid w:val="004F6C03"/>
    <w:rsid w:val="004F6C4C"/>
    <w:rsid w:val="004F7818"/>
    <w:rsid w:val="005013F4"/>
    <w:rsid w:val="00501F04"/>
    <w:rsid w:val="0050362B"/>
    <w:rsid w:val="00503710"/>
    <w:rsid w:val="0050399C"/>
    <w:rsid w:val="00503F8D"/>
    <w:rsid w:val="00504095"/>
    <w:rsid w:val="005066AE"/>
    <w:rsid w:val="00506995"/>
    <w:rsid w:val="0050705C"/>
    <w:rsid w:val="00510B3A"/>
    <w:rsid w:val="0051104C"/>
    <w:rsid w:val="00512951"/>
    <w:rsid w:val="00513627"/>
    <w:rsid w:val="005141F3"/>
    <w:rsid w:val="00515624"/>
    <w:rsid w:val="00516B6A"/>
    <w:rsid w:val="00516C90"/>
    <w:rsid w:val="00516F7F"/>
    <w:rsid w:val="00520F5F"/>
    <w:rsid w:val="00521751"/>
    <w:rsid w:val="00521B6A"/>
    <w:rsid w:val="0052266D"/>
    <w:rsid w:val="00522D5B"/>
    <w:rsid w:val="0052491B"/>
    <w:rsid w:val="00525052"/>
    <w:rsid w:val="00527357"/>
    <w:rsid w:val="00527784"/>
    <w:rsid w:val="00527C24"/>
    <w:rsid w:val="005300E4"/>
    <w:rsid w:val="00531035"/>
    <w:rsid w:val="005319F9"/>
    <w:rsid w:val="0053226C"/>
    <w:rsid w:val="0053437F"/>
    <w:rsid w:val="00535071"/>
    <w:rsid w:val="00535E34"/>
    <w:rsid w:val="0053607E"/>
    <w:rsid w:val="00536523"/>
    <w:rsid w:val="0053734B"/>
    <w:rsid w:val="005373B1"/>
    <w:rsid w:val="0054063B"/>
    <w:rsid w:val="00540A3B"/>
    <w:rsid w:val="005417AD"/>
    <w:rsid w:val="00541899"/>
    <w:rsid w:val="00541EB2"/>
    <w:rsid w:val="00542E9B"/>
    <w:rsid w:val="00543364"/>
    <w:rsid w:val="00543EAC"/>
    <w:rsid w:val="00544849"/>
    <w:rsid w:val="00544A1D"/>
    <w:rsid w:val="00544AAC"/>
    <w:rsid w:val="00544C15"/>
    <w:rsid w:val="00544F3C"/>
    <w:rsid w:val="00545C48"/>
    <w:rsid w:val="005469D9"/>
    <w:rsid w:val="00547AD6"/>
    <w:rsid w:val="00547C22"/>
    <w:rsid w:val="00550AB0"/>
    <w:rsid w:val="005515F5"/>
    <w:rsid w:val="00551D3E"/>
    <w:rsid w:val="0055226D"/>
    <w:rsid w:val="0055295F"/>
    <w:rsid w:val="0055501E"/>
    <w:rsid w:val="00555C52"/>
    <w:rsid w:val="00555F31"/>
    <w:rsid w:val="00557907"/>
    <w:rsid w:val="00560395"/>
    <w:rsid w:val="005607FD"/>
    <w:rsid w:val="0056085D"/>
    <w:rsid w:val="0056123B"/>
    <w:rsid w:val="005613E5"/>
    <w:rsid w:val="0056162F"/>
    <w:rsid w:val="0056197A"/>
    <w:rsid w:val="00562045"/>
    <w:rsid w:val="005626A3"/>
    <w:rsid w:val="005629B5"/>
    <w:rsid w:val="00564478"/>
    <w:rsid w:val="00566DAB"/>
    <w:rsid w:val="0056772B"/>
    <w:rsid w:val="00567D4D"/>
    <w:rsid w:val="0057092C"/>
    <w:rsid w:val="00570EF4"/>
    <w:rsid w:val="0057119D"/>
    <w:rsid w:val="0057304B"/>
    <w:rsid w:val="005732CD"/>
    <w:rsid w:val="005735AD"/>
    <w:rsid w:val="005737C3"/>
    <w:rsid w:val="00573915"/>
    <w:rsid w:val="00574521"/>
    <w:rsid w:val="005746B4"/>
    <w:rsid w:val="00574B47"/>
    <w:rsid w:val="0057529B"/>
    <w:rsid w:val="00576270"/>
    <w:rsid w:val="00576BD1"/>
    <w:rsid w:val="00577805"/>
    <w:rsid w:val="00580019"/>
    <w:rsid w:val="00583928"/>
    <w:rsid w:val="00583A70"/>
    <w:rsid w:val="00584860"/>
    <w:rsid w:val="00584BAA"/>
    <w:rsid w:val="00585D13"/>
    <w:rsid w:val="00590325"/>
    <w:rsid w:val="0059039F"/>
    <w:rsid w:val="005906FF"/>
    <w:rsid w:val="00590DC9"/>
    <w:rsid w:val="00592798"/>
    <w:rsid w:val="00592E97"/>
    <w:rsid w:val="00592FE8"/>
    <w:rsid w:val="00593246"/>
    <w:rsid w:val="00594427"/>
    <w:rsid w:val="0059468D"/>
    <w:rsid w:val="0059563D"/>
    <w:rsid w:val="0059586B"/>
    <w:rsid w:val="0059665D"/>
    <w:rsid w:val="00596F06"/>
    <w:rsid w:val="00597693"/>
    <w:rsid w:val="005A00E8"/>
    <w:rsid w:val="005A1045"/>
    <w:rsid w:val="005A2130"/>
    <w:rsid w:val="005A283D"/>
    <w:rsid w:val="005A2C97"/>
    <w:rsid w:val="005A31DD"/>
    <w:rsid w:val="005A353C"/>
    <w:rsid w:val="005A36AD"/>
    <w:rsid w:val="005A41DB"/>
    <w:rsid w:val="005A56C7"/>
    <w:rsid w:val="005A6D17"/>
    <w:rsid w:val="005A7316"/>
    <w:rsid w:val="005A7B80"/>
    <w:rsid w:val="005B010E"/>
    <w:rsid w:val="005B320C"/>
    <w:rsid w:val="005B388D"/>
    <w:rsid w:val="005B47F6"/>
    <w:rsid w:val="005B4BBF"/>
    <w:rsid w:val="005B538E"/>
    <w:rsid w:val="005B5968"/>
    <w:rsid w:val="005B6FBD"/>
    <w:rsid w:val="005B7516"/>
    <w:rsid w:val="005B781B"/>
    <w:rsid w:val="005C026C"/>
    <w:rsid w:val="005C0355"/>
    <w:rsid w:val="005C094B"/>
    <w:rsid w:val="005C1CFF"/>
    <w:rsid w:val="005C466D"/>
    <w:rsid w:val="005C4CDC"/>
    <w:rsid w:val="005C6D96"/>
    <w:rsid w:val="005D05E9"/>
    <w:rsid w:val="005D1327"/>
    <w:rsid w:val="005D1812"/>
    <w:rsid w:val="005D1E1C"/>
    <w:rsid w:val="005D1EFF"/>
    <w:rsid w:val="005D4323"/>
    <w:rsid w:val="005D4480"/>
    <w:rsid w:val="005D5D17"/>
    <w:rsid w:val="005D6434"/>
    <w:rsid w:val="005D70CF"/>
    <w:rsid w:val="005E0129"/>
    <w:rsid w:val="005E0B57"/>
    <w:rsid w:val="005E0FA7"/>
    <w:rsid w:val="005E2188"/>
    <w:rsid w:val="005E21ED"/>
    <w:rsid w:val="005E3217"/>
    <w:rsid w:val="005E38EB"/>
    <w:rsid w:val="005E43E2"/>
    <w:rsid w:val="005E5BE9"/>
    <w:rsid w:val="005E5C11"/>
    <w:rsid w:val="005E5CFA"/>
    <w:rsid w:val="005E628D"/>
    <w:rsid w:val="005E67BA"/>
    <w:rsid w:val="005E7595"/>
    <w:rsid w:val="005F1506"/>
    <w:rsid w:val="005F1BAE"/>
    <w:rsid w:val="005F31FA"/>
    <w:rsid w:val="005F32F8"/>
    <w:rsid w:val="005F3791"/>
    <w:rsid w:val="005F5CD5"/>
    <w:rsid w:val="005F6A02"/>
    <w:rsid w:val="005F74C4"/>
    <w:rsid w:val="005F756F"/>
    <w:rsid w:val="005F7573"/>
    <w:rsid w:val="006003EA"/>
    <w:rsid w:val="006007E0"/>
    <w:rsid w:val="006010F7"/>
    <w:rsid w:val="00602286"/>
    <w:rsid w:val="00602E02"/>
    <w:rsid w:val="00603D88"/>
    <w:rsid w:val="006040F4"/>
    <w:rsid w:val="00604A09"/>
    <w:rsid w:val="00605295"/>
    <w:rsid w:val="0060566A"/>
    <w:rsid w:val="0060596A"/>
    <w:rsid w:val="006062F1"/>
    <w:rsid w:val="006063F1"/>
    <w:rsid w:val="00610F36"/>
    <w:rsid w:val="0061107D"/>
    <w:rsid w:val="0061118E"/>
    <w:rsid w:val="00611C9B"/>
    <w:rsid w:val="006133E7"/>
    <w:rsid w:val="0061351B"/>
    <w:rsid w:val="00616562"/>
    <w:rsid w:val="00616592"/>
    <w:rsid w:val="00616AE0"/>
    <w:rsid w:val="006174B6"/>
    <w:rsid w:val="006214F2"/>
    <w:rsid w:val="006217C6"/>
    <w:rsid w:val="00623CCE"/>
    <w:rsid w:val="00624A83"/>
    <w:rsid w:val="00625C7F"/>
    <w:rsid w:val="00626241"/>
    <w:rsid w:val="006263C4"/>
    <w:rsid w:val="0062658B"/>
    <w:rsid w:val="00626CA7"/>
    <w:rsid w:val="00627596"/>
    <w:rsid w:val="0063141A"/>
    <w:rsid w:val="00631655"/>
    <w:rsid w:val="00631EE4"/>
    <w:rsid w:val="006323A4"/>
    <w:rsid w:val="00633201"/>
    <w:rsid w:val="00633760"/>
    <w:rsid w:val="0063461B"/>
    <w:rsid w:val="006350FE"/>
    <w:rsid w:val="00635922"/>
    <w:rsid w:val="00635B4B"/>
    <w:rsid w:val="00636026"/>
    <w:rsid w:val="00636708"/>
    <w:rsid w:val="00637EBC"/>
    <w:rsid w:val="006401C0"/>
    <w:rsid w:val="00640A3D"/>
    <w:rsid w:val="00641BD4"/>
    <w:rsid w:val="006426FC"/>
    <w:rsid w:val="00642C41"/>
    <w:rsid w:val="006430C8"/>
    <w:rsid w:val="00643D9E"/>
    <w:rsid w:val="006449D5"/>
    <w:rsid w:val="006464B2"/>
    <w:rsid w:val="0064668B"/>
    <w:rsid w:val="0064694B"/>
    <w:rsid w:val="00647A30"/>
    <w:rsid w:val="00651117"/>
    <w:rsid w:val="00651DAA"/>
    <w:rsid w:val="0065484C"/>
    <w:rsid w:val="006554DF"/>
    <w:rsid w:val="00656371"/>
    <w:rsid w:val="00656A63"/>
    <w:rsid w:val="0065763B"/>
    <w:rsid w:val="00657E48"/>
    <w:rsid w:val="00660EDB"/>
    <w:rsid w:val="0066164D"/>
    <w:rsid w:val="00661A11"/>
    <w:rsid w:val="006637D0"/>
    <w:rsid w:val="00664D68"/>
    <w:rsid w:val="00664E5C"/>
    <w:rsid w:val="00665A2F"/>
    <w:rsid w:val="006663F3"/>
    <w:rsid w:val="00666E58"/>
    <w:rsid w:val="0066735B"/>
    <w:rsid w:val="00667BFA"/>
    <w:rsid w:val="00667EF6"/>
    <w:rsid w:val="00670BA6"/>
    <w:rsid w:val="006711AD"/>
    <w:rsid w:val="00671334"/>
    <w:rsid w:val="0067167B"/>
    <w:rsid w:val="00671A4B"/>
    <w:rsid w:val="006726C2"/>
    <w:rsid w:val="0067284F"/>
    <w:rsid w:val="00672F5A"/>
    <w:rsid w:val="00673CE3"/>
    <w:rsid w:val="00673D15"/>
    <w:rsid w:val="00675CF0"/>
    <w:rsid w:val="006763D7"/>
    <w:rsid w:val="006768ED"/>
    <w:rsid w:val="0067704F"/>
    <w:rsid w:val="00677837"/>
    <w:rsid w:val="00677D94"/>
    <w:rsid w:val="006804AB"/>
    <w:rsid w:val="00681CE6"/>
    <w:rsid w:val="00681DD1"/>
    <w:rsid w:val="006827B6"/>
    <w:rsid w:val="00683B6A"/>
    <w:rsid w:val="00683ED6"/>
    <w:rsid w:val="00685D0B"/>
    <w:rsid w:val="00685E16"/>
    <w:rsid w:val="00686DAE"/>
    <w:rsid w:val="006876C4"/>
    <w:rsid w:val="006901B2"/>
    <w:rsid w:val="0069163F"/>
    <w:rsid w:val="00691B2E"/>
    <w:rsid w:val="00692B5F"/>
    <w:rsid w:val="00692D99"/>
    <w:rsid w:val="00694983"/>
    <w:rsid w:val="00695C22"/>
    <w:rsid w:val="006977ED"/>
    <w:rsid w:val="006A1672"/>
    <w:rsid w:val="006A2973"/>
    <w:rsid w:val="006A2CB9"/>
    <w:rsid w:val="006A4085"/>
    <w:rsid w:val="006A40C3"/>
    <w:rsid w:val="006A4BA2"/>
    <w:rsid w:val="006A52CE"/>
    <w:rsid w:val="006A6074"/>
    <w:rsid w:val="006A6665"/>
    <w:rsid w:val="006A68FE"/>
    <w:rsid w:val="006B0344"/>
    <w:rsid w:val="006B0D25"/>
    <w:rsid w:val="006B31EE"/>
    <w:rsid w:val="006B35B9"/>
    <w:rsid w:val="006B3919"/>
    <w:rsid w:val="006B3BEA"/>
    <w:rsid w:val="006B5101"/>
    <w:rsid w:val="006B5848"/>
    <w:rsid w:val="006B5F34"/>
    <w:rsid w:val="006B5FC8"/>
    <w:rsid w:val="006B67C7"/>
    <w:rsid w:val="006C1746"/>
    <w:rsid w:val="006C2F9D"/>
    <w:rsid w:val="006C301B"/>
    <w:rsid w:val="006C5DB7"/>
    <w:rsid w:val="006C5F02"/>
    <w:rsid w:val="006C68CB"/>
    <w:rsid w:val="006C6C22"/>
    <w:rsid w:val="006C6D48"/>
    <w:rsid w:val="006D0A68"/>
    <w:rsid w:val="006D2D18"/>
    <w:rsid w:val="006D4A67"/>
    <w:rsid w:val="006D5188"/>
    <w:rsid w:val="006D5AAF"/>
    <w:rsid w:val="006D64E3"/>
    <w:rsid w:val="006D6745"/>
    <w:rsid w:val="006D6B52"/>
    <w:rsid w:val="006D6E7F"/>
    <w:rsid w:val="006D7D14"/>
    <w:rsid w:val="006D7E41"/>
    <w:rsid w:val="006E1211"/>
    <w:rsid w:val="006E1F42"/>
    <w:rsid w:val="006E37C9"/>
    <w:rsid w:val="006E3B3B"/>
    <w:rsid w:val="006E4864"/>
    <w:rsid w:val="006E4EEB"/>
    <w:rsid w:val="006E539C"/>
    <w:rsid w:val="006E5424"/>
    <w:rsid w:val="006E6157"/>
    <w:rsid w:val="006E7A02"/>
    <w:rsid w:val="006F0061"/>
    <w:rsid w:val="006F040A"/>
    <w:rsid w:val="006F0B93"/>
    <w:rsid w:val="006F0EC4"/>
    <w:rsid w:val="006F15E2"/>
    <w:rsid w:val="006F27BC"/>
    <w:rsid w:val="006F2884"/>
    <w:rsid w:val="006F494C"/>
    <w:rsid w:val="006F4CD7"/>
    <w:rsid w:val="007000F7"/>
    <w:rsid w:val="00700A41"/>
    <w:rsid w:val="007012E8"/>
    <w:rsid w:val="00701C90"/>
    <w:rsid w:val="0070217E"/>
    <w:rsid w:val="007022A8"/>
    <w:rsid w:val="00702B09"/>
    <w:rsid w:val="00703A61"/>
    <w:rsid w:val="00703BC4"/>
    <w:rsid w:val="00704114"/>
    <w:rsid w:val="00704B10"/>
    <w:rsid w:val="0071442E"/>
    <w:rsid w:val="007157A7"/>
    <w:rsid w:val="00715BD2"/>
    <w:rsid w:val="007169ED"/>
    <w:rsid w:val="00720624"/>
    <w:rsid w:val="00721361"/>
    <w:rsid w:val="00721A35"/>
    <w:rsid w:val="00721B05"/>
    <w:rsid w:val="00722793"/>
    <w:rsid w:val="00724441"/>
    <w:rsid w:val="00724E7E"/>
    <w:rsid w:val="0072630F"/>
    <w:rsid w:val="00726927"/>
    <w:rsid w:val="007275F9"/>
    <w:rsid w:val="00730761"/>
    <w:rsid w:val="00731C3C"/>
    <w:rsid w:val="007367D1"/>
    <w:rsid w:val="00736C4E"/>
    <w:rsid w:val="00736C50"/>
    <w:rsid w:val="00737229"/>
    <w:rsid w:val="00737B9E"/>
    <w:rsid w:val="00737BB6"/>
    <w:rsid w:val="00737FD4"/>
    <w:rsid w:val="00740CD5"/>
    <w:rsid w:val="00741461"/>
    <w:rsid w:val="007415E5"/>
    <w:rsid w:val="007416DA"/>
    <w:rsid w:val="00741E14"/>
    <w:rsid w:val="0074232D"/>
    <w:rsid w:val="00742CD9"/>
    <w:rsid w:val="007444E8"/>
    <w:rsid w:val="0074516F"/>
    <w:rsid w:val="00746550"/>
    <w:rsid w:val="00746691"/>
    <w:rsid w:val="00746C68"/>
    <w:rsid w:val="00746F86"/>
    <w:rsid w:val="00747349"/>
    <w:rsid w:val="007502B1"/>
    <w:rsid w:val="00750889"/>
    <w:rsid w:val="007509FE"/>
    <w:rsid w:val="00751250"/>
    <w:rsid w:val="00751EDF"/>
    <w:rsid w:val="00752C77"/>
    <w:rsid w:val="00753B9B"/>
    <w:rsid w:val="00754640"/>
    <w:rsid w:val="00754F96"/>
    <w:rsid w:val="00755DAD"/>
    <w:rsid w:val="00755E55"/>
    <w:rsid w:val="00757251"/>
    <w:rsid w:val="00757360"/>
    <w:rsid w:val="00760509"/>
    <w:rsid w:val="00762E69"/>
    <w:rsid w:val="00764418"/>
    <w:rsid w:val="00764D94"/>
    <w:rsid w:val="0076734E"/>
    <w:rsid w:val="00770B54"/>
    <w:rsid w:val="00771C00"/>
    <w:rsid w:val="00773567"/>
    <w:rsid w:val="0077442A"/>
    <w:rsid w:val="00775DA0"/>
    <w:rsid w:val="00777491"/>
    <w:rsid w:val="007776B6"/>
    <w:rsid w:val="00777F6D"/>
    <w:rsid w:val="007802B0"/>
    <w:rsid w:val="00781471"/>
    <w:rsid w:val="00781545"/>
    <w:rsid w:val="00781C6E"/>
    <w:rsid w:val="00781F97"/>
    <w:rsid w:val="00782AE4"/>
    <w:rsid w:val="00782DFE"/>
    <w:rsid w:val="00783541"/>
    <w:rsid w:val="00783CBD"/>
    <w:rsid w:val="007854C5"/>
    <w:rsid w:val="00787225"/>
    <w:rsid w:val="00790820"/>
    <w:rsid w:val="00790FA4"/>
    <w:rsid w:val="007922A0"/>
    <w:rsid w:val="00792C0A"/>
    <w:rsid w:val="0079361C"/>
    <w:rsid w:val="00793CA6"/>
    <w:rsid w:val="007949D2"/>
    <w:rsid w:val="00795AAF"/>
    <w:rsid w:val="00795EB4"/>
    <w:rsid w:val="00795F82"/>
    <w:rsid w:val="007963B8"/>
    <w:rsid w:val="007A066E"/>
    <w:rsid w:val="007A0CFC"/>
    <w:rsid w:val="007A1897"/>
    <w:rsid w:val="007A1A93"/>
    <w:rsid w:val="007A1F08"/>
    <w:rsid w:val="007A23FF"/>
    <w:rsid w:val="007A31AC"/>
    <w:rsid w:val="007A3353"/>
    <w:rsid w:val="007A37AF"/>
    <w:rsid w:val="007A3E60"/>
    <w:rsid w:val="007A424D"/>
    <w:rsid w:val="007A5351"/>
    <w:rsid w:val="007A573E"/>
    <w:rsid w:val="007A58AF"/>
    <w:rsid w:val="007A6589"/>
    <w:rsid w:val="007A6AB5"/>
    <w:rsid w:val="007A76CA"/>
    <w:rsid w:val="007A7FF4"/>
    <w:rsid w:val="007B109B"/>
    <w:rsid w:val="007B123D"/>
    <w:rsid w:val="007B29B4"/>
    <w:rsid w:val="007B302F"/>
    <w:rsid w:val="007B4801"/>
    <w:rsid w:val="007B48A4"/>
    <w:rsid w:val="007B52DE"/>
    <w:rsid w:val="007B64F7"/>
    <w:rsid w:val="007B7396"/>
    <w:rsid w:val="007B752D"/>
    <w:rsid w:val="007B7BFA"/>
    <w:rsid w:val="007C000B"/>
    <w:rsid w:val="007C152E"/>
    <w:rsid w:val="007C177B"/>
    <w:rsid w:val="007C2BB6"/>
    <w:rsid w:val="007C3366"/>
    <w:rsid w:val="007C3C93"/>
    <w:rsid w:val="007C3CE1"/>
    <w:rsid w:val="007C4188"/>
    <w:rsid w:val="007C60D2"/>
    <w:rsid w:val="007C72AD"/>
    <w:rsid w:val="007D0065"/>
    <w:rsid w:val="007D0499"/>
    <w:rsid w:val="007D09DC"/>
    <w:rsid w:val="007D11A1"/>
    <w:rsid w:val="007D1A48"/>
    <w:rsid w:val="007D1AA2"/>
    <w:rsid w:val="007D2CA3"/>
    <w:rsid w:val="007D30A9"/>
    <w:rsid w:val="007D3C54"/>
    <w:rsid w:val="007D3DD0"/>
    <w:rsid w:val="007D42AD"/>
    <w:rsid w:val="007D4535"/>
    <w:rsid w:val="007D4E21"/>
    <w:rsid w:val="007D5EC8"/>
    <w:rsid w:val="007D6A05"/>
    <w:rsid w:val="007E0214"/>
    <w:rsid w:val="007E1000"/>
    <w:rsid w:val="007E11AA"/>
    <w:rsid w:val="007E12A0"/>
    <w:rsid w:val="007E14EE"/>
    <w:rsid w:val="007E2A53"/>
    <w:rsid w:val="007E3A50"/>
    <w:rsid w:val="007E4911"/>
    <w:rsid w:val="007E4D0F"/>
    <w:rsid w:val="007E6D9A"/>
    <w:rsid w:val="007F062E"/>
    <w:rsid w:val="007F0704"/>
    <w:rsid w:val="007F12C9"/>
    <w:rsid w:val="007F167A"/>
    <w:rsid w:val="007F201A"/>
    <w:rsid w:val="007F3099"/>
    <w:rsid w:val="007F44FA"/>
    <w:rsid w:val="007F4B39"/>
    <w:rsid w:val="00800974"/>
    <w:rsid w:val="00800A7C"/>
    <w:rsid w:val="00800FC9"/>
    <w:rsid w:val="008015B6"/>
    <w:rsid w:val="00801EF4"/>
    <w:rsid w:val="00802056"/>
    <w:rsid w:val="00802357"/>
    <w:rsid w:val="00802A42"/>
    <w:rsid w:val="00803017"/>
    <w:rsid w:val="0080327C"/>
    <w:rsid w:val="008038A3"/>
    <w:rsid w:val="00803E9E"/>
    <w:rsid w:val="0080608E"/>
    <w:rsid w:val="008061DE"/>
    <w:rsid w:val="00806691"/>
    <w:rsid w:val="00807A9C"/>
    <w:rsid w:val="00807B21"/>
    <w:rsid w:val="00807CF3"/>
    <w:rsid w:val="008108E0"/>
    <w:rsid w:val="00811100"/>
    <w:rsid w:val="00811DDF"/>
    <w:rsid w:val="00812A11"/>
    <w:rsid w:val="00812DD2"/>
    <w:rsid w:val="00813493"/>
    <w:rsid w:val="008137DE"/>
    <w:rsid w:val="00813A29"/>
    <w:rsid w:val="00813F12"/>
    <w:rsid w:val="0081554C"/>
    <w:rsid w:val="00816DBD"/>
    <w:rsid w:val="008216B1"/>
    <w:rsid w:val="00822513"/>
    <w:rsid w:val="00823507"/>
    <w:rsid w:val="00823604"/>
    <w:rsid w:val="0082433C"/>
    <w:rsid w:val="008261B3"/>
    <w:rsid w:val="008267F8"/>
    <w:rsid w:val="00826C91"/>
    <w:rsid w:val="00827B0A"/>
    <w:rsid w:val="00830F7E"/>
    <w:rsid w:val="008310DF"/>
    <w:rsid w:val="008315D1"/>
    <w:rsid w:val="0083163D"/>
    <w:rsid w:val="008322CA"/>
    <w:rsid w:val="0083331E"/>
    <w:rsid w:val="008366A7"/>
    <w:rsid w:val="00836C16"/>
    <w:rsid w:val="00837544"/>
    <w:rsid w:val="00837919"/>
    <w:rsid w:val="00837FF4"/>
    <w:rsid w:val="00841ADD"/>
    <w:rsid w:val="00842B9E"/>
    <w:rsid w:val="00842E2A"/>
    <w:rsid w:val="0084344F"/>
    <w:rsid w:val="008436BC"/>
    <w:rsid w:val="00843C67"/>
    <w:rsid w:val="00844CE8"/>
    <w:rsid w:val="00845161"/>
    <w:rsid w:val="008455AF"/>
    <w:rsid w:val="00846D5A"/>
    <w:rsid w:val="00847447"/>
    <w:rsid w:val="00847473"/>
    <w:rsid w:val="00851A55"/>
    <w:rsid w:val="00851BBB"/>
    <w:rsid w:val="00852A39"/>
    <w:rsid w:val="0085472A"/>
    <w:rsid w:val="00855061"/>
    <w:rsid w:val="00855904"/>
    <w:rsid w:val="008566FD"/>
    <w:rsid w:val="00857FEB"/>
    <w:rsid w:val="0086013F"/>
    <w:rsid w:val="00861C40"/>
    <w:rsid w:val="00861DD3"/>
    <w:rsid w:val="008629EF"/>
    <w:rsid w:val="00863958"/>
    <w:rsid w:val="00863A05"/>
    <w:rsid w:val="0086405A"/>
    <w:rsid w:val="008658F7"/>
    <w:rsid w:val="00866E5D"/>
    <w:rsid w:val="008706B4"/>
    <w:rsid w:val="00870780"/>
    <w:rsid w:val="00870A44"/>
    <w:rsid w:val="00872387"/>
    <w:rsid w:val="008737F2"/>
    <w:rsid w:val="008752A6"/>
    <w:rsid w:val="00875733"/>
    <w:rsid w:val="0087757F"/>
    <w:rsid w:val="008801E1"/>
    <w:rsid w:val="00882738"/>
    <w:rsid w:val="008829E0"/>
    <w:rsid w:val="00882AF7"/>
    <w:rsid w:val="00882AFA"/>
    <w:rsid w:val="008836AE"/>
    <w:rsid w:val="008840FE"/>
    <w:rsid w:val="008848AF"/>
    <w:rsid w:val="008868D1"/>
    <w:rsid w:val="00886A39"/>
    <w:rsid w:val="00887B63"/>
    <w:rsid w:val="00892236"/>
    <w:rsid w:val="0089244E"/>
    <w:rsid w:val="0089393C"/>
    <w:rsid w:val="0089403F"/>
    <w:rsid w:val="008940B9"/>
    <w:rsid w:val="008947F0"/>
    <w:rsid w:val="00894F79"/>
    <w:rsid w:val="00897D74"/>
    <w:rsid w:val="008A0F2C"/>
    <w:rsid w:val="008A17E5"/>
    <w:rsid w:val="008A298F"/>
    <w:rsid w:val="008A3152"/>
    <w:rsid w:val="008A3AE3"/>
    <w:rsid w:val="008A488B"/>
    <w:rsid w:val="008A57F1"/>
    <w:rsid w:val="008A5AF7"/>
    <w:rsid w:val="008A5C49"/>
    <w:rsid w:val="008A6451"/>
    <w:rsid w:val="008A6D0B"/>
    <w:rsid w:val="008A7BF2"/>
    <w:rsid w:val="008B0A6B"/>
    <w:rsid w:val="008B0BCF"/>
    <w:rsid w:val="008B0C5C"/>
    <w:rsid w:val="008B148A"/>
    <w:rsid w:val="008B3042"/>
    <w:rsid w:val="008B3746"/>
    <w:rsid w:val="008B38B7"/>
    <w:rsid w:val="008B3B93"/>
    <w:rsid w:val="008B4776"/>
    <w:rsid w:val="008B5319"/>
    <w:rsid w:val="008B5A6E"/>
    <w:rsid w:val="008B69EC"/>
    <w:rsid w:val="008B6DEC"/>
    <w:rsid w:val="008B707D"/>
    <w:rsid w:val="008B73B5"/>
    <w:rsid w:val="008C1A5C"/>
    <w:rsid w:val="008C2456"/>
    <w:rsid w:val="008C2F83"/>
    <w:rsid w:val="008C4CBE"/>
    <w:rsid w:val="008C578E"/>
    <w:rsid w:val="008C5950"/>
    <w:rsid w:val="008C5D94"/>
    <w:rsid w:val="008C5E73"/>
    <w:rsid w:val="008C732F"/>
    <w:rsid w:val="008C7819"/>
    <w:rsid w:val="008D0052"/>
    <w:rsid w:val="008D1343"/>
    <w:rsid w:val="008D1635"/>
    <w:rsid w:val="008D1CDA"/>
    <w:rsid w:val="008D218D"/>
    <w:rsid w:val="008D288C"/>
    <w:rsid w:val="008D326A"/>
    <w:rsid w:val="008D344E"/>
    <w:rsid w:val="008D352E"/>
    <w:rsid w:val="008D49ED"/>
    <w:rsid w:val="008D4AF2"/>
    <w:rsid w:val="008D5278"/>
    <w:rsid w:val="008D5B8F"/>
    <w:rsid w:val="008D6534"/>
    <w:rsid w:val="008D66B6"/>
    <w:rsid w:val="008D68FA"/>
    <w:rsid w:val="008E00DF"/>
    <w:rsid w:val="008E0191"/>
    <w:rsid w:val="008E03A5"/>
    <w:rsid w:val="008E219E"/>
    <w:rsid w:val="008E2B1B"/>
    <w:rsid w:val="008E3E3A"/>
    <w:rsid w:val="008E5401"/>
    <w:rsid w:val="008E7D60"/>
    <w:rsid w:val="008E7E3E"/>
    <w:rsid w:val="008F0D1F"/>
    <w:rsid w:val="008F12FE"/>
    <w:rsid w:val="008F16BE"/>
    <w:rsid w:val="008F1A85"/>
    <w:rsid w:val="008F2525"/>
    <w:rsid w:val="008F2FFA"/>
    <w:rsid w:val="008F3078"/>
    <w:rsid w:val="008F3604"/>
    <w:rsid w:val="008F4215"/>
    <w:rsid w:val="008F5B8B"/>
    <w:rsid w:val="008F660B"/>
    <w:rsid w:val="008F6614"/>
    <w:rsid w:val="008F6B0F"/>
    <w:rsid w:val="008F6C97"/>
    <w:rsid w:val="008F7188"/>
    <w:rsid w:val="0090099A"/>
    <w:rsid w:val="00901221"/>
    <w:rsid w:val="00901CA6"/>
    <w:rsid w:val="00902E86"/>
    <w:rsid w:val="00902F53"/>
    <w:rsid w:val="00903471"/>
    <w:rsid w:val="009036FC"/>
    <w:rsid w:val="009041A6"/>
    <w:rsid w:val="009053E6"/>
    <w:rsid w:val="00905B80"/>
    <w:rsid w:val="0090681B"/>
    <w:rsid w:val="00907443"/>
    <w:rsid w:val="00907CED"/>
    <w:rsid w:val="00907E25"/>
    <w:rsid w:val="009131A3"/>
    <w:rsid w:val="00915B4A"/>
    <w:rsid w:val="009179BD"/>
    <w:rsid w:val="009179FF"/>
    <w:rsid w:val="00921281"/>
    <w:rsid w:val="009219BE"/>
    <w:rsid w:val="0092222A"/>
    <w:rsid w:val="00922A92"/>
    <w:rsid w:val="009237C8"/>
    <w:rsid w:val="00924088"/>
    <w:rsid w:val="00924867"/>
    <w:rsid w:val="00924D60"/>
    <w:rsid w:val="00924F30"/>
    <w:rsid w:val="009267F1"/>
    <w:rsid w:val="00926E61"/>
    <w:rsid w:val="009274F8"/>
    <w:rsid w:val="00931341"/>
    <w:rsid w:val="00933239"/>
    <w:rsid w:val="00934E73"/>
    <w:rsid w:val="00935682"/>
    <w:rsid w:val="00937AE3"/>
    <w:rsid w:val="00937DF2"/>
    <w:rsid w:val="00940325"/>
    <w:rsid w:val="009405F2"/>
    <w:rsid w:val="00940A86"/>
    <w:rsid w:val="00940B8A"/>
    <w:rsid w:val="00940DEB"/>
    <w:rsid w:val="00941A43"/>
    <w:rsid w:val="00941D50"/>
    <w:rsid w:val="0094233F"/>
    <w:rsid w:val="009423B4"/>
    <w:rsid w:val="00942D63"/>
    <w:rsid w:val="009455A7"/>
    <w:rsid w:val="0094572A"/>
    <w:rsid w:val="009473B5"/>
    <w:rsid w:val="00950DA6"/>
    <w:rsid w:val="0095113D"/>
    <w:rsid w:val="00951BD2"/>
    <w:rsid w:val="00951CAB"/>
    <w:rsid w:val="00954EE3"/>
    <w:rsid w:val="00955BDE"/>
    <w:rsid w:val="00957164"/>
    <w:rsid w:val="009578CE"/>
    <w:rsid w:val="00960B0C"/>
    <w:rsid w:val="009628E4"/>
    <w:rsid w:val="00962CE1"/>
    <w:rsid w:val="00962EC8"/>
    <w:rsid w:val="0096341C"/>
    <w:rsid w:val="009636FB"/>
    <w:rsid w:val="00964CBF"/>
    <w:rsid w:val="009657E4"/>
    <w:rsid w:val="0096591C"/>
    <w:rsid w:val="00965CE3"/>
    <w:rsid w:val="00965EB5"/>
    <w:rsid w:val="00966506"/>
    <w:rsid w:val="00966F0F"/>
    <w:rsid w:val="00971286"/>
    <w:rsid w:val="00971A1F"/>
    <w:rsid w:val="0097256B"/>
    <w:rsid w:val="009728E7"/>
    <w:rsid w:val="00972DC3"/>
    <w:rsid w:val="00973A40"/>
    <w:rsid w:val="00973A6B"/>
    <w:rsid w:val="009742E1"/>
    <w:rsid w:val="009750FA"/>
    <w:rsid w:val="00976061"/>
    <w:rsid w:val="009760E2"/>
    <w:rsid w:val="009764B4"/>
    <w:rsid w:val="00976F1D"/>
    <w:rsid w:val="00977E9E"/>
    <w:rsid w:val="009806D9"/>
    <w:rsid w:val="009817FC"/>
    <w:rsid w:val="00981AF4"/>
    <w:rsid w:val="00982467"/>
    <w:rsid w:val="0098295D"/>
    <w:rsid w:val="00983B78"/>
    <w:rsid w:val="009848BE"/>
    <w:rsid w:val="00985184"/>
    <w:rsid w:val="0098535F"/>
    <w:rsid w:val="00985926"/>
    <w:rsid w:val="0098712C"/>
    <w:rsid w:val="00987724"/>
    <w:rsid w:val="00987F90"/>
    <w:rsid w:val="00990A32"/>
    <w:rsid w:val="009925DB"/>
    <w:rsid w:val="00992AD0"/>
    <w:rsid w:val="00992F62"/>
    <w:rsid w:val="00994C62"/>
    <w:rsid w:val="00995CCA"/>
    <w:rsid w:val="0099624F"/>
    <w:rsid w:val="009964DE"/>
    <w:rsid w:val="0099672C"/>
    <w:rsid w:val="00997563"/>
    <w:rsid w:val="009A24AD"/>
    <w:rsid w:val="009A2E22"/>
    <w:rsid w:val="009A3F58"/>
    <w:rsid w:val="009A5072"/>
    <w:rsid w:val="009A50B7"/>
    <w:rsid w:val="009A6DF4"/>
    <w:rsid w:val="009A76ED"/>
    <w:rsid w:val="009A7D3E"/>
    <w:rsid w:val="009B0E95"/>
    <w:rsid w:val="009B25F4"/>
    <w:rsid w:val="009B3F94"/>
    <w:rsid w:val="009B45E5"/>
    <w:rsid w:val="009B4722"/>
    <w:rsid w:val="009B493F"/>
    <w:rsid w:val="009B6D07"/>
    <w:rsid w:val="009B6DD4"/>
    <w:rsid w:val="009B6F53"/>
    <w:rsid w:val="009C07EF"/>
    <w:rsid w:val="009C0E54"/>
    <w:rsid w:val="009C38DB"/>
    <w:rsid w:val="009C3A3E"/>
    <w:rsid w:val="009C44F0"/>
    <w:rsid w:val="009C6274"/>
    <w:rsid w:val="009C6FA4"/>
    <w:rsid w:val="009C78AC"/>
    <w:rsid w:val="009C7D7E"/>
    <w:rsid w:val="009D08CC"/>
    <w:rsid w:val="009D124A"/>
    <w:rsid w:val="009D15FC"/>
    <w:rsid w:val="009D187E"/>
    <w:rsid w:val="009D18ED"/>
    <w:rsid w:val="009D20EC"/>
    <w:rsid w:val="009D337A"/>
    <w:rsid w:val="009D43DC"/>
    <w:rsid w:val="009D49D5"/>
    <w:rsid w:val="009D4E35"/>
    <w:rsid w:val="009D540A"/>
    <w:rsid w:val="009D6641"/>
    <w:rsid w:val="009D71C9"/>
    <w:rsid w:val="009D7625"/>
    <w:rsid w:val="009D78AB"/>
    <w:rsid w:val="009D7AFA"/>
    <w:rsid w:val="009E09BD"/>
    <w:rsid w:val="009E0B85"/>
    <w:rsid w:val="009E10E8"/>
    <w:rsid w:val="009E1A14"/>
    <w:rsid w:val="009E206E"/>
    <w:rsid w:val="009E6325"/>
    <w:rsid w:val="009E634A"/>
    <w:rsid w:val="009E7BDA"/>
    <w:rsid w:val="009F03B1"/>
    <w:rsid w:val="009F074A"/>
    <w:rsid w:val="009F1678"/>
    <w:rsid w:val="009F1C24"/>
    <w:rsid w:val="009F20E3"/>
    <w:rsid w:val="009F23A2"/>
    <w:rsid w:val="009F2B83"/>
    <w:rsid w:val="009F3D38"/>
    <w:rsid w:val="009F55CA"/>
    <w:rsid w:val="009F64C3"/>
    <w:rsid w:val="009F685A"/>
    <w:rsid w:val="009F6BB5"/>
    <w:rsid w:val="009F70A3"/>
    <w:rsid w:val="009F71F0"/>
    <w:rsid w:val="009F7B72"/>
    <w:rsid w:val="00A00269"/>
    <w:rsid w:val="00A00D3B"/>
    <w:rsid w:val="00A032F3"/>
    <w:rsid w:val="00A03898"/>
    <w:rsid w:val="00A04C29"/>
    <w:rsid w:val="00A050C4"/>
    <w:rsid w:val="00A057F6"/>
    <w:rsid w:val="00A06100"/>
    <w:rsid w:val="00A064DB"/>
    <w:rsid w:val="00A07CF7"/>
    <w:rsid w:val="00A10CE2"/>
    <w:rsid w:val="00A10DF1"/>
    <w:rsid w:val="00A1162C"/>
    <w:rsid w:val="00A11C0A"/>
    <w:rsid w:val="00A1278E"/>
    <w:rsid w:val="00A13321"/>
    <w:rsid w:val="00A14684"/>
    <w:rsid w:val="00A14BF2"/>
    <w:rsid w:val="00A14CA0"/>
    <w:rsid w:val="00A15A13"/>
    <w:rsid w:val="00A15F2A"/>
    <w:rsid w:val="00A16550"/>
    <w:rsid w:val="00A171C2"/>
    <w:rsid w:val="00A17C2B"/>
    <w:rsid w:val="00A20FBA"/>
    <w:rsid w:val="00A217D1"/>
    <w:rsid w:val="00A21EEF"/>
    <w:rsid w:val="00A2204E"/>
    <w:rsid w:val="00A22E5F"/>
    <w:rsid w:val="00A24E5D"/>
    <w:rsid w:val="00A25828"/>
    <w:rsid w:val="00A25CD5"/>
    <w:rsid w:val="00A265BA"/>
    <w:rsid w:val="00A26F10"/>
    <w:rsid w:val="00A273F6"/>
    <w:rsid w:val="00A3044D"/>
    <w:rsid w:val="00A30504"/>
    <w:rsid w:val="00A309B6"/>
    <w:rsid w:val="00A30B75"/>
    <w:rsid w:val="00A315BD"/>
    <w:rsid w:val="00A31BE8"/>
    <w:rsid w:val="00A333CC"/>
    <w:rsid w:val="00A341C2"/>
    <w:rsid w:val="00A3464F"/>
    <w:rsid w:val="00A34B63"/>
    <w:rsid w:val="00A350B1"/>
    <w:rsid w:val="00A35475"/>
    <w:rsid w:val="00A367BE"/>
    <w:rsid w:val="00A368A0"/>
    <w:rsid w:val="00A3787E"/>
    <w:rsid w:val="00A406ED"/>
    <w:rsid w:val="00A40FEA"/>
    <w:rsid w:val="00A41340"/>
    <w:rsid w:val="00A41553"/>
    <w:rsid w:val="00A4164A"/>
    <w:rsid w:val="00A43206"/>
    <w:rsid w:val="00A437FF"/>
    <w:rsid w:val="00A43A42"/>
    <w:rsid w:val="00A441D3"/>
    <w:rsid w:val="00A44A42"/>
    <w:rsid w:val="00A455C4"/>
    <w:rsid w:val="00A457C3"/>
    <w:rsid w:val="00A46E69"/>
    <w:rsid w:val="00A47959"/>
    <w:rsid w:val="00A47C3B"/>
    <w:rsid w:val="00A510BF"/>
    <w:rsid w:val="00A523B6"/>
    <w:rsid w:val="00A53504"/>
    <w:rsid w:val="00A53EF6"/>
    <w:rsid w:val="00A54B97"/>
    <w:rsid w:val="00A550B5"/>
    <w:rsid w:val="00A56AC0"/>
    <w:rsid w:val="00A5707C"/>
    <w:rsid w:val="00A5767E"/>
    <w:rsid w:val="00A607B6"/>
    <w:rsid w:val="00A61814"/>
    <w:rsid w:val="00A61958"/>
    <w:rsid w:val="00A62465"/>
    <w:rsid w:val="00A624E0"/>
    <w:rsid w:val="00A62818"/>
    <w:rsid w:val="00A630F8"/>
    <w:rsid w:val="00A63DD1"/>
    <w:rsid w:val="00A64EA6"/>
    <w:rsid w:val="00A65865"/>
    <w:rsid w:val="00A66520"/>
    <w:rsid w:val="00A66B4C"/>
    <w:rsid w:val="00A676FF"/>
    <w:rsid w:val="00A70D58"/>
    <w:rsid w:val="00A71008"/>
    <w:rsid w:val="00A71343"/>
    <w:rsid w:val="00A723A4"/>
    <w:rsid w:val="00A7250E"/>
    <w:rsid w:val="00A73BE4"/>
    <w:rsid w:val="00A73D53"/>
    <w:rsid w:val="00A74C66"/>
    <w:rsid w:val="00A75836"/>
    <w:rsid w:val="00A77A39"/>
    <w:rsid w:val="00A77F84"/>
    <w:rsid w:val="00A8049B"/>
    <w:rsid w:val="00A80BD8"/>
    <w:rsid w:val="00A80D5C"/>
    <w:rsid w:val="00A81D15"/>
    <w:rsid w:val="00A82AFF"/>
    <w:rsid w:val="00A8477B"/>
    <w:rsid w:val="00A86B62"/>
    <w:rsid w:val="00A86FBC"/>
    <w:rsid w:val="00A8704C"/>
    <w:rsid w:val="00A87DCE"/>
    <w:rsid w:val="00A90DBE"/>
    <w:rsid w:val="00A91976"/>
    <w:rsid w:val="00A91D0F"/>
    <w:rsid w:val="00A91D66"/>
    <w:rsid w:val="00A92AFE"/>
    <w:rsid w:val="00A92BB7"/>
    <w:rsid w:val="00A941ED"/>
    <w:rsid w:val="00A94421"/>
    <w:rsid w:val="00A94C45"/>
    <w:rsid w:val="00A95302"/>
    <w:rsid w:val="00A95D00"/>
    <w:rsid w:val="00A95E0B"/>
    <w:rsid w:val="00A96284"/>
    <w:rsid w:val="00A9776E"/>
    <w:rsid w:val="00A97D9D"/>
    <w:rsid w:val="00AA061E"/>
    <w:rsid w:val="00AA0ADF"/>
    <w:rsid w:val="00AA1726"/>
    <w:rsid w:val="00AA3053"/>
    <w:rsid w:val="00AA42D2"/>
    <w:rsid w:val="00AA5CBF"/>
    <w:rsid w:val="00AA5DCD"/>
    <w:rsid w:val="00AA67B5"/>
    <w:rsid w:val="00AA6DB6"/>
    <w:rsid w:val="00AA6F36"/>
    <w:rsid w:val="00AA7074"/>
    <w:rsid w:val="00AB1757"/>
    <w:rsid w:val="00AB2563"/>
    <w:rsid w:val="00AB3A58"/>
    <w:rsid w:val="00AB5C2F"/>
    <w:rsid w:val="00AB7858"/>
    <w:rsid w:val="00AB7DB1"/>
    <w:rsid w:val="00AB7F43"/>
    <w:rsid w:val="00AC0308"/>
    <w:rsid w:val="00AC0C00"/>
    <w:rsid w:val="00AC0D85"/>
    <w:rsid w:val="00AC3512"/>
    <w:rsid w:val="00AC3900"/>
    <w:rsid w:val="00AC44A1"/>
    <w:rsid w:val="00AC466E"/>
    <w:rsid w:val="00AC4C48"/>
    <w:rsid w:val="00AC58E3"/>
    <w:rsid w:val="00AC66C2"/>
    <w:rsid w:val="00AC6B1B"/>
    <w:rsid w:val="00AC70DF"/>
    <w:rsid w:val="00AC7104"/>
    <w:rsid w:val="00AD0DC2"/>
    <w:rsid w:val="00AD14AA"/>
    <w:rsid w:val="00AD2CEC"/>
    <w:rsid w:val="00AD460F"/>
    <w:rsid w:val="00AD5A07"/>
    <w:rsid w:val="00AD6807"/>
    <w:rsid w:val="00AD6875"/>
    <w:rsid w:val="00AD72A9"/>
    <w:rsid w:val="00AD72CC"/>
    <w:rsid w:val="00AD7390"/>
    <w:rsid w:val="00AD776E"/>
    <w:rsid w:val="00AE0972"/>
    <w:rsid w:val="00AE278E"/>
    <w:rsid w:val="00AE325E"/>
    <w:rsid w:val="00AE4744"/>
    <w:rsid w:val="00AE5205"/>
    <w:rsid w:val="00AE636E"/>
    <w:rsid w:val="00AE6385"/>
    <w:rsid w:val="00AE6683"/>
    <w:rsid w:val="00AE724D"/>
    <w:rsid w:val="00AE7902"/>
    <w:rsid w:val="00AE7EE9"/>
    <w:rsid w:val="00AF1456"/>
    <w:rsid w:val="00AF2464"/>
    <w:rsid w:val="00AF5897"/>
    <w:rsid w:val="00AF59C5"/>
    <w:rsid w:val="00AF6DB9"/>
    <w:rsid w:val="00B00384"/>
    <w:rsid w:val="00B006CA"/>
    <w:rsid w:val="00B007A9"/>
    <w:rsid w:val="00B0080C"/>
    <w:rsid w:val="00B00E56"/>
    <w:rsid w:val="00B0111D"/>
    <w:rsid w:val="00B036A4"/>
    <w:rsid w:val="00B04AFF"/>
    <w:rsid w:val="00B04C9D"/>
    <w:rsid w:val="00B05165"/>
    <w:rsid w:val="00B05614"/>
    <w:rsid w:val="00B05AAA"/>
    <w:rsid w:val="00B062EC"/>
    <w:rsid w:val="00B069ED"/>
    <w:rsid w:val="00B06D1C"/>
    <w:rsid w:val="00B07825"/>
    <w:rsid w:val="00B07B37"/>
    <w:rsid w:val="00B100D1"/>
    <w:rsid w:val="00B10A74"/>
    <w:rsid w:val="00B11FF4"/>
    <w:rsid w:val="00B1392F"/>
    <w:rsid w:val="00B15508"/>
    <w:rsid w:val="00B17E51"/>
    <w:rsid w:val="00B20154"/>
    <w:rsid w:val="00B2181C"/>
    <w:rsid w:val="00B23767"/>
    <w:rsid w:val="00B23A7A"/>
    <w:rsid w:val="00B23C23"/>
    <w:rsid w:val="00B23F32"/>
    <w:rsid w:val="00B2578A"/>
    <w:rsid w:val="00B25925"/>
    <w:rsid w:val="00B26971"/>
    <w:rsid w:val="00B270EB"/>
    <w:rsid w:val="00B27352"/>
    <w:rsid w:val="00B2755A"/>
    <w:rsid w:val="00B30916"/>
    <w:rsid w:val="00B3118C"/>
    <w:rsid w:val="00B3221D"/>
    <w:rsid w:val="00B33700"/>
    <w:rsid w:val="00B33B91"/>
    <w:rsid w:val="00B33CBF"/>
    <w:rsid w:val="00B347AC"/>
    <w:rsid w:val="00B34C6A"/>
    <w:rsid w:val="00B359AF"/>
    <w:rsid w:val="00B35D0E"/>
    <w:rsid w:val="00B401D5"/>
    <w:rsid w:val="00B402CA"/>
    <w:rsid w:val="00B405A2"/>
    <w:rsid w:val="00B410D5"/>
    <w:rsid w:val="00B41FE5"/>
    <w:rsid w:val="00B425FB"/>
    <w:rsid w:val="00B42CA2"/>
    <w:rsid w:val="00B431B4"/>
    <w:rsid w:val="00B43513"/>
    <w:rsid w:val="00B43665"/>
    <w:rsid w:val="00B440CE"/>
    <w:rsid w:val="00B44E21"/>
    <w:rsid w:val="00B4571F"/>
    <w:rsid w:val="00B4574C"/>
    <w:rsid w:val="00B457C0"/>
    <w:rsid w:val="00B4606A"/>
    <w:rsid w:val="00B46794"/>
    <w:rsid w:val="00B46A7D"/>
    <w:rsid w:val="00B4733F"/>
    <w:rsid w:val="00B4737E"/>
    <w:rsid w:val="00B51C67"/>
    <w:rsid w:val="00B52A27"/>
    <w:rsid w:val="00B5305A"/>
    <w:rsid w:val="00B5365A"/>
    <w:rsid w:val="00B53A37"/>
    <w:rsid w:val="00B53CD5"/>
    <w:rsid w:val="00B53D37"/>
    <w:rsid w:val="00B54A1A"/>
    <w:rsid w:val="00B54D02"/>
    <w:rsid w:val="00B56F8D"/>
    <w:rsid w:val="00B574C0"/>
    <w:rsid w:val="00B577A0"/>
    <w:rsid w:val="00B57C55"/>
    <w:rsid w:val="00B57C71"/>
    <w:rsid w:val="00B60336"/>
    <w:rsid w:val="00B60BAE"/>
    <w:rsid w:val="00B62C3E"/>
    <w:rsid w:val="00B6316F"/>
    <w:rsid w:val="00B642C9"/>
    <w:rsid w:val="00B64F31"/>
    <w:rsid w:val="00B65571"/>
    <w:rsid w:val="00B6576B"/>
    <w:rsid w:val="00B66FC1"/>
    <w:rsid w:val="00B66FDB"/>
    <w:rsid w:val="00B67DB9"/>
    <w:rsid w:val="00B70238"/>
    <w:rsid w:val="00B712D7"/>
    <w:rsid w:val="00B71E31"/>
    <w:rsid w:val="00B71EBC"/>
    <w:rsid w:val="00B7348C"/>
    <w:rsid w:val="00B735EA"/>
    <w:rsid w:val="00B75DD5"/>
    <w:rsid w:val="00B76223"/>
    <w:rsid w:val="00B76929"/>
    <w:rsid w:val="00B76F3E"/>
    <w:rsid w:val="00B775F3"/>
    <w:rsid w:val="00B8041F"/>
    <w:rsid w:val="00B80A85"/>
    <w:rsid w:val="00B81FB3"/>
    <w:rsid w:val="00B82028"/>
    <w:rsid w:val="00B82A17"/>
    <w:rsid w:val="00B82AF4"/>
    <w:rsid w:val="00B82D57"/>
    <w:rsid w:val="00B850B7"/>
    <w:rsid w:val="00B86F7F"/>
    <w:rsid w:val="00B87732"/>
    <w:rsid w:val="00B917E2"/>
    <w:rsid w:val="00B9201E"/>
    <w:rsid w:val="00B92BCC"/>
    <w:rsid w:val="00B92EC5"/>
    <w:rsid w:val="00B9402C"/>
    <w:rsid w:val="00B9669B"/>
    <w:rsid w:val="00B967E9"/>
    <w:rsid w:val="00BA1330"/>
    <w:rsid w:val="00BA2A80"/>
    <w:rsid w:val="00BA4B6E"/>
    <w:rsid w:val="00BA54C1"/>
    <w:rsid w:val="00BA5EC8"/>
    <w:rsid w:val="00BA6C09"/>
    <w:rsid w:val="00BA6DAE"/>
    <w:rsid w:val="00BA7391"/>
    <w:rsid w:val="00BA746E"/>
    <w:rsid w:val="00BA7758"/>
    <w:rsid w:val="00BA7CEF"/>
    <w:rsid w:val="00BB03F8"/>
    <w:rsid w:val="00BB09C3"/>
    <w:rsid w:val="00BB1A72"/>
    <w:rsid w:val="00BB1B3C"/>
    <w:rsid w:val="00BB2A57"/>
    <w:rsid w:val="00BB33E1"/>
    <w:rsid w:val="00BB34AE"/>
    <w:rsid w:val="00BB3D74"/>
    <w:rsid w:val="00BB4C3A"/>
    <w:rsid w:val="00BB55EC"/>
    <w:rsid w:val="00BB6502"/>
    <w:rsid w:val="00BB69B4"/>
    <w:rsid w:val="00BB6D61"/>
    <w:rsid w:val="00BB6F4E"/>
    <w:rsid w:val="00BB7500"/>
    <w:rsid w:val="00BB75DD"/>
    <w:rsid w:val="00BB76D0"/>
    <w:rsid w:val="00BB76FA"/>
    <w:rsid w:val="00BB7DE8"/>
    <w:rsid w:val="00BC028D"/>
    <w:rsid w:val="00BC2313"/>
    <w:rsid w:val="00BC2361"/>
    <w:rsid w:val="00BC26BE"/>
    <w:rsid w:val="00BC297E"/>
    <w:rsid w:val="00BC2E4B"/>
    <w:rsid w:val="00BC306E"/>
    <w:rsid w:val="00BC40E2"/>
    <w:rsid w:val="00BC69F1"/>
    <w:rsid w:val="00BD0DF2"/>
    <w:rsid w:val="00BD1871"/>
    <w:rsid w:val="00BD2068"/>
    <w:rsid w:val="00BD2B6A"/>
    <w:rsid w:val="00BD2FFE"/>
    <w:rsid w:val="00BD34EB"/>
    <w:rsid w:val="00BD40F6"/>
    <w:rsid w:val="00BD43CA"/>
    <w:rsid w:val="00BD64BC"/>
    <w:rsid w:val="00BD69B5"/>
    <w:rsid w:val="00BD6C57"/>
    <w:rsid w:val="00BD7984"/>
    <w:rsid w:val="00BE0DD1"/>
    <w:rsid w:val="00BE128B"/>
    <w:rsid w:val="00BE31AE"/>
    <w:rsid w:val="00BE4064"/>
    <w:rsid w:val="00BE42A3"/>
    <w:rsid w:val="00BE66AF"/>
    <w:rsid w:val="00BE747D"/>
    <w:rsid w:val="00BE7A2D"/>
    <w:rsid w:val="00BF0CA9"/>
    <w:rsid w:val="00BF0FA9"/>
    <w:rsid w:val="00BF1001"/>
    <w:rsid w:val="00BF1E95"/>
    <w:rsid w:val="00BF20CC"/>
    <w:rsid w:val="00BF2392"/>
    <w:rsid w:val="00BF2E2C"/>
    <w:rsid w:val="00BF3889"/>
    <w:rsid w:val="00BF3ECE"/>
    <w:rsid w:val="00BF55E3"/>
    <w:rsid w:val="00BF56CB"/>
    <w:rsid w:val="00BF5AED"/>
    <w:rsid w:val="00BF65CE"/>
    <w:rsid w:val="00BF69B2"/>
    <w:rsid w:val="00C00298"/>
    <w:rsid w:val="00C0034B"/>
    <w:rsid w:val="00C00422"/>
    <w:rsid w:val="00C00429"/>
    <w:rsid w:val="00C00689"/>
    <w:rsid w:val="00C009A8"/>
    <w:rsid w:val="00C03314"/>
    <w:rsid w:val="00C03536"/>
    <w:rsid w:val="00C0358E"/>
    <w:rsid w:val="00C035A6"/>
    <w:rsid w:val="00C03E86"/>
    <w:rsid w:val="00C0409E"/>
    <w:rsid w:val="00C0604C"/>
    <w:rsid w:val="00C06232"/>
    <w:rsid w:val="00C11CC8"/>
    <w:rsid w:val="00C12439"/>
    <w:rsid w:val="00C14258"/>
    <w:rsid w:val="00C142DA"/>
    <w:rsid w:val="00C15775"/>
    <w:rsid w:val="00C15F17"/>
    <w:rsid w:val="00C160B2"/>
    <w:rsid w:val="00C164B0"/>
    <w:rsid w:val="00C16F91"/>
    <w:rsid w:val="00C247B1"/>
    <w:rsid w:val="00C24B46"/>
    <w:rsid w:val="00C24E2C"/>
    <w:rsid w:val="00C24F60"/>
    <w:rsid w:val="00C250C4"/>
    <w:rsid w:val="00C25277"/>
    <w:rsid w:val="00C260E1"/>
    <w:rsid w:val="00C2697E"/>
    <w:rsid w:val="00C301C4"/>
    <w:rsid w:val="00C30C8D"/>
    <w:rsid w:val="00C3140E"/>
    <w:rsid w:val="00C31EE4"/>
    <w:rsid w:val="00C32E5D"/>
    <w:rsid w:val="00C3392D"/>
    <w:rsid w:val="00C34CF6"/>
    <w:rsid w:val="00C359B0"/>
    <w:rsid w:val="00C35B0A"/>
    <w:rsid w:val="00C420B8"/>
    <w:rsid w:val="00C42B91"/>
    <w:rsid w:val="00C43676"/>
    <w:rsid w:val="00C444CE"/>
    <w:rsid w:val="00C451F9"/>
    <w:rsid w:val="00C456BB"/>
    <w:rsid w:val="00C461B1"/>
    <w:rsid w:val="00C46854"/>
    <w:rsid w:val="00C47E71"/>
    <w:rsid w:val="00C506ED"/>
    <w:rsid w:val="00C51058"/>
    <w:rsid w:val="00C5165E"/>
    <w:rsid w:val="00C51B6A"/>
    <w:rsid w:val="00C52A24"/>
    <w:rsid w:val="00C52E6C"/>
    <w:rsid w:val="00C5300A"/>
    <w:rsid w:val="00C531D8"/>
    <w:rsid w:val="00C5358C"/>
    <w:rsid w:val="00C559BE"/>
    <w:rsid w:val="00C55AB5"/>
    <w:rsid w:val="00C55D89"/>
    <w:rsid w:val="00C5604B"/>
    <w:rsid w:val="00C56FC1"/>
    <w:rsid w:val="00C61CF0"/>
    <w:rsid w:val="00C620D5"/>
    <w:rsid w:val="00C62B35"/>
    <w:rsid w:val="00C637BE"/>
    <w:rsid w:val="00C639B7"/>
    <w:rsid w:val="00C63C47"/>
    <w:rsid w:val="00C6453B"/>
    <w:rsid w:val="00C64ADF"/>
    <w:rsid w:val="00C64D06"/>
    <w:rsid w:val="00C64E37"/>
    <w:rsid w:val="00C661C1"/>
    <w:rsid w:val="00C67CF8"/>
    <w:rsid w:val="00C706AD"/>
    <w:rsid w:val="00C70932"/>
    <w:rsid w:val="00C72192"/>
    <w:rsid w:val="00C731E7"/>
    <w:rsid w:val="00C736D3"/>
    <w:rsid w:val="00C74CDD"/>
    <w:rsid w:val="00C75159"/>
    <w:rsid w:val="00C755D2"/>
    <w:rsid w:val="00C75DA0"/>
    <w:rsid w:val="00C76A44"/>
    <w:rsid w:val="00C776E9"/>
    <w:rsid w:val="00C81675"/>
    <w:rsid w:val="00C81EA7"/>
    <w:rsid w:val="00C826DE"/>
    <w:rsid w:val="00C82CF6"/>
    <w:rsid w:val="00C82F4C"/>
    <w:rsid w:val="00C849EF"/>
    <w:rsid w:val="00C857F9"/>
    <w:rsid w:val="00C85B4C"/>
    <w:rsid w:val="00C85D6B"/>
    <w:rsid w:val="00C868B1"/>
    <w:rsid w:val="00C86B7E"/>
    <w:rsid w:val="00C9250A"/>
    <w:rsid w:val="00C930E0"/>
    <w:rsid w:val="00C9345C"/>
    <w:rsid w:val="00C93D3B"/>
    <w:rsid w:val="00C93DC6"/>
    <w:rsid w:val="00C94455"/>
    <w:rsid w:val="00C94682"/>
    <w:rsid w:val="00C94710"/>
    <w:rsid w:val="00C954DF"/>
    <w:rsid w:val="00C95569"/>
    <w:rsid w:val="00C95C64"/>
    <w:rsid w:val="00C96899"/>
    <w:rsid w:val="00C96A57"/>
    <w:rsid w:val="00C972B1"/>
    <w:rsid w:val="00C973E8"/>
    <w:rsid w:val="00CA0AF0"/>
    <w:rsid w:val="00CA0EB3"/>
    <w:rsid w:val="00CA1079"/>
    <w:rsid w:val="00CA1126"/>
    <w:rsid w:val="00CA1FA7"/>
    <w:rsid w:val="00CA2D2D"/>
    <w:rsid w:val="00CA391E"/>
    <w:rsid w:val="00CA3A9A"/>
    <w:rsid w:val="00CA43CB"/>
    <w:rsid w:val="00CA55F0"/>
    <w:rsid w:val="00CA57A9"/>
    <w:rsid w:val="00CA5825"/>
    <w:rsid w:val="00CA5DA0"/>
    <w:rsid w:val="00CA63FE"/>
    <w:rsid w:val="00CA78C2"/>
    <w:rsid w:val="00CA7E71"/>
    <w:rsid w:val="00CB026E"/>
    <w:rsid w:val="00CB38CF"/>
    <w:rsid w:val="00CB40AD"/>
    <w:rsid w:val="00CB437E"/>
    <w:rsid w:val="00CB5D83"/>
    <w:rsid w:val="00CB6A7D"/>
    <w:rsid w:val="00CB6ACA"/>
    <w:rsid w:val="00CB789F"/>
    <w:rsid w:val="00CB7C88"/>
    <w:rsid w:val="00CC0627"/>
    <w:rsid w:val="00CC318E"/>
    <w:rsid w:val="00CC38D6"/>
    <w:rsid w:val="00CC3B80"/>
    <w:rsid w:val="00CC3EF1"/>
    <w:rsid w:val="00CC3F29"/>
    <w:rsid w:val="00CC4318"/>
    <w:rsid w:val="00CC4625"/>
    <w:rsid w:val="00CC5C5F"/>
    <w:rsid w:val="00CC6B01"/>
    <w:rsid w:val="00CC77CC"/>
    <w:rsid w:val="00CC77ED"/>
    <w:rsid w:val="00CC7A0B"/>
    <w:rsid w:val="00CD04D7"/>
    <w:rsid w:val="00CD0BD4"/>
    <w:rsid w:val="00CD2EE2"/>
    <w:rsid w:val="00CD392C"/>
    <w:rsid w:val="00CD475B"/>
    <w:rsid w:val="00CD48E6"/>
    <w:rsid w:val="00CD6C1B"/>
    <w:rsid w:val="00CD74F3"/>
    <w:rsid w:val="00CE0F25"/>
    <w:rsid w:val="00CE1F96"/>
    <w:rsid w:val="00CE2787"/>
    <w:rsid w:val="00CE3630"/>
    <w:rsid w:val="00CE3D86"/>
    <w:rsid w:val="00CE4810"/>
    <w:rsid w:val="00CE49C2"/>
    <w:rsid w:val="00CE64B7"/>
    <w:rsid w:val="00CE6FAF"/>
    <w:rsid w:val="00CE75E4"/>
    <w:rsid w:val="00CE7EB0"/>
    <w:rsid w:val="00CF12BE"/>
    <w:rsid w:val="00CF1C0F"/>
    <w:rsid w:val="00CF1E19"/>
    <w:rsid w:val="00CF2F02"/>
    <w:rsid w:val="00CF34AB"/>
    <w:rsid w:val="00CF4659"/>
    <w:rsid w:val="00CF4691"/>
    <w:rsid w:val="00CF4F11"/>
    <w:rsid w:val="00CF53C2"/>
    <w:rsid w:val="00CF56A6"/>
    <w:rsid w:val="00CF5968"/>
    <w:rsid w:val="00CF5EB3"/>
    <w:rsid w:val="00CF6B42"/>
    <w:rsid w:val="00CF7536"/>
    <w:rsid w:val="00CF76AF"/>
    <w:rsid w:val="00D00365"/>
    <w:rsid w:val="00D0130B"/>
    <w:rsid w:val="00D0221A"/>
    <w:rsid w:val="00D02B6B"/>
    <w:rsid w:val="00D03B1B"/>
    <w:rsid w:val="00D03B81"/>
    <w:rsid w:val="00D03C1B"/>
    <w:rsid w:val="00D03DC3"/>
    <w:rsid w:val="00D046C8"/>
    <w:rsid w:val="00D0540D"/>
    <w:rsid w:val="00D05A4E"/>
    <w:rsid w:val="00D06734"/>
    <w:rsid w:val="00D07012"/>
    <w:rsid w:val="00D0793D"/>
    <w:rsid w:val="00D10B1C"/>
    <w:rsid w:val="00D10BD0"/>
    <w:rsid w:val="00D11476"/>
    <w:rsid w:val="00D12F27"/>
    <w:rsid w:val="00D13B93"/>
    <w:rsid w:val="00D1420B"/>
    <w:rsid w:val="00D14FA4"/>
    <w:rsid w:val="00D15878"/>
    <w:rsid w:val="00D15B78"/>
    <w:rsid w:val="00D15C70"/>
    <w:rsid w:val="00D16400"/>
    <w:rsid w:val="00D16526"/>
    <w:rsid w:val="00D17407"/>
    <w:rsid w:val="00D175E5"/>
    <w:rsid w:val="00D1773D"/>
    <w:rsid w:val="00D202EB"/>
    <w:rsid w:val="00D20D82"/>
    <w:rsid w:val="00D218F1"/>
    <w:rsid w:val="00D23D9B"/>
    <w:rsid w:val="00D24749"/>
    <w:rsid w:val="00D24761"/>
    <w:rsid w:val="00D24CE0"/>
    <w:rsid w:val="00D2615F"/>
    <w:rsid w:val="00D26399"/>
    <w:rsid w:val="00D26EDF"/>
    <w:rsid w:val="00D27C7A"/>
    <w:rsid w:val="00D30182"/>
    <w:rsid w:val="00D30214"/>
    <w:rsid w:val="00D30A3D"/>
    <w:rsid w:val="00D325DB"/>
    <w:rsid w:val="00D32960"/>
    <w:rsid w:val="00D32B17"/>
    <w:rsid w:val="00D33020"/>
    <w:rsid w:val="00D33D73"/>
    <w:rsid w:val="00D345EC"/>
    <w:rsid w:val="00D34A05"/>
    <w:rsid w:val="00D34B4B"/>
    <w:rsid w:val="00D36C03"/>
    <w:rsid w:val="00D372A1"/>
    <w:rsid w:val="00D414BA"/>
    <w:rsid w:val="00D41CE6"/>
    <w:rsid w:val="00D4451A"/>
    <w:rsid w:val="00D44E39"/>
    <w:rsid w:val="00D452B8"/>
    <w:rsid w:val="00D4553C"/>
    <w:rsid w:val="00D46F5B"/>
    <w:rsid w:val="00D4720D"/>
    <w:rsid w:val="00D47632"/>
    <w:rsid w:val="00D47ADA"/>
    <w:rsid w:val="00D50391"/>
    <w:rsid w:val="00D5056A"/>
    <w:rsid w:val="00D52747"/>
    <w:rsid w:val="00D538B5"/>
    <w:rsid w:val="00D53FA0"/>
    <w:rsid w:val="00D542B3"/>
    <w:rsid w:val="00D551F8"/>
    <w:rsid w:val="00D57E1D"/>
    <w:rsid w:val="00D60EFB"/>
    <w:rsid w:val="00D61B5C"/>
    <w:rsid w:val="00D62C7C"/>
    <w:rsid w:val="00D62E84"/>
    <w:rsid w:val="00D62EED"/>
    <w:rsid w:val="00D63189"/>
    <w:rsid w:val="00D635C3"/>
    <w:rsid w:val="00D6374E"/>
    <w:rsid w:val="00D63CA7"/>
    <w:rsid w:val="00D63E0C"/>
    <w:rsid w:val="00D651C1"/>
    <w:rsid w:val="00D65F1D"/>
    <w:rsid w:val="00D660CE"/>
    <w:rsid w:val="00D664F8"/>
    <w:rsid w:val="00D66EDC"/>
    <w:rsid w:val="00D67174"/>
    <w:rsid w:val="00D67B93"/>
    <w:rsid w:val="00D7017E"/>
    <w:rsid w:val="00D706DF"/>
    <w:rsid w:val="00D718A9"/>
    <w:rsid w:val="00D7334C"/>
    <w:rsid w:val="00D747A8"/>
    <w:rsid w:val="00D74B56"/>
    <w:rsid w:val="00D759DE"/>
    <w:rsid w:val="00D76A9B"/>
    <w:rsid w:val="00D76BDA"/>
    <w:rsid w:val="00D77A40"/>
    <w:rsid w:val="00D80FD5"/>
    <w:rsid w:val="00D81B6D"/>
    <w:rsid w:val="00D82D74"/>
    <w:rsid w:val="00D85412"/>
    <w:rsid w:val="00D87642"/>
    <w:rsid w:val="00D9073E"/>
    <w:rsid w:val="00D910A4"/>
    <w:rsid w:val="00D91C73"/>
    <w:rsid w:val="00D9340D"/>
    <w:rsid w:val="00D936C0"/>
    <w:rsid w:val="00D93EDD"/>
    <w:rsid w:val="00D95A2A"/>
    <w:rsid w:val="00D95A2C"/>
    <w:rsid w:val="00DA0903"/>
    <w:rsid w:val="00DA0AE8"/>
    <w:rsid w:val="00DA144D"/>
    <w:rsid w:val="00DA2371"/>
    <w:rsid w:val="00DA264A"/>
    <w:rsid w:val="00DA2D0E"/>
    <w:rsid w:val="00DA383D"/>
    <w:rsid w:val="00DA653C"/>
    <w:rsid w:val="00DA6801"/>
    <w:rsid w:val="00DA714B"/>
    <w:rsid w:val="00DA71F9"/>
    <w:rsid w:val="00DB0052"/>
    <w:rsid w:val="00DB0E51"/>
    <w:rsid w:val="00DB2586"/>
    <w:rsid w:val="00DB2F2D"/>
    <w:rsid w:val="00DB513D"/>
    <w:rsid w:val="00DB6952"/>
    <w:rsid w:val="00DB74F5"/>
    <w:rsid w:val="00DB756A"/>
    <w:rsid w:val="00DB75D2"/>
    <w:rsid w:val="00DC00F6"/>
    <w:rsid w:val="00DC1026"/>
    <w:rsid w:val="00DC1F42"/>
    <w:rsid w:val="00DC26A8"/>
    <w:rsid w:val="00DC3103"/>
    <w:rsid w:val="00DC3985"/>
    <w:rsid w:val="00DC407E"/>
    <w:rsid w:val="00DC4712"/>
    <w:rsid w:val="00DC50EF"/>
    <w:rsid w:val="00DC56CC"/>
    <w:rsid w:val="00DC7388"/>
    <w:rsid w:val="00DD010A"/>
    <w:rsid w:val="00DD012F"/>
    <w:rsid w:val="00DD05AF"/>
    <w:rsid w:val="00DD0686"/>
    <w:rsid w:val="00DD0C23"/>
    <w:rsid w:val="00DD17D2"/>
    <w:rsid w:val="00DD21A8"/>
    <w:rsid w:val="00DD4241"/>
    <w:rsid w:val="00DD4A7E"/>
    <w:rsid w:val="00DD4B83"/>
    <w:rsid w:val="00DD5B35"/>
    <w:rsid w:val="00DD61D1"/>
    <w:rsid w:val="00DD6BDD"/>
    <w:rsid w:val="00DD73FC"/>
    <w:rsid w:val="00DD7726"/>
    <w:rsid w:val="00DE1057"/>
    <w:rsid w:val="00DE3528"/>
    <w:rsid w:val="00DE3803"/>
    <w:rsid w:val="00DE3BB6"/>
    <w:rsid w:val="00DE49D3"/>
    <w:rsid w:val="00DE4AB8"/>
    <w:rsid w:val="00DE4D89"/>
    <w:rsid w:val="00DF0B91"/>
    <w:rsid w:val="00DF10BC"/>
    <w:rsid w:val="00DF2A6A"/>
    <w:rsid w:val="00DF2E83"/>
    <w:rsid w:val="00DF3036"/>
    <w:rsid w:val="00DF31D3"/>
    <w:rsid w:val="00DF3769"/>
    <w:rsid w:val="00DF3A9F"/>
    <w:rsid w:val="00DF44AF"/>
    <w:rsid w:val="00DF5BB0"/>
    <w:rsid w:val="00DF61FB"/>
    <w:rsid w:val="00DF6233"/>
    <w:rsid w:val="00DF684A"/>
    <w:rsid w:val="00E01CD2"/>
    <w:rsid w:val="00E02E17"/>
    <w:rsid w:val="00E0344A"/>
    <w:rsid w:val="00E03482"/>
    <w:rsid w:val="00E03EFE"/>
    <w:rsid w:val="00E0432E"/>
    <w:rsid w:val="00E05315"/>
    <w:rsid w:val="00E10E7B"/>
    <w:rsid w:val="00E1242E"/>
    <w:rsid w:val="00E12C5D"/>
    <w:rsid w:val="00E13029"/>
    <w:rsid w:val="00E139A0"/>
    <w:rsid w:val="00E15027"/>
    <w:rsid w:val="00E1525B"/>
    <w:rsid w:val="00E16761"/>
    <w:rsid w:val="00E16F27"/>
    <w:rsid w:val="00E16F4E"/>
    <w:rsid w:val="00E17186"/>
    <w:rsid w:val="00E17718"/>
    <w:rsid w:val="00E1782F"/>
    <w:rsid w:val="00E17C21"/>
    <w:rsid w:val="00E212DF"/>
    <w:rsid w:val="00E21DB1"/>
    <w:rsid w:val="00E222F0"/>
    <w:rsid w:val="00E2241F"/>
    <w:rsid w:val="00E23204"/>
    <w:rsid w:val="00E239A2"/>
    <w:rsid w:val="00E239B1"/>
    <w:rsid w:val="00E248BC"/>
    <w:rsid w:val="00E25536"/>
    <w:rsid w:val="00E2576C"/>
    <w:rsid w:val="00E25A8C"/>
    <w:rsid w:val="00E2628E"/>
    <w:rsid w:val="00E2769E"/>
    <w:rsid w:val="00E27799"/>
    <w:rsid w:val="00E30291"/>
    <w:rsid w:val="00E31039"/>
    <w:rsid w:val="00E32F5F"/>
    <w:rsid w:val="00E32FE5"/>
    <w:rsid w:val="00E33054"/>
    <w:rsid w:val="00E3414A"/>
    <w:rsid w:val="00E34EFF"/>
    <w:rsid w:val="00E36805"/>
    <w:rsid w:val="00E3682B"/>
    <w:rsid w:val="00E3692E"/>
    <w:rsid w:val="00E37704"/>
    <w:rsid w:val="00E37D39"/>
    <w:rsid w:val="00E41460"/>
    <w:rsid w:val="00E41C89"/>
    <w:rsid w:val="00E42000"/>
    <w:rsid w:val="00E433FD"/>
    <w:rsid w:val="00E43449"/>
    <w:rsid w:val="00E441E3"/>
    <w:rsid w:val="00E441EB"/>
    <w:rsid w:val="00E50727"/>
    <w:rsid w:val="00E51D53"/>
    <w:rsid w:val="00E51D76"/>
    <w:rsid w:val="00E52E7B"/>
    <w:rsid w:val="00E5354C"/>
    <w:rsid w:val="00E545FE"/>
    <w:rsid w:val="00E57011"/>
    <w:rsid w:val="00E601A7"/>
    <w:rsid w:val="00E6056C"/>
    <w:rsid w:val="00E60823"/>
    <w:rsid w:val="00E60EF2"/>
    <w:rsid w:val="00E635C6"/>
    <w:rsid w:val="00E63660"/>
    <w:rsid w:val="00E63909"/>
    <w:rsid w:val="00E63FD3"/>
    <w:rsid w:val="00E6445B"/>
    <w:rsid w:val="00E6480F"/>
    <w:rsid w:val="00E65620"/>
    <w:rsid w:val="00E66088"/>
    <w:rsid w:val="00E66F0F"/>
    <w:rsid w:val="00E6751C"/>
    <w:rsid w:val="00E7088F"/>
    <w:rsid w:val="00E70B74"/>
    <w:rsid w:val="00E738D9"/>
    <w:rsid w:val="00E74B73"/>
    <w:rsid w:val="00E777BF"/>
    <w:rsid w:val="00E806D0"/>
    <w:rsid w:val="00E80C68"/>
    <w:rsid w:val="00E8144F"/>
    <w:rsid w:val="00E8211B"/>
    <w:rsid w:val="00E8317D"/>
    <w:rsid w:val="00E83B00"/>
    <w:rsid w:val="00E83C6F"/>
    <w:rsid w:val="00E83E0E"/>
    <w:rsid w:val="00E87DB8"/>
    <w:rsid w:val="00E90348"/>
    <w:rsid w:val="00E909D4"/>
    <w:rsid w:val="00E90AD9"/>
    <w:rsid w:val="00E9290D"/>
    <w:rsid w:val="00E92E0B"/>
    <w:rsid w:val="00E92E99"/>
    <w:rsid w:val="00E93911"/>
    <w:rsid w:val="00E9443D"/>
    <w:rsid w:val="00E94B9C"/>
    <w:rsid w:val="00E95BB2"/>
    <w:rsid w:val="00E95D34"/>
    <w:rsid w:val="00E96412"/>
    <w:rsid w:val="00E96761"/>
    <w:rsid w:val="00E970B6"/>
    <w:rsid w:val="00E97F8B"/>
    <w:rsid w:val="00EA03DB"/>
    <w:rsid w:val="00EA0855"/>
    <w:rsid w:val="00EA0876"/>
    <w:rsid w:val="00EA123E"/>
    <w:rsid w:val="00EA1E19"/>
    <w:rsid w:val="00EA2AC1"/>
    <w:rsid w:val="00EA59E3"/>
    <w:rsid w:val="00EA604E"/>
    <w:rsid w:val="00EA6D13"/>
    <w:rsid w:val="00EA6EB3"/>
    <w:rsid w:val="00EA7266"/>
    <w:rsid w:val="00EB085B"/>
    <w:rsid w:val="00EB0B9C"/>
    <w:rsid w:val="00EB1A99"/>
    <w:rsid w:val="00EB1F4F"/>
    <w:rsid w:val="00EB2C33"/>
    <w:rsid w:val="00EB5637"/>
    <w:rsid w:val="00EB5BE1"/>
    <w:rsid w:val="00EB5EE3"/>
    <w:rsid w:val="00EB6EA7"/>
    <w:rsid w:val="00EB78C9"/>
    <w:rsid w:val="00EB7B6E"/>
    <w:rsid w:val="00EC007B"/>
    <w:rsid w:val="00EC0974"/>
    <w:rsid w:val="00EC2160"/>
    <w:rsid w:val="00EC24A6"/>
    <w:rsid w:val="00EC253C"/>
    <w:rsid w:val="00EC3FB3"/>
    <w:rsid w:val="00EC400F"/>
    <w:rsid w:val="00EC582E"/>
    <w:rsid w:val="00EC5A97"/>
    <w:rsid w:val="00EC5AD9"/>
    <w:rsid w:val="00EC5AE8"/>
    <w:rsid w:val="00EC6D40"/>
    <w:rsid w:val="00EC6D5D"/>
    <w:rsid w:val="00EC7242"/>
    <w:rsid w:val="00EC75C1"/>
    <w:rsid w:val="00ED1428"/>
    <w:rsid w:val="00ED1865"/>
    <w:rsid w:val="00ED273A"/>
    <w:rsid w:val="00ED2940"/>
    <w:rsid w:val="00ED421A"/>
    <w:rsid w:val="00ED46B7"/>
    <w:rsid w:val="00ED7DDC"/>
    <w:rsid w:val="00EE0007"/>
    <w:rsid w:val="00EE0214"/>
    <w:rsid w:val="00EE0A9A"/>
    <w:rsid w:val="00EE10B0"/>
    <w:rsid w:val="00EE1161"/>
    <w:rsid w:val="00EE2250"/>
    <w:rsid w:val="00EE26C2"/>
    <w:rsid w:val="00EE328D"/>
    <w:rsid w:val="00EE357C"/>
    <w:rsid w:val="00EE5B76"/>
    <w:rsid w:val="00EE7521"/>
    <w:rsid w:val="00EE7F53"/>
    <w:rsid w:val="00EF0062"/>
    <w:rsid w:val="00EF0090"/>
    <w:rsid w:val="00EF1E26"/>
    <w:rsid w:val="00EF20D1"/>
    <w:rsid w:val="00EF2706"/>
    <w:rsid w:val="00EF3C8A"/>
    <w:rsid w:val="00EF3D52"/>
    <w:rsid w:val="00EF40BA"/>
    <w:rsid w:val="00EF44A6"/>
    <w:rsid w:val="00EF4A50"/>
    <w:rsid w:val="00EF6045"/>
    <w:rsid w:val="00EF6911"/>
    <w:rsid w:val="00EF7A53"/>
    <w:rsid w:val="00EF7EF1"/>
    <w:rsid w:val="00F0049A"/>
    <w:rsid w:val="00F00B0E"/>
    <w:rsid w:val="00F00F0F"/>
    <w:rsid w:val="00F02820"/>
    <w:rsid w:val="00F04404"/>
    <w:rsid w:val="00F059A4"/>
    <w:rsid w:val="00F06503"/>
    <w:rsid w:val="00F06588"/>
    <w:rsid w:val="00F0660A"/>
    <w:rsid w:val="00F06D9D"/>
    <w:rsid w:val="00F118B5"/>
    <w:rsid w:val="00F11EAB"/>
    <w:rsid w:val="00F121C5"/>
    <w:rsid w:val="00F122D8"/>
    <w:rsid w:val="00F1295D"/>
    <w:rsid w:val="00F12BAD"/>
    <w:rsid w:val="00F12C20"/>
    <w:rsid w:val="00F13448"/>
    <w:rsid w:val="00F1374B"/>
    <w:rsid w:val="00F14924"/>
    <w:rsid w:val="00F1560C"/>
    <w:rsid w:val="00F15D74"/>
    <w:rsid w:val="00F164DD"/>
    <w:rsid w:val="00F21F00"/>
    <w:rsid w:val="00F22A25"/>
    <w:rsid w:val="00F22A31"/>
    <w:rsid w:val="00F22F63"/>
    <w:rsid w:val="00F22FF3"/>
    <w:rsid w:val="00F244F4"/>
    <w:rsid w:val="00F25B23"/>
    <w:rsid w:val="00F26500"/>
    <w:rsid w:val="00F26A10"/>
    <w:rsid w:val="00F26BE3"/>
    <w:rsid w:val="00F27067"/>
    <w:rsid w:val="00F30BC5"/>
    <w:rsid w:val="00F316C6"/>
    <w:rsid w:val="00F3294F"/>
    <w:rsid w:val="00F3389C"/>
    <w:rsid w:val="00F346C7"/>
    <w:rsid w:val="00F3565D"/>
    <w:rsid w:val="00F360B6"/>
    <w:rsid w:val="00F36D2B"/>
    <w:rsid w:val="00F36E14"/>
    <w:rsid w:val="00F377C0"/>
    <w:rsid w:val="00F406F6"/>
    <w:rsid w:val="00F420BB"/>
    <w:rsid w:val="00F421BE"/>
    <w:rsid w:val="00F4400B"/>
    <w:rsid w:val="00F44A00"/>
    <w:rsid w:val="00F44B20"/>
    <w:rsid w:val="00F44DDC"/>
    <w:rsid w:val="00F4636A"/>
    <w:rsid w:val="00F4790B"/>
    <w:rsid w:val="00F47BE5"/>
    <w:rsid w:val="00F50CD9"/>
    <w:rsid w:val="00F51623"/>
    <w:rsid w:val="00F52430"/>
    <w:rsid w:val="00F526B8"/>
    <w:rsid w:val="00F5276B"/>
    <w:rsid w:val="00F530C8"/>
    <w:rsid w:val="00F53B45"/>
    <w:rsid w:val="00F55198"/>
    <w:rsid w:val="00F56664"/>
    <w:rsid w:val="00F56A15"/>
    <w:rsid w:val="00F57102"/>
    <w:rsid w:val="00F573D5"/>
    <w:rsid w:val="00F5767D"/>
    <w:rsid w:val="00F6054B"/>
    <w:rsid w:val="00F60570"/>
    <w:rsid w:val="00F61262"/>
    <w:rsid w:val="00F62D82"/>
    <w:rsid w:val="00F646F6"/>
    <w:rsid w:val="00F64796"/>
    <w:rsid w:val="00F64A06"/>
    <w:rsid w:val="00F65557"/>
    <w:rsid w:val="00F663D0"/>
    <w:rsid w:val="00F679CA"/>
    <w:rsid w:val="00F701F4"/>
    <w:rsid w:val="00F712F9"/>
    <w:rsid w:val="00F7347B"/>
    <w:rsid w:val="00F73B69"/>
    <w:rsid w:val="00F73D05"/>
    <w:rsid w:val="00F73D2A"/>
    <w:rsid w:val="00F74053"/>
    <w:rsid w:val="00F74803"/>
    <w:rsid w:val="00F76326"/>
    <w:rsid w:val="00F76441"/>
    <w:rsid w:val="00F76A92"/>
    <w:rsid w:val="00F76B71"/>
    <w:rsid w:val="00F772F2"/>
    <w:rsid w:val="00F813CB"/>
    <w:rsid w:val="00F825E8"/>
    <w:rsid w:val="00F8277B"/>
    <w:rsid w:val="00F82D3C"/>
    <w:rsid w:val="00F837FA"/>
    <w:rsid w:val="00F85A03"/>
    <w:rsid w:val="00F865DE"/>
    <w:rsid w:val="00F872CC"/>
    <w:rsid w:val="00F87BA0"/>
    <w:rsid w:val="00F90DDD"/>
    <w:rsid w:val="00F912BE"/>
    <w:rsid w:val="00F9193F"/>
    <w:rsid w:val="00F920D6"/>
    <w:rsid w:val="00F922D4"/>
    <w:rsid w:val="00F92E45"/>
    <w:rsid w:val="00F93497"/>
    <w:rsid w:val="00F9483E"/>
    <w:rsid w:val="00F9613A"/>
    <w:rsid w:val="00F96E7F"/>
    <w:rsid w:val="00F971BD"/>
    <w:rsid w:val="00FA0264"/>
    <w:rsid w:val="00FA07E7"/>
    <w:rsid w:val="00FA0F09"/>
    <w:rsid w:val="00FA1B1F"/>
    <w:rsid w:val="00FA2F89"/>
    <w:rsid w:val="00FA3831"/>
    <w:rsid w:val="00FA435A"/>
    <w:rsid w:val="00FA5ABD"/>
    <w:rsid w:val="00FA5B3B"/>
    <w:rsid w:val="00FA5DCA"/>
    <w:rsid w:val="00FA68B2"/>
    <w:rsid w:val="00FA6B65"/>
    <w:rsid w:val="00FA773D"/>
    <w:rsid w:val="00FA7B46"/>
    <w:rsid w:val="00FB034F"/>
    <w:rsid w:val="00FB09FD"/>
    <w:rsid w:val="00FB1ACA"/>
    <w:rsid w:val="00FB1F23"/>
    <w:rsid w:val="00FB280D"/>
    <w:rsid w:val="00FB2B96"/>
    <w:rsid w:val="00FB3378"/>
    <w:rsid w:val="00FB3C29"/>
    <w:rsid w:val="00FB4659"/>
    <w:rsid w:val="00FB47FA"/>
    <w:rsid w:val="00FB6239"/>
    <w:rsid w:val="00FB7CC8"/>
    <w:rsid w:val="00FC33CC"/>
    <w:rsid w:val="00FC3C28"/>
    <w:rsid w:val="00FC4CF0"/>
    <w:rsid w:val="00FC50DB"/>
    <w:rsid w:val="00FC5B10"/>
    <w:rsid w:val="00FC5C88"/>
    <w:rsid w:val="00FC77F5"/>
    <w:rsid w:val="00FD065C"/>
    <w:rsid w:val="00FD0D63"/>
    <w:rsid w:val="00FD1A8D"/>
    <w:rsid w:val="00FD238C"/>
    <w:rsid w:val="00FD2CF6"/>
    <w:rsid w:val="00FD2F7F"/>
    <w:rsid w:val="00FD3BAC"/>
    <w:rsid w:val="00FD5CB8"/>
    <w:rsid w:val="00FD6777"/>
    <w:rsid w:val="00FE07CA"/>
    <w:rsid w:val="00FE0E25"/>
    <w:rsid w:val="00FE1561"/>
    <w:rsid w:val="00FE1AD0"/>
    <w:rsid w:val="00FE20FB"/>
    <w:rsid w:val="00FE3ED2"/>
    <w:rsid w:val="00FE420F"/>
    <w:rsid w:val="00FE427B"/>
    <w:rsid w:val="00FE4348"/>
    <w:rsid w:val="00FE518C"/>
    <w:rsid w:val="00FE5EE9"/>
    <w:rsid w:val="00FE61C1"/>
    <w:rsid w:val="00FE6B5F"/>
    <w:rsid w:val="00FE7BF2"/>
    <w:rsid w:val="00FF000A"/>
    <w:rsid w:val="00FF1FAF"/>
    <w:rsid w:val="00FF3062"/>
    <w:rsid w:val="00FF3375"/>
    <w:rsid w:val="00FF39F1"/>
    <w:rsid w:val="00FF539B"/>
    <w:rsid w:val="00FF54DD"/>
    <w:rsid w:val="00FF5F51"/>
    <w:rsid w:val="00FF680F"/>
    <w:rsid w:val="00FF6AB8"/>
    <w:rsid w:val="00FF6F83"/>
    <w:rsid w:val="00FF70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19DAC-EC71-4EDB-93F9-7593A3E4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6CA"/>
    <w:pPr>
      <w:spacing w:after="200" w:line="276" w:lineRule="auto"/>
    </w:pPr>
    <w:rPr>
      <w:sz w:val="22"/>
      <w:szCs w:val="22"/>
    </w:rPr>
  </w:style>
  <w:style w:type="paragraph" w:styleId="Heading1">
    <w:name w:val="heading 1"/>
    <w:basedOn w:val="Normal"/>
    <w:next w:val="Normal"/>
    <w:link w:val="Heading1Char"/>
    <w:uiPriority w:val="9"/>
    <w:qFormat/>
    <w:rsid w:val="00C776E9"/>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7A7FF4"/>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7A7FF4"/>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qFormat/>
    <w:rsid w:val="008801E1"/>
    <w:pPr>
      <w:keepNext/>
      <w:keepLines/>
      <w:bidi/>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7B109B"/>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nhideWhenUsed/>
    <w:qFormat/>
    <w:rsid w:val="007B109B"/>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nhideWhenUsed/>
    <w:qFormat/>
    <w:rsid w:val="00B4571F"/>
    <w:pPr>
      <w:keepNext/>
      <w:keepLines/>
      <w:spacing w:before="200" w:after="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5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757F"/>
    <w:rPr>
      <w:rFonts w:ascii="Tahoma" w:hAnsi="Tahoma" w:cs="Tahoma"/>
      <w:sz w:val="16"/>
      <w:szCs w:val="16"/>
    </w:rPr>
  </w:style>
  <w:style w:type="paragraph" w:customStyle="1" w:styleId="xl69">
    <w:name w:val="xl69"/>
    <w:basedOn w:val="Normal"/>
    <w:rsid w:val="004F7818"/>
    <w:pPr>
      <w:spacing w:before="100" w:beforeAutospacing="1" w:after="100" w:afterAutospacing="1" w:line="240" w:lineRule="auto"/>
      <w:jc w:val="center"/>
      <w:textAlignment w:val="center"/>
    </w:pPr>
    <w:rPr>
      <w:rFonts w:ascii="Times New Roman" w:eastAsia="Times New Roman" w:hAnsi="Times New Roman" w:cs="Simplified Arabic" w:hint="cs"/>
      <w:b/>
      <w:bCs/>
    </w:rPr>
  </w:style>
  <w:style w:type="paragraph" w:styleId="FootnoteText">
    <w:name w:val="footnote text"/>
    <w:basedOn w:val="Normal"/>
    <w:link w:val="FootnoteTextChar"/>
    <w:unhideWhenUsed/>
    <w:rsid w:val="00111D6A"/>
    <w:pPr>
      <w:spacing w:after="0" w:line="240" w:lineRule="auto"/>
    </w:pPr>
    <w:rPr>
      <w:sz w:val="20"/>
      <w:szCs w:val="20"/>
    </w:rPr>
  </w:style>
  <w:style w:type="character" w:customStyle="1" w:styleId="FootnoteTextChar">
    <w:name w:val="Footnote Text Char"/>
    <w:link w:val="FootnoteText"/>
    <w:rsid w:val="00111D6A"/>
    <w:rPr>
      <w:sz w:val="20"/>
      <w:szCs w:val="20"/>
    </w:rPr>
  </w:style>
  <w:style w:type="character" w:styleId="FootnoteReference">
    <w:name w:val="footnote reference"/>
    <w:semiHidden/>
    <w:unhideWhenUsed/>
    <w:rsid w:val="00111D6A"/>
    <w:rPr>
      <w:vertAlign w:val="superscript"/>
    </w:rPr>
  </w:style>
  <w:style w:type="table" w:styleId="TableGrid">
    <w:name w:val="Table Grid"/>
    <w:basedOn w:val="TableNormal"/>
    <w:uiPriority w:val="59"/>
    <w:rsid w:val="0070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rsid w:val="00F9483E"/>
    <w:pPr>
      <w:jc w:val="lowKashida"/>
    </w:pPr>
    <w:rPr>
      <w:rFonts w:ascii="Times New Roman" w:hAnsi="Times New Roman" w:cs="Times New Roman"/>
      <w:sz w:val="24"/>
      <w:szCs w:val="24"/>
      <w:lang w:eastAsia="ar-SA"/>
    </w:rPr>
  </w:style>
  <w:style w:type="character" w:customStyle="1" w:styleId="BodyText3Char">
    <w:name w:val="Body Text 3 Char"/>
    <w:link w:val="BodyText3"/>
    <w:semiHidden/>
    <w:rsid w:val="00F9483E"/>
    <w:rPr>
      <w:rFonts w:ascii="Times New Roman" w:eastAsia="Calibri" w:hAnsi="Times New Roman" w:cs="Times New Roman"/>
      <w:sz w:val="24"/>
      <w:szCs w:val="24"/>
      <w:lang w:eastAsia="ar-SA"/>
    </w:rPr>
  </w:style>
  <w:style w:type="character" w:customStyle="1" w:styleId="Heading4Char">
    <w:name w:val="Heading 4 Char"/>
    <w:link w:val="Heading4"/>
    <w:rsid w:val="008801E1"/>
    <w:rPr>
      <w:rFonts w:ascii="Cambria" w:eastAsia="Times New Roman" w:hAnsi="Cambria" w:cs="Times New Roman"/>
      <w:b/>
      <w:bCs/>
      <w:i/>
      <w:iCs/>
      <w:color w:val="4F81BD"/>
    </w:rPr>
  </w:style>
  <w:style w:type="paragraph" w:styleId="Header">
    <w:name w:val="header"/>
    <w:basedOn w:val="Normal"/>
    <w:link w:val="HeaderChar"/>
    <w:uiPriority w:val="99"/>
    <w:unhideWhenUsed/>
    <w:rsid w:val="009D78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78AB"/>
  </w:style>
  <w:style w:type="paragraph" w:styleId="Footer">
    <w:name w:val="footer"/>
    <w:basedOn w:val="Normal"/>
    <w:link w:val="FooterChar"/>
    <w:uiPriority w:val="99"/>
    <w:unhideWhenUsed/>
    <w:rsid w:val="009D78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78AB"/>
  </w:style>
  <w:style w:type="character" w:customStyle="1" w:styleId="Heading2Char">
    <w:name w:val="Heading 2 Char"/>
    <w:link w:val="Heading2"/>
    <w:uiPriority w:val="9"/>
    <w:semiHidden/>
    <w:rsid w:val="007A7FF4"/>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7A7FF4"/>
    <w:rPr>
      <w:rFonts w:ascii="Cambria" w:eastAsia="Times New Roman" w:hAnsi="Cambria" w:cs="Times New Roman"/>
      <w:b/>
      <w:bCs/>
      <w:color w:val="4F81BD"/>
    </w:rPr>
  </w:style>
  <w:style w:type="paragraph" w:styleId="NormalWeb">
    <w:name w:val="Normal (Web)"/>
    <w:basedOn w:val="Normal"/>
    <w:unhideWhenUsed/>
    <w:rsid w:val="007A7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link w:val="Heading7"/>
    <w:rsid w:val="00B4571F"/>
    <w:rPr>
      <w:rFonts w:ascii="Cambria" w:eastAsia="Times New Roman" w:hAnsi="Cambria" w:cs="Times New Roman"/>
      <w:i/>
      <w:iCs/>
      <w:color w:val="404040"/>
    </w:rPr>
  </w:style>
  <w:style w:type="character" w:customStyle="1" w:styleId="hps">
    <w:name w:val="hps"/>
    <w:basedOn w:val="DefaultParagraphFont"/>
    <w:rsid w:val="00B4571F"/>
  </w:style>
  <w:style w:type="character" w:styleId="CommentReference">
    <w:name w:val="annotation reference"/>
    <w:uiPriority w:val="99"/>
    <w:semiHidden/>
    <w:unhideWhenUsed/>
    <w:rsid w:val="00626241"/>
    <w:rPr>
      <w:sz w:val="16"/>
      <w:szCs w:val="16"/>
    </w:rPr>
  </w:style>
  <w:style w:type="paragraph" w:styleId="CommentText">
    <w:name w:val="annotation text"/>
    <w:basedOn w:val="Normal"/>
    <w:link w:val="CommentTextChar"/>
    <w:uiPriority w:val="99"/>
    <w:semiHidden/>
    <w:unhideWhenUsed/>
    <w:rsid w:val="00626241"/>
    <w:pPr>
      <w:spacing w:line="240" w:lineRule="auto"/>
    </w:pPr>
    <w:rPr>
      <w:sz w:val="20"/>
      <w:szCs w:val="20"/>
    </w:rPr>
  </w:style>
  <w:style w:type="character" w:customStyle="1" w:styleId="CommentTextChar">
    <w:name w:val="Comment Text Char"/>
    <w:link w:val="CommentText"/>
    <w:uiPriority w:val="99"/>
    <w:semiHidden/>
    <w:rsid w:val="00626241"/>
    <w:rPr>
      <w:sz w:val="20"/>
      <w:szCs w:val="20"/>
    </w:rPr>
  </w:style>
  <w:style w:type="paragraph" w:styleId="CommentSubject">
    <w:name w:val="annotation subject"/>
    <w:basedOn w:val="CommentText"/>
    <w:next w:val="CommentText"/>
    <w:link w:val="CommentSubjectChar"/>
    <w:uiPriority w:val="99"/>
    <w:semiHidden/>
    <w:unhideWhenUsed/>
    <w:rsid w:val="00626241"/>
    <w:rPr>
      <w:b/>
      <w:bCs/>
    </w:rPr>
  </w:style>
  <w:style w:type="character" w:customStyle="1" w:styleId="CommentSubjectChar">
    <w:name w:val="Comment Subject Char"/>
    <w:link w:val="CommentSubject"/>
    <w:uiPriority w:val="99"/>
    <w:semiHidden/>
    <w:rsid w:val="00626241"/>
    <w:rPr>
      <w:b/>
      <w:bCs/>
      <w:sz w:val="20"/>
      <w:szCs w:val="20"/>
    </w:rPr>
  </w:style>
  <w:style w:type="paragraph" w:styleId="Revision">
    <w:name w:val="Revision"/>
    <w:hidden/>
    <w:uiPriority w:val="99"/>
    <w:semiHidden/>
    <w:rsid w:val="003F0BD5"/>
    <w:rPr>
      <w:sz w:val="22"/>
      <w:szCs w:val="22"/>
    </w:rPr>
  </w:style>
  <w:style w:type="character" w:customStyle="1" w:styleId="Heading5Char">
    <w:name w:val="Heading 5 Char"/>
    <w:link w:val="Heading5"/>
    <w:uiPriority w:val="9"/>
    <w:semiHidden/>
    <w:rsid w:val="007B109B"/>
    <w:rPr>
      <w:rFonts w:ascii="Cambria" w:eastAsia="Times New Roman" w:hAnsi="Cambria" w:cs="Times New Roman"/>
      <w:color w:val="243F60"/>
    </w:rPr>
  </w:style>
  <w:style w:type="character" w:customStyle="1" w:styleId="Heading6Char">
    <w:name w:val="Heading 6 Char"/>
    <w:link w:val="Heading6"/>
    <w:uiPriority w:val="9"/>
    <w:semiHidden/>
    <w:rsid w:val="007B109B"/>
    <w:rPr>
      <w:rFonts w:ascii="Cambria" w:eastAsia="Times New Roman" w:hAnsi="Cambria" w:cs="Times New Roman"/>
      <w:i/>
      <w:iCs/>
      <w:color w:val="243F60"/>
    </w:rPr>
  </w:style>
  <w:style w:type="paragraph" w:styleId="BodyText2">
    <w:name w:val="Body Text 2"/>
    <w:basedOn w:val="Normal"/>
    <w:link w:val="BodyText2Char"/>
    <w:semiHidden/>
    <w:unhideWhenUsed/>
    <w:rsid w:val="007B109B"/>
    <w:pPr>
      <w:spacing w:after="120" w:line="480" w:lineRule="auto"/>
    </w:pPr>
  </w:style>
  <w:style w:type="character" w:customStyle="1" w:styleId="BodyText2Char">
    <w:name w:val="Body Text 2 Char"/>
    <w:basedOn w:val="DefaultParagraphFont"/>
    <w:link w:val="BodyText2"/>
    <w:semiHidden/>
    <w:rsid w:val="007B109B"/>
  </w:style>
  <w:style w:type="paragraph" w:styleId="Title">
    <w:name w:val="Title"/>
    <w:basedOn w:val="Normal"/>
    <w:link w:val="TitleChar"/>
    <w:qFormat/>
    <w:rsid w:val="007B109B"/>
    <w:pPr>
      <w:bidi/>
      <w:spacing w:after="0" w:line="240" w:lineRule="auto"/>
      <w:jc w:val="center"/>
    </w:pPr>
    <w:rPr>
      <w:rFonts w:ascii="Times New Roman" w:eastAsia="Times New Roman" w:hAnsi="Times New Roman" w:cs="Simplified Arabic"/>
      <w:b/>
      <w:bCs/>
      <w:sz w:val="24"/>
      <w:szCs w:val="24"/>
    </w:rPr>
  </w:style>
  <w:style w:type="character" w:customStyle="1" w:styleId="TitleChar">
    <w:name w:val="Title Char"/>
    <w:link w:val="Title"/>
    <w:rsid w:val="007B109B"/>
    <w:rPr>
      <w:rFonts w:ascii="Times New Roman" w:eastAsia="Times New Roman" w:hAnsi="Times New Roman" w:cs="Simplified Arabic"/>
      <w:b/>
      <w:bCs/>
      <w:sz w:val="24"/>
      <w:szCs w:val="24"/>
    </w:rPr>
  </w:style>
  <w:style w:type="character" w:styleId="Hyperlink">
    <w:name w:val="Hyperlink"/>
    <w:semiHidden/>
    <w:rsid w:val="007B109B"/>
    <w:rPr>
      <w:color w:val="0000FF"/>
      <w:u w:val="single"/>
    </w:rPr>
  </w:style>
  <w:style w:type="paragraph" w:styleId="BodyText">
    <w:name w:val="Body Text"/>
    <w:basedOn w:val="Normal"/>
    <w:link w:val="BodyTextChar"/>
    <w:semiHidden/>
    <w:unhideWhenUsed/>
    <w:rsid w:val="007B109B"/>
    <w:pPr>
      <w:bidi/>
      <w:spacing w:after="120"/>
    </w:pPr>
  </w:style>
  <w:style w:type="character" w:customStyle="1" w:styleId="BodyTextChar">
    <w:name w:val="Body Text Char"/>
    <w:link w:val="BodyText"/>
    <w:semiHidden/>
    <w:rsid w:val="007B109B"/>
    <w:rPr>
      <w:rFonts w:ascii="Calibri" w:eastAsia="Calibri" w:hAnsi="Calibri" w:cs="Arial"/>
    </w:rPr>
  </w:style>
  <w:style w:type="character" w:customStyle="1" w:styleId="Heading1Char">
    <w:name w:val="Heading 1 Char"/>
    <w:link w:val="Heading1"/>
    <w:uiPriority w:val="9"/>
    <w:rsid w:val="00C776E9"/>
    <w:rPr>
      <w:rFonts w:ascii="Cambria" w:eastAsia="Times New Roman" w:hAnsi="Cambria" w:cs="Times New Roman"/>
      <w:b/>
      <w:bCs/>
      <w:color w:val="365F91"/>
      <w:sz w:val="28"/>
      <w:szCs w:val="28"/>
    </w:rPr>
  </w:style>
  <w:style w:type="paragraph" w:styleId="ListParagraph">
    <w:name w:val="List Paragraph"/>
    <w:basedOn w:val="Normal"/>
    <w:uiPriority w:val="34"/>
    <w:qFormat/>
    <w:rsid w:val="00CC7A0B"/>
    <w:pPr>
      <w:ind w:left="720"/>
      <w:contextualSpacing/>
    </w:pPr>
  </w:style>
  <w:style w:type="character" w:customStyle="1" w:styleId="shorttext">
    <w:name w:val="short_text"/>
    <w:basedOn w:val="DefaultParagraphFont"/>
    <w:rsid w:val="008A7BF2"/>
  </w:style>
  <w:style w:type="paragraph" w:styleId="HTMLPreformatted">
    <w:name w:val="HTML Preformatted"/>
    <w:basedOn w:val="Normal"/>
    <w:link w:val="HTMLPreformattedChar"/>
    <w:uiPriority w:val="99"/>
    <w:semiHidden/>
    <w:unhideWhenUsed/>
    <w:rsid w:val="0092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92408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6985">
      <w:bodyDiv w:val="1"/>
      <w:marLeft w:val="0"/>
      <w:marRight w:val="0"/>
      <w:marTop w:val="0"/>
      <w:marBottom w:val="0"/>
      <w:divBdr>
        <w:top w:val="none" w:sz="0" w:space="0" w:color="auto"/>
        <w:left w:val="none" w:sz="0" w:space="0" w:color="auto"/>
        <w:bottom w:val="none" w:sz="0" w:space="0" w:color="auto"/>
        <w:right w:val="none" w:sz="0" w:space="0" w:color="auto"/>
      </w:divBdr>
    </w:div>
    <w:div w:id="826942280">
      <w:bodyDiv w:val="1"/>
      <w:marLeft w:val="0"/>
      <w:marRight w:val="0"/>
      <w:marTop w:val="0"/>
      <w:marBottom w:val="0"/>
      <w:divBdr>
        <w:top w:val="none" w:sz="0" w:space="0" w:color="auto"/>
        <w:left w:val="none" w:sz="0" w:space="0" w:color="auto"/>
        <w:bottom w:val="none" w:sz="0" w:space="0" w:color="auto"/>
        <w:right w:val="none" w:sz="0" w:space="0" w:color="auto"/>
      </w:divBdr>
    </w:div>
    <w:div w:id="932013580">
      <w:bodyDiv w:val="1"/>
      <w:marLeft w:val="0"/>
      <w:marRight w:val="0"/>
      <w:marTop w:val="0"/>
      <w:marBottom w:val="0"/>
      <w:divBdr>
        <w:top w:val="none" w:sz="0" w:space="0" w:color="auto"/>
        <w:left w:val="none" w:sz="0" w:space="0" w:color="auto"/>
        <w:bottom w:val="none" w:sz="0" w:space="0" w:color="auto"/>
        <w:right w:val="none" w:sz="0" w:space="0" w:color="auto"/>
      </w:divBdr>
    </w:div>
    <w:div w:id="979648411">
      <w:bodyDiv w:val="1"/>
      <w:marLeft w:val="0"/>
      <w:marRight w:val="0"/>
      <w:marTop w:val="0"/>
      <w:marBottom w:val="0"/>
      <w:divBdr>
        <w:top w:val="none" w:sz="0" w:space="0" w:color="auto"/>
        <w:left w:val="none" w:sz="0" w:space="0" w:color="auto"/>
        <w:bottom w:val="none" w:sz="0" w:space="0" w:color="auto"/>
        <w:right w:val="none" w:sz="0" w:space="0" w:color="auto"/>
      </w:divBdr>
    </w:div>
    <w:div w:id="1110049207">
      <w:bodyDiv w:val="1"/>
      <w:marLeft w:val="0"/>
      <w:marRight w:val="0"/>
      <w:marTop w:val="0"/>
      <w:marBottom w:val="0"/>
      <w:divBdr>
        <w:top w:val="none" w:sz="0" w:space="0" w:color="auto"/>
        <w:left w:val="none" w:sz="0" w:space="0" w:color="auto"/>
        <w:bottom w:val="none" w:sz="0" w:space="0" w:color="auto"/>
        <w:right w:val="none" w:sz="0" w:space="0" w:color="auto"/>
      </w:divBdr>
      <w:divsChild>
        <w:div w:id="1066104111">
          <w:marLeft w:val="0"/>
          <w:marRight w:val="0"/>
          <w:marTop w:val="0"/>
          <w:marBottom w:val="0"/>
          <w:divBdr>
            <w:top w:val="none" w:sz="0" w:space="0" w:color="auto"/>
            <w:left w:val="none" w:sz="0" w:space="0" w:color="auto"/>
            <w:bottom w:val="none" w:sz="0" w:space="0" w:color="auto"/>
            <w:right w:val="none" w:sz="0" w:space="0" w:color="auto"/>
          </w:divBdr>
          <w:divsChild>
            <w:div w:id="1897281161">
              <w:marLeft w:val="0"/>
              <w:marRight w:val="0"/>
              <w:marTop w:val="0"/>
              <w:marBottom w:val="0"/>
              <w:divBdr>
                <w:top w:val="none" w:sz="0" w:space="0" w:color="auto"/>
                <w:left w:val="none" w:sz="0" w:space="0" w:color="auto"/>
                <w:bottom w:val="none" w:sz="0" w:space="0" w:color="auto"/>
                <w:right w:val="none" w:sz="0" w:space="0" w:color="auto"/>
              </w:divBdr>
              <w:divsChild>
                <w:div w:id="1614285307">
                  <w:marLeft w:val="0"/>
                  <w:marRight w:val="0"/>
                  <w:marTop w:val="0"/>
                  <w:marBottom w:val="0"/>
                  <w:divBdr>
                    <w:top w:val="none" w:sz="0" w:space="0" w:color="auto"/>
                    <w:left w:val="none" w:sz="0" w:space="0" w:color="auto"/>
                    <w:bottom w:val="none" w:sz="0" w:space="0" w:color="auto"/>
                    <w:right w:val="none" w:sz="0" w:space="0" w:color="auto"/>
                  </w:divBdr>
                  <w:divsChild>
                    <w:div w:id="1420636596">
                      <w:marLeft w:val="0"/>
                      <w:marRight w:val="0"/>
                      <w:marTop w:val="0"/>
                      <w:marBottom w:val="0"/>
                      <w:divBdr>
                        <w:top w:val="none" w:sz="0" w:space="0" w:color="auto"/>
                        <w:left w:val="none" w:sz="0" w:space="0" w:color="auto"/>
                        <w:bottom w:val="none" w:sz="0" w:space="0" w:color="auto"/>
                        <w:right w:val="none" w:sz="0" w:space="0" w:color="auto"/>
                      </w:divBdr>
                      <w:divsChild>
                        <w:div w:id="2030715240">
                          <w:marLeft w:val="0"/>
                          <w:marRight w:val="0"/>
                          <w:marTop w:val="0"/>
                          <w:marBottom w:val="0"/>
                          <w:divBdr>
                            <w:top w:val="none" w:sz="0" w:space="0" w:color="auto"/>
                            <w:left w:val="none" w:sz="0" w:space="0" w:color="auto"/>
                            <w:bottom w:val="none" w:sz="0" w:space="0" w:color="auto"/>
                            <w:right w:val="none" w:sz="0" w:space="0" w:color="auto"/>
                          </w:divBdr>
                          <w:divsChild>
                            <w:div w:id="2008440311">
                              <w:marLeft w:val="0"/>
                              <w:marRight w:val="0"/>
                              <w:marTop w:val="0"/>
                              <w:marBottom w:val="0"/>
                              <w:divBdr>
                                <w:top w:val="none" w:sz="0" w:space="0" w:color="auto"/>
                                <w:left w:val="none" w:sz="0" w:space="0" w:color="auto"/>
                                <w:bottom w:val="none" w:sz="0" w:space="0" w:color="auto"/>
                                <w:right w:val="none" w:sz="0" w:space="0" w:color="auto"/>
                              </w:divBdr>
                              <w:divsChild>
                                <w:div w:id="1916167161">
                                  <w:marLeft w:val="0"/>
                                  <w:marRight w:val="0"/>
                                  <w:marTop w:val="0"/>
                                  <w:marBottom w:val="0"/>
                                  <w:divBdr>
                                    <w:top w:val="none" w:sz="0" w:space="0" w:color="auto"/>
                                    <w:left w:val="none" w:sz="0" w:space="0" w:color="auto"/>
                                    <w:bottom w:val="none" w:sz="0" w:space="0" w:color="auto"/>
                                    <w:right w:val="none" w:sz="0" w:space="0" w:color="auto"/>
                                  </w:divBdr>
                                  <w:divsChild>
                                    <w:div w:id="358626384">
                                      <w:marLeft w:val="60"/>
                                      <w:marRight w:val="0"/>
                                      <w:marTop w:val="0"/>
                                      <w:marBottom w:val="0"/>
                                      <w:divBdr>
                                        <w:top w:val="none" w:sz="0" w:space="0" w:color="auto"/>
                                        <w:left w:val="none" w:sz="0" w:space="0" w:color="auto"/>
                                        <w:bottom w:val="none" w:sz="0" w:space="0" w:color="auto"/>
                                        <w:right w:val="none" w:sz="0" w:space="0" w:color="auto"/>
                                      </w:divBdr>
                                      <w:divsChild>
                                        <w:div w:id="2001880483">
                                          <w:marLeft w:val="0"/>
                                          <w:marRight w:val="0"/>
                                          <w:marTop w:val="0"/>
                                          <w:marBottom w:val="0"/>
                                          <w:divBdr>
                                            <w:top w:val="none" w:sz="0" w:space="0" w:color="auto"/>
                                            <w:left w:val="none" w:sz="0" w:space="0" w:color="auto"/>
                                            <w:bottom w:val="none" w:sz="0" w:space="0" w:color="auto"/>
                                            <w:right w:val="none" w:sz="0" w:space="0" w:color="auto"/>
                                          </w:divBdr>
                                          <w:divsChild>
                                            <w:div w:id="1330058972">
                                              <w:marLeft w:val="0"/>
                                              <w:marRight w:val="0"/>
                                              <w:marTop w:val="0"/>
                                              <w:marBottom w:val="120"/>
                                              <w:divBdr>
                                                <w:top w:val="single" w:sz="6" w:space="0" w:color="F5F5F5"/>
                                                <w:left w:val="single" w:sz="6" w:space="0" w:color="F5F5F5"/>
                                                <w:bottom w:val="single" w:sz="6" w:space="0" w:color="F5F5F5"/>
                                                <w:right w:val="single" w:sz="6" w:space="0" w:color="F5F5F5"/>
                                              </w:divBdr>
                                              <w:divsChild>
                                                <w:div w:id="1147893904">
                                                  <w:marLeft w:val="0"/>
                                                  <w:marRight w:val="0"/>
                                                  <w:marTop w:val="0"/>
                                                  <w:marBottom w:val="0"/>
                                                  <w:divBdr>
                                                    <w:top w:val="none" w:sz="0" w:space="0" w:color="auto"/>
                                                    <w:left w:val="none" w:sz="0" w:space="0" w:color="auto"/>
                                                    <w:bottom w:val="none" w:sz="0" w:space="0" w:color="auto"/>
                                                    <w:right w:val="none" w:sz="0" w:space="0" w:color="auto"/>
                                                  </w:divBdr>
                                                  <w:divsChild>
                                                    <w:div w:id="16519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034479">
      <w:bodyDiv w:val="1"/>
      <w:marLeft w:val="0"/>
      <w:marRight w:val="0"/>
      <w:marTop w:val="0"/>
      <w:marBottom w:val="0"/>
      <w:divBdr>
        <w:top w:val="none" w:sz="0" w:space="0" w:color="auto"/>
        <w:left w:val="none" w:sz="0" w:space="0" w:color="auto"/>
        <w:bottom w:val="none" w:sz="0" w:space="0" w:color="auto"/>
        <w:right w:val="none" w:sz="0" w:space="0" w:color="auto"/>
      </w:divBdr>
    </w:div>
    <w:div w:id="1250115120">
      <w:bodyDiv w:val="1"/>
      <w:marLeft w:val="0"/>
      <w:marRight w:val="0"/>
      <w:marTop w:val="0"/>
      <w:marBottom w:val="0"/>
      <w:divBdr>
        <w:top w:val="none" w:sz="0" w:space="0" w:color="auto"/>
        <w:left w:val="none" w:sz="0" w:space="0" w:color="auto"/>
        <w:bottom w:val="none" w:sz="0" w:space="0" w:color="auto"/>
        <w:right w:val="none" w:sz="0" w:space="0" w:color="auto"/>
      </w:divBdr>
      <w:divsChild>
        <w:div w:id="1828938487">
          <w:marLeft w:val="0"/>
          <w:marRight w:val="0"/>
          <w:marTop w:val="0"/>
          <w:marBottom w:val="0"/>
          <w:divBdr>
            <w:top w:val="none" w:sz="0" w:space="0" w:color="auto"/>
            <w:left w:val="none" w:sz="0" w:space="0" w:color="auto"/>
            <w:bottom w:val="none" w:sz="0" w:space="0" w:color="auto"/>
            <w:right w:val="none" w:sz="0" w:space="0" w:color="auto"/>
          </w:divBdr>
          <w:divsChild>
            <w:div w:id="1825925113">
              <w:marLeft w:val="0"/>
              <w:marRight w:val="0"/>
              <w:marTop w:val="0"/>
              <w:marBottom w:val="0"/>
              <w:divBdr>
                <w:top w:val="none" w:sz="0" w:space="0" w:color="auto"/>
                <w:left w:val="none" w:sz="0" w:space="0" w:color="auto"/>
                <w:bottom w:val="none" w:sz="0" w:space="0" w:color="auto"/>
                <w:right w:val="none" w:sz="0" w:space="0" w:color="auto"/>
              </w:divBdr>
              <w:divsChild>
                <w:div w:id="1049916020">
                  <w:marLeft w:val="0"/>
                  <w:marRight w:val="0"/>
                  <w:marTop w:val="0"/>
                  <w:marBottom w:val="0"/>
                  <w:divBdr>
                    <w:top w:val="none" w:sz="0" w:space="0" w:color="auto"/>
                    <w:left w:val="none" w:sz="0" w:space="0" w:color="auto"/>
                    <w:bottom w:val="none" w:sz="0" w:space="0" w:color="auto"/>
                    <w:right w:val="none" w:sz="0" w:space="0" w:color="auto"/>
                  </w:divBdr>
                  <w:divsChild>
                    <w:div w:id="1185484562">
                      <w:marLeft w:val="0"/>
                      <w:marRight w:val="0"/>
                      <w:marTop w:val="0"/>
                      <w:marBottom w:val="0"/>
                      <w:divBdr>
                        <w:top w:val="none" w:sz="0" w:space="0" w:color="auto"/>
                        <w:left w:val="none" w:sz="0" w:space="0" w:color="auto"/>
                        <w:bottom w:val="none" w:sz="0" w:space="0" w:color="auto"/>
                        <w:right w:val="none" w:sz="0" w:space="0" w:color="auto"/>
                      </w:divBdr>
                      <w:divsChild>
                        <w:div w:id="1016813899">
                          <w:marLeft w:val="0"/>
                          <w:marRight w:val="0"/>
                          <w:marTop w:val="0"/>
                          <w:marBottom w:val="0"/>
                          <w:divBdr>
                            <w:top w:val="none" w:sz="0" w:space="0" w:color="auto"/>
                            <w:left w:val="none" w:sz="0" w:space="0" w:color="auto"/>
                            <w:bottom w:val="none" w:sz="0" w:space="0" w:color="auto"/>
                            <w:right w:val="none" w:sz="0" w:space="0" w:color="auto"/>
                          </w:divBdr>
                          <w:divsChild>
                            <w:div w:id="1267272272">
                              <w:marLeft w:val="0"/>
                              <w:marRight w:val="0"/>
                              <w:marTop w:val="0"/>
                              <w:marBottom w:val="0"/>
                              <w:divBdr>
                                <w:top w:val="none" w:sz="0" w:space="0" w:color="auto"/>
                                <w:left w:val="none" w:sz="0" w:space="0" w:color="auto"/>
                                <w:bottom w:val="none" w:sz="0" w:space="0" w:color="auto"/>
                                <w:right w:val="none" w:sz="0" w:space="0" w:color="auto"/>
                              </w:divBdr>
                              <w:divsChild>
                                <w:div w:id="1859924107">
                                  <w:marLeft w:val="0"/>
                                  <w:marRight w:val="0"/>
                                  <w:marTop w:val="0"/>
                                  <w:marBottom w:val="0"/>
                                  <w:divBdr>
                                    <w:top w:val="none" w:sz="0" w:space="0" w:color="auto"/>
                                    <w:left w:val="none" w:sz="0" w:space="0" w:color="auto"/>
                                    <w:bottom w:val="none" w:sz="0" w:space="0" w:color="auto"/>
                                    <w:right w:val="none" w:sz="0" w:space="0" w:color="auto"/>
                                  </w:divBdr>
                                  <w:divsChild>
                                    <w:div w:id="319165050">
                                      <w:marLeft w:val="0"/>
                                      <w:marRight w:val="0"/>
                                      <w:marTop w:val="0"/>
                                      <w:marBottom w:val="0"/>
                                      <w:divBdr>
                                        <w:top w:val="single" w:sz="6" w:space="0" w:color="F5F5F5"/>
                                        <w:left w:val="single" w:sz="6" w:space="0" w:color="F5F5F5"/>
                                        <w:bottom w:val="single" w:sz="6" w:space="0" w:color="F5F5F5"/>
                                        <w:right w:val="single" w:sz="6" w:space="0" w:color="F5F5F5"/>
                                      </w:divBdr>
                                      <w:divsChild>
                                        <w:div w:id="1085495676">
                                          <w:marLeft w:val="0"/>
                                          <w:marRight w:val="0"/>
                                          <w:marTop w:val="0"/>
                                          <w:marBottom w:val="0"/>
                                          <w:divBdr>
                                            <w:top w:val="none" w:sz="0" w:space="0" w:color="auto"/>
                                            <w:left w:val="none" w:sz="0" w:space="0" w:color="auto"/>
                                            <w:bottom w:val="none" w:sz="0" w:space="0" w:color="auto"/>
                                            <w:right w:val="none" w:sz="0" w:space="0" w:color="auto"/>
                                          </w:divBdr>
                                          <w:divsChild>
                                            <w:div w:id="10702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995382">
      <w:bodyDiv w:val="1"/>
      <w:marLeft w:val="0"/>
      <w:marRight w:val="0"/>
      <w:marTop w:val="0"/>
      <w:marBottom w:val="0"/>
      <w:divBdr>
        <w:top w:val="none" w:sz="0" w:space="0" w:color="auto"/>
        <w:left w:val="none" w:sz="0" w:space="0" w:color="auto"/>
        <w:bottom w:val="none" w:sz="0" w:space="0" w:color="auto"/>
        <w:right w:val="none" w:sz="0" w:space="0" w:color="auto"/>
      </w:divBdr>
    </w:div>
    <w:div w:id="1496921008">
      <w:bodyDiv w:val="1"/>
      <w:marLeft w:val="0"/>
      <w:marRight w:val="0"/>
      <w:marTop w:val="0"/>
      <w:marBottom w:val="0"/>
      <w:divBdr>
        <w:top w:val="none" w:sz="0" w:space="0" w:color="auto"/>
        <w:left w:val="none" w:sz="0" w:space="0" w:color="auto"/>
        <w:bottom w:val="none" w:sz="0" w:space="0" w:color="auto"/>
        <w:right w:val="none" w:sz="0" w:space="0" w:color="auto"/>
      </w:divBdr>
    </w:div>
    <w:div w:id="1514417342">
      <w:bodyDiv w:val="1"/>
      <w:marLeft w:val="0"/>
      <w:marRight w:val="0"/>
      <w:marTop w:val="0"/>
      <w:marBottom w:val="0"/>
      <w:divBdr>
        <w:top w:val="none" w:sz="0" w:space="0" w:color="auto"/>
        <w:left w:val="none" w:sz="0" w:space="0" w:color="auto"/>
        <w:bottom w:val="none" w:sz="0" w:space="0" w:color="auto"/>
        <w:right w:val="none" w:sz="0" w:space="0" w:color="auto"/>
      </w:divBdr>
    </w:div>
    <w:div w:id="1643577481">
      <w:bodyDiv w:val="1"/>
      <w:marLeft w:val="0"/>
      <w:marRight w:val="0"/>
      <w:marTop w:val="0"/>
      <w:marBottom w:val="0"/>
      <w:divBdr>
        <w:top w:val="none" w:sz="0" w:space="0" w:color="auto"/>
        <w:left w:val="none" w:sz="0" w:space="0" w:color="auto"/>
        <w:bottom w:val="none" w:sz="0" w:space="0" w:color="auto"/>
        <w:right w:val="none" w:sz="0" w:space="0" w:color="auto"/>
      </w:divBdr>
    </w:div>
    <w:div w:id="1814516015">
      <w:bodyDiv w:val="1"/>
      <w:marLeft w:val="0"/>
      <w:marRight w:val="0"/>
      <w:marTop w:val="0"/>
      <w:marBottom w:val="0"/>
      <w:divBdr>
        <w:top w:val="none" w:sz="0" w:space="0" w:color="auto"/>
        <w:left w:val="none" w:sz="0" w:space="0" w:color="auto"/>
        <w:bottom w:val="none" w:sz="0" w:space="0" w:color="auto"/>
        <w:right w:val="none" w:sz="0" w:space="0" w:color="auto"/>
      </w:divBdr>
    </w:div>
    <w:div w:id="1824731996">
      <w:bodyDiv w:val="1"/>
      <w:marLeft w:val="0"/>
      <w:marRight w:val="0"/>
      <w:marTop w:val="0"/>
      <w:marBottom w:val="0"/>
      <w:divBdr>
        <w:top w:val="none" w:sz="0" w:space="0" w:color="auto"/>
        <w:left w:val="none" w:sz="0" w:space="0" w:color="auto"/>
        <w:bottom w:val="none" w:sz="0" w:space="0" w:color="auto"/>
        <w:right w:val="none" w:sz="0" w:space="0" w:color="auto"/>
      </w:divBdr>
    </w:div>
    <w:div w:id="1874417047">
      <w:bodyDiv w:val="1"/>
      <w:marLeft w:val="0"/>
      <w:marRight w:val="0"/>
      <w:marTop w:val="0"/>
      <w:marBottom w:val="0"/>
      <w:divBdr>
        <w:top w:val="none" w:sz="0" w:space="0" w:color="auto"/>
        <w:left w:val="none" w:sz="0" w:space="0" w:color="auto"/>
        <w:bottom w:val="none" w:sz="0" w:space="0" w:color="auto"/>
        <w:right w:val="none" w:sz="0" w:space="0" w:color="auto"/>
      </w:divBdr>
    </w:div>
    <w:div w:id="2041079272">
      <w:bodyDiv w:val="1"/>
      <w:marLeft w:val="0"/>
      <w:marRight w:val="0"/>
      <w:marTop w:val="0"/>
      <w:marBottom w:val="0"/>
      <w:divBdr>
        <w:top w:val="none" w:sz="0" w:space="0" w:color="auto"/>
        <w:left w:val="none" w:sz="0" w:space="0" w:color="auto"/>
        <w:bottom w:val="none" w:sz="0" w:space="0" w:color="auto"/>
        <w:right w:val="none" w:sz="0" w:space="0" w:color="auto"/>
      </w:divBdr>
    </w:div>
    <w:div w:id="204887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5D39C-D95C-479D-8A4E-85ACFE47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2724</Words>
  <Characters>15531</Characters>
  <Application>Microsoft Office Word</Application>
  <DocSecurity>0</DocSecurity>
  <Lines>129</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sabeq</dc:creator>
  <cp:keywords/>
  <cp:lastModifiedBy>Adham Dwikat</cp:lastModifiedBy>
  <cp:revision>2</cp:revision>
  <cp:lastPrinted>2018-12-23T06:09:00Z</cp:lastPrinted>
  <dcterms:created xsi:type="dcterms:W3CDTF">2020-12-21T10:36:00Z</dcterms:created>
  <dcterms:modified xsi:type="dcterms:W3CDTF">2020-12-21T10:36:00Z</dcterms:modified>
</cp:coreProperties>
</file>